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969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96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Akhavan Hamid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EchoStar Capital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  CO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79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14.04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910,706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45,073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865,633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79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20,417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14.04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886,050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7,513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878,537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56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79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4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122,500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0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56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79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20,417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was effected pursuant to a Rule 10b5-1 trading plan adopted by the reporting person on March 6,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401(K).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40% of the shares underlying these options vested immediately upon the grant date. The remaining 60% of the shares underlying these options vest 30% per year on each of April 1, 2025 and April 1,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these options vest 25% per year on each of April 1, 2025, April 1, 2026, April 1, 2027 and April 1, 2028.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Hamid Akhavan by Dean A.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5252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2026-06-09T18:40:21Z</dcterms:created>
  <dcterms:modified xsi:type="dcterms:W3CDTF">2026-06-09T18:40:21Z</dcterms:modified>
</cp:coreProperties>
</file>