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dish-20231231x10k.htm"/>
        <w:bookmarkStart w:id="1" w:name="ksdish20231231x10k"/>
        <w:bookmarkEnd w:id="0"/>
        <w:bookmarkEnd w:id="1"/>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21" w:right="0" w:hanging="0"/>
        <w:jc w:val="center"/>
        <w:rPr/>
      </w:pPr>
      <w:r>
        <w:rPr/>
        <w:t>​</w:t>
      </w:r>
    </w:p>
    <w:p>
      <w:pPr>
        <w:pStyle w:val="TextBody"/>
        <w:bidi w:val="0"/>
        <w:spacing w:before="0" w:after="0"/>
        <w:ind w:left="21" w:right="0" w:hanging="0"/>
        <w:jc w:val="center"/>
        <w:rPr>
          <w:rFonts w:ascii="Times New Roman;Times;serif" w:hAnsi="Times New Roman;Times;serif"/>
          <w:b/>
          <w:sz w:val="24"/>
        </w:rPr>
      </w:pPr>
      <w:bookmarkStart w:id="2" w:name="_e2248e29_13e6_4ca2_a1d9_6168fd757d85"/>
      <w:bookmarkEnd w:id="2"/>
      <w:r>
        <w:rPr>
          <w:rFonts w:ascii="Times New Roman;Times;serif" w:hAnsi="Times New Roman;Times;serif"/>
          <w:b/>
          <w:sz w:val="24"/>
        </w:rPr>
        <w:t>UNITED STATES</w:t>
      </w:r>
    </w:p>
    <w:p>
      <w:pPr>
        <w:pStyle w:val="TextBody"/>
        <w:bidi w:val="0"/>
        <w:spacing w:before="0" w:after="0"/>
        <w:ind w:left="21"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21"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21"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10-K</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PkXKnZT10UC6j-hIVtMAXA_1_1"/>
      <w:bookmarkStart w:id="4" w:name="_5cbb0eef_3692_4b9b_b833_e9cb6c68f80c"/>
      <w:bookmarkStart w:id="5" w:name="Tc_PkXKnZT10UC6j-hIVtMAXA_1_1"/>
      <w:bookmarkStart w:id="6" w:name="_5cbb0eef_3692_4b9b_b833_e9cb6c68f80c"/>
      <w:bookmarkEnd w:id="5"/>
      <w:bookmarkEnd w:id="6"/>
    </w:p>
    <w:tbl>
      <w:tblPr>
        <w:tblW w:w="8717" w:type="dxa"/>
        <w:jc w:val="left"/>
        <w:tblInd w:w="0" w:type="dxa"/>
        <w:tblLayout w:type="fixed"/>
        <w:tblCellMar>
          <w:top w:w="0" w:type="dxa"/>
          <w:left w:w="0" w:type="dxa"/>
          <w:bottom w:w="0" w:type="dxa"/>
          <w:right w:w="0" w:type="dxa"/>
        </w:tblCellMar>
      </w:tblPr>
      <w:tblGrid>
        <w:gridCol w:w="331"/>
        <w:gridCol w:w="8386"/>
      </w:tblGrid>
      <w:tr>
        <w:trPr/>
        <w:tc>
          <w:tcPr>
            <w:tcW w:w="331" w:type="dxa"/>
            <w:tcBorders/>
            <w:vAlign w:val="center"/>
          </w:tcPr>
          <w:p>
            <w:pPr>
              <w:pStyle w:val="TableContents"/>
              <w:bidi w:val="0"/>
              <w:spacing w:before="0" w:after="0"/>
              <w:ind w:left="0" w:right="0" w:hanging="0"/>
              <w:jc w:val="left"/>
              <w:rPr/>
            </w:pPr>
            <w:r>
              <w:rPr/>
              <w:t>​</w:t>
            </w:r>
          </w:p>
        </w:tc>
        <w:tc>
          <w:tcPr>
            <w:tcW w:w="838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83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ANNUAL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9wJr_BagjkmgU-zeIgqO5Q_1_1"/>
      <w:bookmarkStart w:id="8" w:name="_0f7ffe6b_8173_47cb_acc9_b4df68108abf"/>
      <w:bookmarkStart w:id="9" w:name="Tc_9wJr_BagjkmgU-zeIgqO5Q_1_1"/>
      <w:bookmarkStart w:id="10" w:name="_0f7ffe6b_8173_47cb_acc9_b4df68108abf"/>
      <w:bookmarkEnd w:id="9"/>
      <w:bookmarkEnd w:id="10"/>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Commission File Number: 001-39144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DISH Network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11" w:name="Tc_klfBIpqtREmRVmdt_R_ltw_6_2"/>
      <w:bookmarkStart w:id="12" w:name="Tc_a52Tum0Nm0qNORiWTNpoHA_6_0"/>
      <w:bookmarkStart w:id="13" w:name="Tc_JjjNe8x2wk6jz-L2kkKd8w_5_0"/>
      <w:bookmarkStart w:id="14" w:name="Tc_cGOLBI_ntUq5o_xYVYM_-w_2_2"/>
      <w:bookmarkStart w:id="15" w:name="Tc_Et_BDf2iN0avzViKuL2ThA_2_0"/>
      <w:bookmarkStart w:id="16" w:name="_ba3918b8_31df_4352_83cc_857646ef6430"/>
      <w:bookmarkStart w:id="17" w:name="Tc_klfBIpqtREmRVmdt_R_ltw_6_2"/>
      <w:bookmarkStart w:id="18" w:name="Tc_a52Tum0Nm0qNORiWTNpoHA_6_0"/>
      <w:bookmarkStart w:id="19" w:name="Tc_JjjNe8x2wk6jz-L2kkKd8w_5_0"/>
      <w:bookmarkStart w:id="20" w:name="Tc_cGOLBI_ntUq5o_xYVYM_-w_2_2"/>
      <w:bookmarkStart w:id="21" w:name="Tc_Et_BDf2iN0avzViKuL2ThA_2_0"/>
      <w:bookmarkStart w:id="22" w:name="_ba3918b8_31df_4352_83cc_857646ef6430"/>
      <w:bookmarkEnd w:id="17"/>
      <w:bookmarkEnd w:id="18"/>
      <w:bookmarkEnd w:id="19"/>
      <w:bookmarkEnd w:id="20"/>
      <w:bookmarkEnd w:id="21"/>
      <w:bookmarkEnd w:id="22"/>
    </w:p>
    <w:tbl>
      <w:tblPr>
        <w:tblW w:w="5871" w:type="dxa"/>
        <w:jc w:val="left"/>
        <w:tblInd w:w="0" w:type="dxa"/>
        <w:tblLayout w:type="fixed"/>
        <w:tblCellMar>
          <w:top w:w="0" w:type="dxa"/>
          <w:left w:w="0" w:type="dxa"/>
          <w:bottom w:w="0" w:type="dxa"/>
          <w:right w:w="0" w:type="dxa"/>
        </w:tblCellMar>
      </w:tblPr>
      <w:tblGrid>
        <w:gridCol w:w="3586"/>
        <w:gridCol w:w="109"/>
        <w:gridCol w:w="217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77110" cy="175260"/>
                      <wp:effectExtent l="0" t="0" r="0" b="0"/>
                      <wp:wrapNone/>
                      <wp:docPr id="1" name="Frame1"/>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81760" cy="175260"/>
                      <wp:effectExtent l="0" t="0" r="0" b="0"/>
                      <wp:wrapNone/>
                      <wp:docPr id="3" name="Frame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pBdr/>
              <w:bidi w:val="0"/>
              <w:spacing w:lineRule="atLeast" w:line="180" w:before="0" w:after="0"/>
              <w:ind w:left="0" w:right="0" w:hanging="0"/>
              <w:jc w:val="center"/>
              <w:rPr>
                <w:rFonts w:ascii="Times New Roman;Times;serif" w:hAnsi="Times New Roman;Times;serif"/>
                <w:b/>
                <w:sz w:val="14"/>
              </w:rPr>
            </w:pPr>
            <w:r>
              <w:rPr>
                <w:rFonts w:ascii="Times New Roman;Times;serif" w:hAnsi="Times New Roman;Times;serif"/>
                <w:b/>
                <w:sz w:val="14"/>
              </w:rPr>
              <w:t>Nevada</w:t>
            </w:r>
          </w:p>
        </w:tc>
        <w:tc>
          <w:tcPr>
            <w:tcW w:w="109" w:type="dxa"/>
            <w:tcBorders/>
            <w:vAlign w:val="center"/>
          </w:tcPr>
          <w:p>
            <w:pPr>
              <w:pStyle w:val="TableContents"/>
              <w:bidi w:val="0"/>
              <w:spacing w:lineRule="atLeast" w:line="180" w:before="0" w:after="0"/>
              <w:ind w:left="0" w:right="0" w:hanging="0"/>
              <w:jc w:val="left"/>
              <w:rPr/>
            </w:pPr>
            <w:r>
              <w:rPr/>
              <w:t>​</w:t>
            </w:r>
          </w:p>
        </w:tc>
        <w:tc>
          <w:tcPr>
            <w:tcW w:w="2176" w:type="dxa"/>
            <w:tcBorders/>
            <w:vAlign w:val="center"/>
          </w:tcPr>
          <w:p>
            <w:pPr>
              <w:pStyle w:val="TableContents"/>
              <w:bidi w:val="0"/>
              <w:spacing w:lineRule="atLeast" w:line="180" w:before="0" w:after="0"/>
              <w:ind w:left="0" w:right="0" w:hanging="0"/>
              <w:jc w:val="center"/>
              <w:rPr>
                <w:rFonts w:ascii="Times New Roman;Times;serif" w:hAnsi="Times New Roman;Times;serif"/>
                <w:b/>
                <w:sz w:val="14"/>
              </w:rPr>
            </w:pPr>
            <w:r>
              <w:rPr>
                <w:rFonts w:ascii="Times New Roman;Times;serif" w:hAnsi="Times New Roman;Times;serif"/>
                <w:b/>
                <w:sz w:val="14"/>
              </w:rPr>
              <w:t>88-0336997</w:t>
            </w:r>
          </w:p>
        </w:tc>
      </w:tr>
      <w:tr>
        <w:trPr/>
        <w:tc>
          <w:tcPr>
            <w:tcW w:w="3586" w:type="dxa"/>
            <w:tcBorders/>
            <w:vAlign w:val="center"/>
          </w:tcPr>
          <w:p>
            <w:pPr>
              <w:pStyle w:val="TableContents"/>
              <w:pBdr/>
              <w:bidi w:val="0"/>
              <w:spacing w:lineRule="atLeast" w:line="180"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 incorporation or organization)</w:t>
            </w:r>
          </w:p>
        </w:tc>
        <w:tc>
          <w:tcPr>
            <w:tcW w:w="109" w:type="dxa"/>
            <w:tcBorders/>
            <w:vAlign w:val="center"/>
          </w:tcPr>
          <w:p>
            <w:pPr>
              <w:pStyle w:val="TableContents"/>
              <w:bidi w:val="0"/>
              <w:spacing w:lineRule="atLeast" w:line="180" w:before="0" w:after="0"/>
              <w:ind w:left="0" w:right="0" w:hanging="0"/>
              <w:jc w:val="left"/>
              <w:rPr/>
            </w:pPr>
            <w:r>
              <w:rPr/>
              <w:t>​</w:t>
            </w:r>
          </w:p>
        </w:tc>
        <w:tc>
          <w:tcPr>
            <w:tcW w:w="2176" w:type="dxa"/>
            <w:tcBorders/>
            <w:vAlign w:val="center"/>
          </w:tcPr>
          <w:p>
            <w:pPr>
              <w:pStyle w:val="TableContents"/>
              <w:bidi w:val="0"/>
              <w:spacing w:lineRule="atLeast" w:line="180" w:before="0" w:after="0"/>
              <w:ind w:left="0" w:right="0" w:hanging="0"/>
              <w:jc w:val="center"/>
              <w:rPr>
                <w:rFonts w:ascii="Times New Roman;Times;serif" w:hAnsi="Times New Roman;Times;serif"/>
                <w:sz w:val="14"/>
              </w:rPr>
            </w:pPr>
            <w:r>
              <w:rPr>
                <w:rFonts w:ascii="Times New Roman;Times;serif" w:hAnsi="Times New Roman;Times;serif"/>
                <w:sz w:val="14"/>
              </w:rPr>
              <w:t>(I.R.S. Employer Identification No.)</w:t>
            </w:r>
          </w:p>
        </w:tc>
      </w:tr>
      <w:tr>
        <w:trPr/>
        <w:tc>
          <w:tcPr>
            <w:tcW w:w="3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3586" w:type="dxa"/>
            <w:tcBorders/>
            <w:vAlign w:val="center"/>
          </w:tcPr>
          <w:p>
            <w:pPr>
              <w:pStyle w:val="TableContents"/>
              <w:bidi w:val="0"/>
              <w:spacing w:lineRule="atLeast" w:line="180" w:before="0" w:after="0"/>
              <w:ind w:left="0" w:right="0" w:hanging="0"/>
              <w:jc w:val="center"/>
              <w:rPr>
                <w:rFonts w:ascii="Times New Roman;Times;serif" w:hAnsi="Times New Roman;Times;serif"/>
                <w:b/>
                <w:sz w:val="14"/>
              </w:rPr>
            </w:pPr>
            <w:r>
              <w:rPr>
                <w:rFonts w:ascii="Times New Roman;Times;serif" w:hAnsi="Times New Roman;Times;serif"/>
                <w:b/>
                <w:sz w:val="14"/>
              </w:rPr>
              <w:t>9601 South Meridian Boulevard</w:t>
            </w:r>
          </w:p>
        </w:tc>
        <w:tc>
          <w:tcPr>
            <w:tcW w:w="109" w:type="dxa"/>
            <w:tcBorders/>
            <w:vAlign w:val="center"/>
          </w:tcPr>
          <w:p>
            <w:pPr>
              <w:pStyle w:val="TableContents"/>
              <w:bidi w:val="0"/>
              <w:spacing w:lineRule="atLeast" w:line="180" w:before="0" w:after="0"/>
              <w:ind w:left="0" w:right="0" w:hanging="0"/>
              <w:jc w:val="center"/>
              <w:rPr/>
            </w:pPr>
            <w:r>
              <w:rPr/>
              <w:t>​</w:t>
            </w:r>
          </w:p>
        </w:tc>
        <w:tc>
          <w:tcPr>
            <w:tcW w:w="2176" w:type="dxa"/>
            <w:tcBorders/>
            <w:vAlign w:val="center"/>
          </w:tcPr>
          <w:p>
            <w:pPr>
              <w:pStyle w:val="TableContents"/>
              <w:bidi w:val="0"/>
              <w:spacing w:lineRule="atLeast" w:line="180" w:before="0" w:after="0"/>
              <w:ind w:left="0" w:right="0" w:hanging="0"/>
              <w:jc w:val="center"/>
              <w:rPr/>
            </w:pPr>
            <w:r>
              <w:rPr/>
              <w:t>​</w:t>
            </w:r>
          </w:p>
        </w:tc>
      </w:tr>
      <w:tr>
        <w:trPr/>
        <w:tc>
          <w:tcPr>
            <w:tcW w:w="3586" w:type="dxa"/>
            <w:tcBorders/>
            <w:vAlign w:val="center"/>
          </w:tcPr>
          <w:p>
            <w:pPr>
              <w:pStyle w:val="TableContents"/>
              <w:bidi w:val="0"/>
              <w:spacing w:lineRule="atLeast" w:line="180" w:before="0" w:after="0"/>
              <w:ind w:left="0" w:right="0" w:hanging="0"/>
              <w:jc w:val="center"/>
              <w:rPr>
                <w:rFonts w:ascii="Times New Roman;Times;serif" w:hAnsi="Times New Roman;Times;serif"/>
                <w:b/>
                <w:sz w:val="14"/>
              </w:rPr>
            </w:pPr>
            <w:r>
              <w:rPr>
                <w:rFonts w:ascii="Times New Roman;Times;serif" w:hAnsi="Times New Roman;Times;serif"/>
                <w:b/>
                <w:sz w:val="14"/>
              </w:rPr>
              <w:t>Englewood, Colorado</w:t>
            </w:r>
          </w:p>
        </w:tc>
        <w:tc>
          <w:tcPr>
            <w:tcW w:w="109" w:type="dxa"/>
            <w:tcBorders/>
            <w:vAlign w:val="center"/>
          </w:tcPr>
          <w:p>
            <w:pPr>
              <w:pStyle w:val="TableContents"/>
              <w:bidi w:val="0"/>
              <w:spacing w:lineRule="atLeast" w:line="180" w:before="0" w:after="0"/>
              <w:ind w:left="0" w:right="0" w:hanging="0"/>
              <w:jc w:val="center"/>
              <w:rPr/>
            </w:pPr>
            <w:r>
              <w:rPr/>
              <w:t>​</w:t>
            </w:r>
          </w:p>
        </w:tc>
        <w:tc>
          <w:tcPr>
            <w:tcW w:w="2176" w:type="dxa"/>
            <w:tcBorders/>
            <w:vAlign w:val="center"/>
          </w:tcPr>
          <w:p>
            <w:pPr>
              <w:pStyle w:val="TableContents"/>
              <w:bidi w:val="0"/>
              <w:spacing w:lineRule="atLeast" w:line="180" w:before="0" w:after="0"/>
              <w:ind w:left="0" w:right="0" w:hanging="0"/>
              <w:jc w:val="center"/>
              <w:rPr>
                <w:rFonts w:ascii="Times New Roman;Times;serif" w:hAnsi="Times New Roman;Times;serif"/>
                <w:b/>
                <w:sz w:val="14"/>
              </w:rPr>
            </w:pPr>
            <w:r>
              <w:rPr>
                <w:rFonts w:ascii="Times New Roman;Times;serif" w:hAnsi="Times New Roman;Times;serif"/>
                <w:b/>
                <w:sz w:val="14"/>
              </w:rPr>
              <w:t>80112</w:t>
            </w:r>
          </w:p>
        </w:tc>
      </w:tr>
      <w:tr>
        <w:trPr/>
        <w:tc>
          <w:tcPr>
            <w:tcW w:w="3586" w:type="dxa"/>
            <w:tcBorders/>
            <w:vAlign w:val="center"/>
          </w:tcPr>
          <w:p>
            <w:pPr>
              <w:pStyle w:val="TableContents"/>
              <w:pBdr/>
              <w:bidi w:val="0"/>
              <w:spacing w:lineRule="atLeast" w:line="180"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109" w:type="dxa"/>
            <w:tcBorders/>
            <w:vAlign w:val="center"/>
          </w:tcPr>
          <w:p>
            <w:pPr>
              <w:pStyle w:val="TableContents"/>
              <w:bidi w:val="0"/>
              <w:spacing w:lineRule="atLeast" w:line="180" w:before="0" w:after="0"/>
              <w:ind w:left="0" w:right="0" w:hanging="0"/>
              <w:jc w:val="center"/>
              <w:rPr/>
            </w:pPr>
            <w:r>
              <w:rPr/>
              <w:t>​</w:t>
            </w:r>
          </w:p>
        </w:tc>
        <w:tc>
          <w:tcPr>
            <w:tcW w:w="2176" w:type="dxa"/>
            <w:tcBorders/>
            <w:vAlign w:val="center"/>
          </w:tcPr>
          <w:p>
            <w:pPr>
              <w:pStyle w:val="TableContents"/>
              <w:bidi w:val="0"/>
              <w:spacing w:lineRule="atLeast" w:line="180"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14"/>
        </w:rPr>
        <w:t xml:space="preserve">Registrant’s telephone number, including area code: </w:t>
      </w:r>
      <w:r>
        <w:rPr>
          <w:rFonts w:ascii="Times New Roman;Times;serif" w:hAnsi="Times New Roman;Times;serif"/>
          <w:b/>
          <w:sz w:val="14"/>
        </w:rPr>
        <w:t>(303) 723-1000</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r>
        <w:rPr>
          <w:rFonts w:ascii="Times New Roman;Times;serif" w:hAnsi="Times New Roman;Times;serif"/>
          <w:b/>
          <w:sz w:val="14"/>
        </w:rPr>
        <w:t>None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4"/>
        </w:rPr>
        <w:t xml:space="preserve">☐ </w:t>
      </w:r>
      <w:r>
        <w:rPr>
          <w:rFonts w:ascii="Times New Roman;Times;serif" w:hAnsi="Times New Roman;Times;serif"/>
          <w:sz w:val="14"/>
        </w:rPr>
        <w:t>No</w:t>
      </w:r>
      <w:r>
        <w:rPr>
          <w:rFonts w:ascii="Times New Roman;Times;serif" w:hAnsi="Times New Roman;Times;serif"/>
          <w:sz w:val="24"/>
        </w:rPr>
        <w:t xml:space="preserv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Indicate by check mark if the registrant is not required to file reports pursuant to Section 13 or Section 15(d) of the Act. Yes</w:t>
      </w:r>
      <w:r>
        <w:rPr>
          <w:rFonts w:ascii="Times New Roman;Times;serif" w:hAnsi="Times New Roman;Times;serif"/>
          <w:sz w:val="24"/>
        </w:rPr>
        <w:t xml:space="preserve"> ☒ </w:t>
      </w:r>
      <w:r>
        <w:rPr>
          <w:rFonts w:ascii="Times New Roman;Times;serif" w:hAnsi="Times New Roman;Times;serif"/>
          <w:sz w:val="14"/>
        </w:rPr>
        <w:t xml:space="preserve">No </w:t>
      </w:r>
      <w:r>
        <w:rPr>
          <w:rFonts w:ascii="Times New Roman;Times;serif" w:hAnsi="Times New Roman;Times;serif"/>
          <w:sz w:val="24"/>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 Yes</w:t>
      </w:r>
      <w:r>
        <w:rPr>
          <w:rFonts w:ascii="Times New Roman;Times;serif" w:hAnsi="Times New Roman;Times;serif"/>
          <w:sz w:val="24"/>
        </w:rPr>
        <w:t xml:space="preserve"> ⌧ </w:t>
      </w:r>
      <w:r>
        <w:rPr>
          <w:rFonts w:ascii="Times New Roman;Times;serif" w:hAnsi="Times New Roman;Times;serif"/>
          <w:sz w:val="14"/>
        </w:rPr>
        <w:t xml:space="preserve">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Times New Roman;Times;serif" w:hAnsi="Times New Roman;Times;serif"/>
          <w:sz w:val="14"/>
        </w:rPr>
        <w:t xml:space="preserve">No </w:t>
      </w:r>
      <w:r>
        <w:rPr>
          <w:rFonts w:ascii="Times New Roman;Times;serif" w:hAnsi="Times New Roman;Times;serif"/>
          <w:sz w:val="24"/>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spacing w:val="-2"/>
          <w:shd w:fill="FFFF00" w:val="clear"/>
        </w:rPr>
      </w:pPr>
      <w:r>
        <w:rPr>
          <w:spacing w:val="-2"/>
          <w:shd w:fill="FFFF00" w:val="clear"/>
        </w:rPr>
        <w:t>​</w:t>
      </w:r>
    </w:p>
    <w:tbl>
      <w:tblPr>
        <w:tblW w:w="3651" w:type="dxa"/>
        <w:jc w:val="left"/>
        <w:tblInd w:w="0" w:type="dxa"/>
        <w:tblLayout w:type="fixed"/>
        <w:tblCellMar>
          <w:top w:w="0" w:type="dxa"/>
          <w:left w:w="0" w:type="dxa"/>
          <w:bottom w:w="0" w:type="dxa"/>
          <w:right w:w="0" w:type="dxa"/>
        </w:tblCellMar>
      </w:tblPr>
      <w:tblGrid>
        <w:gridCol w:w="1546"/>
        <w:gridCol w:w="109"/>
        <w:gridCol w:w="199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Large accelerated filer ☐</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99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r>
      <w:tr>
        <w:trPr/>
        <w:tc>
          <w:tcPr>
            <w:tcW w:w="15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996"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4"/>
              </w:rPr>
              <w:t>Non-accelerated filer</w:t>
            </w:r>
            <w:r>
              <w:rPr>
                <w:rFonts w:ascii="Times New Roman;Times;serif" w:hAnsi="Times New Roman;Times;serif"/>
                <w:sz w:val="24"/>
              </w:rPr>
              <w:t xml:space="preserve"> ⌧</w:t>
            </w:r>
            <w:r>
              <w:rPr>
                <w:rFonts w:ascii="Times New Roman;Times;serif" w:hAnsi="Times New Roman;Times;serif"/>
                <w:sz w:val="14"/>
              </w:rPr>
              <w:br/>
            </w:r>
            <w:r>
              <w:rPr>
                <w:rFonts w:ascii="Times New Roman;Times;serif" w:hAnsi="Times New Roman;Times;serif"/>
                <w:sz w:val="24"/>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99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4"/>
              </w:rPr>
              <w:t xml:space="preserve">Smaller reporting company </w:t>
            </w:r>
            <w:r>
              <w:rPr>
                <w:rFonts w:ascii="Times New Roman;Times;serif" w:hAnsi="Times New Roman;Times;serif"/>
                <w:sz w:val="24"/>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4"/>
              </w:rPr>
              <w:t xml:space="preserve">Emerging growth company </w:t>
            </w:r>
            <w:r>
              <w:rPr>
                <w:rFonts w:ascii="Times New Roman;Times;serif" w:hAnsi="Times New Roman;Times;serif"/>
                <w:sz w:val="24"/>
              </w:rPr>
              <w:t xml:space="preserve">☐ </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4"/>
        </w:rPr>
        <w:t xml:space="preserve">Indicate by check mark whether the registrant is a shell company (as defined in Rule 12b-2 of the Act). Yes </w:t>
      </w:r>
      <w:r>
        <w:rPr>
          <w:rFonts w:ascii="Times New Roman;Times;serif" w:hAnsi="Times New Roman;Times;serif"/>
          <w:sz w:val="24"/>
        </w:rPr>
        <w:t xml:space="preserve">☐ </w:t>
      </w:r>
      <w:r>
        <w:rPr>
          <w:rFonts w:ascii="Times New Roman;Times;serif" w:hAnsi="Times New Roman;Times;serif"/>
          <w:sz w:val="14"/>
        </w:rPr>
        <w:t xml:space="preserve">No </w:t>
      </w:r>
      <w:r>
        <w:rPr>
          <w:rFonts w:ascii="Times New Roman;Times;serif" w:hAnsi="Times New Roman;Times;serif"/>
          <w:sz w:val="24"/>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 of June 30, 2023, the aggregate market value of Class A common stock held by non-affiliates of the registrant was $1.6 billion based upon the closing price of the Class A Common Stock as reported on the Nasdaq Global Select Market as of the close of business on the last trading day of the month. As a result of the merger with EchoStar Corporation effective December 31, 2023, all of the outstanding shares of the registrant are held by EchoStar.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 of March 11, 2024, the registrant’s outstanding common stock consisted of 1,000 shares of common stock, $0 par value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The registrant meets the conditions set forth in General Instructions (I)(1)(a) and (b) of Form 10-K and is therefore filing this Annual Report on Form 10-K with the reduced disclosure format.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following documents are incorporated into this Form 10-K by reference: 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12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3" w:name="TOC"/>
      <w:bookmarkStart w:id="24" w:name="_2bccefc4_5708_4e8b_b6d2_41a42283127c"/>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04"/>
        <w:gridCol w:w="8980"/>
        <w:gridCol w:w="421"/>
      </w:tblGrid>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hyperlink w:anchor="PARTI_947181">
              <w:r>
                <w:rPr>
                  <w:rStyle w:val="InternetLink"/>
                  <w:rFonts w:ascii="Times New Roman;Times;serif" w:hAnsi="Times New Roman;Times;serif"/>
                  <w:b/>
                  <w:i w:val="false"/>
                  <w:caps w:val="false"/>
                  <w:smallCaps w:val="false"/>
                  <w:sz w:val="20"/>
                </w:rPr>
                <w:t>PART I</w:t>
              </w:r>
            </w:hyperlink>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hyperlink w:anchor="DISCLOSUREREGARDINGFORWARDLOOKINGSTATEME">
              <w:r>
                <w:rPr>
                  <w:rStyle w:val="InternetLink"/>
                  <w:rFonts w:ascii="Times New Roman;Times;serif" w:hAnsi="Times New Roman;Times;serif"/>
                  <w:b w:val="false"/>
                  <w:i w:val="false"/>
                  <w:caps w:val="false"/>
                  <w:smallCaps w:val="false"/>
                  <w:sz w:val="20"/>
                </w:rPr>
                <w:t>Disclosure Regarding Forward-Looking Statements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04" w:type="dxa"/>
            <w:tcBorders/>
            <w:vAlign w:val="center"/>
          </w:tcPr>
          <w:p>
            <w:pPr>
              <w:pStyle w:val="TableContents"/>
              <w:bidi w:val="0"/>
              <w:spacing w:before="0" w:after="0"/>
              <w:ind w:left="0" w:right="0" w:hanging="0"/>
              <w:jc w:val="left"/>
              <w:rPr/>
            </w:pPr>
            <w:hyperlink w:anchor="Item1BUSINESS_74199">
              <w:r>
                <w:rPr>
                  <w:rStyle w:val="InternetLink"/>
                  <w:rFonts w:ascii="Times New Roman;Times;serif" w:hAnsi="Times New Roman;Times;serif"/>
                  <w:b w:val="false"/>
                  <w:i w:val="false"/>
                  <w:caps w:val="false"/>
                  <w:smallCaps w:val="false"/>
                  <w:sz w:val="20"/>
                </w:rPr>
                <w:t>Item 1.</w:t>
              </w:r>
            </w:hyperlink>
          </w:p>
        </w:tc>
        <w:tc>
          <w:tcPr>
            <w:tcW w:w="8980" w:type="dxa"/>
            <w:tcBorders/>
            <w:vAlign w:val="center"/>
          </w:tcPr>
          <w:p>
            <w:pPr>
              <w:pStyle w:val="TableContents"/>
              <w:bidi w:val="0"/>
              <w:spacing w:before="0" w:after="0"/>
              <w:ind w:left="0" w:right="0" w:hanging="0"/>
              <w:jc w:val="left"/>
              <w:rPr/>
            </w:pPr>
            <w:hyperlink w:anchor="Item1BUSINESS_74199">
              <w:r>
                <w:rPr>
                  <w:rStyle w:val="InternetLink"/>
                  <w:rFonts w:ascii="Times New Roman;Times;serif" w:hAnsi="Times New Roman;Times;serif"/>
                  <w:b w:val="false"/>
                  <w:i w:val="false"/>
                  <w:caps w:val="false"/>
                  <w:smallCaps w:val="false"/>
                  <w:sz w:val="20"/>
                </w:rPr>
                <w:t>Business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4" w:type="dxa"/>
            <w:tcBorders/>
            <w:vAlign w:val="center"/>
          </w:tcPr>
          <w:p>
            <w:pPr>
              <w:pStyle w:val="TableContents"/>
              <w:bidi w:val="0"/>
              <w:spacing w:before="0" w:after="0"/>
              <w:ind w:left="0" w:right="0" w:hanging="0"/>
              <w:jc w:val="left"/>
              <w:rPr/>
            </w:pPr>
            <w:hyperlink w:anchor="Item1ARISKFACTORS_546271">
              <w:r>
                <w:rPr>
                  <w:rStyle w:val="InternetLink"/>
                  <w:rFonts w:ascii="Times New Roman;Times;serif" w:hAnsi="Times New Roman;Times;serif"/>
                  <w:b w:val="false"/>
                  <w:i w:val="false"/>
                  <w:caps w:val="false"/>
                  <w:smallCaps w:val="false"/>
                  <w:sz w:val="20"/>
                </w:rPr>
                <w:t>Item 1A.</w:t>
              </w:r>
            </w:hyperlink>
          </w:p>
        </w:tc>
        <w:tc>
          <w:tcPr>
            <w:tcW w:w="8980" w:type="dxa"/>
            <w:tcBorders/>
            <w:vAlign w:val="center"/>
          </w:tcPr>
          <w:p>
            <w:pPr>
              <w:pStyle w:val="TableContents"/>
              <w:bidi w:val="0"/>
              <w:spacing w:before="0" w:after="0"/>
              <w:ind w:left="0" w:right="0" w:hanging="0"/>
              <w:jc w:val="left"/>
              <w:rPr/>
            </w:pPr>
            <w:hyperlink w:anchor="Item1ARISKFACTORS_546271">
              <w:r>
                <w:rPr>
                  <w:rStyle w:val="InternetLink"/>
                  <w:rFonts w:ascii="Times New Roman;Times;serif" w:hAnsi="Times New Roman;Times;serif"/>
                  <w:b w:val="false"/>
                  <w:i w:val="false"/>
                  <w:caps w:val="false"/>
                  <w:smallCaps w:val="false"/>
                  <w:sz w:val="20"/>
                </w:rPr>
                <w:t>Risk Factors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4" w:type="dxa"/>
            <w:tcBorders/>
            <w:vAlign w:val="center"/>
          </w:tcPr>
          <w:p>
            <w:pPr>
              <w:pStyle w:val="TableContents"/>
              <w:bidi w:val="0"/>
              <w:spacing w:before="0" w:after="0"/>
              <w:ind w:left="0" w:right="0" w:hanging="0"/>
              <w:jc w:val="left"/>
              <w:rPr/>
            </w:pPr>
            <w:hyperlink w:anchor="Item1BUNRESOLVEDSTAFFCOMMENTS_446813">
              <w:r>
                <w:rPr>
                  <w:rStyle w:val="InternetLink"/>
                  <w:rFonts w:ascii="Times New Roman;Times;serif" w:hAnsi="Times New Roman;Times;serif"/>
                  <w:b w:val="false"/>
                  <w:i w:val="false"/>
                  <w:caps w:val="false"/>
                  <w:smallCaps w:val="false"/>
                  <w:sz w:val="20"/>
                </w:rPr>
                <w:t>Item 1B.</w:t>
              </w:r>
            </w:hyperlink>
          </w:p>
        </w:tc>
        <w:tc>
          <w:tcPr>
            <w:tcW w:w="8980" w:type="dxa"/>
            <w:tcBorders/>
            <w:vAlign w:val="center"/>
          </w:tcPr>
          <w:p>
            <w:pPr>
              <w:pStyle w:val="TableContents"/>
              <w:bidi w:val="0"/>
              <w:spacing w:before="0" w:after="0"/>
              <w:ind w:left="0" w:right="0" w:hanging="0"/>
              <w:jc w:val="left"/>
              <w:rPr/>
            </w:pPr>
            <w:hyperlink w:anchor="Item1BUNRESOLVEDSTAFFCOMMENTS_446813">
              <w:r>
                <w:rPr>
                  <w:rStyle w:val="InternetLink"/>
                  <w:rFonts w:ascii="Times New Roman;Times;serif" w:hAnsi="Times New Roman;Times;serif"/>
                  <w:b w:val="false"/>
                  <w:i w:val="false"/>
                  <w:caps w:val="false"/>
                  <w:smallCaps w:val="false"/>
                  <w:sz w:val="20"/>
                </w:rPr>
                <w:t>Unresolved Staff Comments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4" w:type="dxa"/>
            <w:tcBorders/>
            <w:vAlign w:val="center"/>
          </w:tcPr>
          <w:p>
            <w:pPr>
              <w:pStyle w:val="TableContents"/>
              <w:bidi w:val="0"/>
              <w:spacing w:before="0" w:after="0"/>
              <w:ind w:left="0" w:right="0" w:hanging="0"/>
              <w:jc w:val="left"/>
              <w:rPr/>
            </w:pPr>
            <w:hyperlink w:anchor="Item1C_194133">
              <w:r>
                <w:rPr>
                  <w:rStyle w:val="InternetLink"/>
                  <w:rFonts w:ascii="Times New Roman;Times;serif" w:hAnsi="Times New Roman;Times;serif"/>
                  <w:b w:val="false"/>
                  <w:i w:val="false"/>
                  <w:caps w:val="false"/>
                  <w:smallCaps w:val="false"/>
                  <w:sz w:val="20"/>
                </w:rPr>
                <w:t>Item 1C.</w:t>
              </w:r>
            </w:hyperlink>
          </w:p>
        </w:tc>
        <w:tc>
          <w:tcPr>
            <w:tcW w:w="8980" w:type="dxa"/>
            <w:tcBorders/>
            <w:vAlign w:val="center"/>
          </w:tcPr>
          <w:p>
            <w:pPr>
              <w:pStyle w:val="TableContents"/>
              <w:bidi w:val="0"/>
              <w:spacing w:before="0" w:after="0"/>
              <w:ind w:left="0" w:right="0" w:hanging="0"/>
              <w:jc w:val="left"/>
              <w:rPr/>
            </w:pPr>
            <w:hyperlink w:anchor="Item1C_194133">
              <w:r>
                <w:rPr>
                  <w:rStyle w:val="InternetLink"/>
                  <w:rFonts w:ascii="Times New Roman;Times;serif" w:hAnsi="Times New Roman;Times;serif"/>
                  <w:b w:val="false"/>
                  <w:i w:val="false"/>
                  <w:caps w:val="false"/>
                  <w:smallCaps w:val="false"/>
                  <w:sz w:val="20"/>
                </w:rPr>
                <w:t>Cybersecurity</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4" w:type="dxa"/>
            <w:tcBorders/>
            <w:vAlign w:val="center"/>
          </w:tcPr>
          <w:p>
            <w:pPr>
              <w:pStyle w:val="TableContents"/>
              <w:bidi w:val="0"/>
              <w:spacing w:before="0" w:after="0"/>
              <w:ind w:left="0" w:right="0" w:hanging="0"/>
              <w:jc w:val="left"/>
              <w:rPr/>
            </w:pPr>
            <w:hyperlink w:anchor="Item2PROPERTIES_507181">
              <w:r>
                <w:rPr>
                  <w:rStyle w:val="InternetLink"/>
                  <w:rFonts w:ascii="Times New Roman;Times;serif" w:hAnsi="Times New Roman;Times;serif"/>
                  <w:b w:val="false"/>
                  <w:i w:val="false"/>
                  <w:caps w:val="false"/>
                  <w:smallCaps w:val="false"/>
                  <w:sz w:val="20"/>
                </w:rPr>
                <w:t>Item 2.</w:t>
              </w:r>
            </w:hyperlink>
          </w:p>
        </w:tc>
        <w:tc>
          <w:tcPr>
            <w:tcW w:w="8980" w:type="dxa"/>
            <w:tcBorders/>
            <w:vAlign w:val="center"/>
          </w:tcPr>
          <w:p>
            <w:pPr>
              <w:pStyle w:val="TableContents"/>
              <w:bidi w:val="0"/>
              <w:spacing w:before="0" w:after="0"/>
              <w:ind w:left="0" w:right="0" w:hanging="0"/>
              <w:jc w:val="left"/>
              <w:rPr/>
            </w:pPr>
            <w:hyperlink w:anchor="Item2PROPERTIES_507181">
              <w:r>
                <w:rPr>
                  <w:rStyle w:val="InternetLink"/>
                  <w:rFonts w:ascii="Times New Roman;Times;serif" w:hAnsi="Times New Roman;Times;serif"/>
                  <w:b w:val="false"/>
                  <w:i w:val="false"/>
                  <w:caps w:val="false"/>
                  <w:smallCaps w:val="false"/>
                  <w:sz w:val="20"/>
                </w:rPr>
                <w:t>Properties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4" w:type="dxa"/>
            <w:tcBorders/>
            <w:vAlign w:val="center"/>
          </w:tcPr>
          <w:p>
            <w:pPr>
              <w:pStyle w:val="TableContents"/>
              <w:bidi w:val="0"/>
              <w:spacing w:before="0" w:after="0"/>
              <w:ind w:left="0" w:right="0" w:hanging="0"/>
              <w:jc w:val="left"/>
              <w:rPr/>
            </w:pPr>
            <w:hyperlink w:anchor="Item3LEGALPROCEEDINGS_783962">
              <w:r>
                <w:rPr>
                  <w:rStyle w:val="InternetLink"/>
                  <w:rFonts w:ascii="Times New Roman;Times;serif" w:hAnsi="Times New Roman;Times;serif"/>
                  <w:b w:val="false"/>
                  <w:i w:val="false"/>
                  <w:caps w:val="false"/>
                  <w:smallCaps w:val="false"/>
                  <w:sz w:val="20"/>
                </w:rPr>
                <w:t>Item 3.</w:t>
              </w:r>
            </w:hyperlink>
          </w:p>
        </w:tc>
        <w:tc>
          <w:tcPr>
            <w:tcW w:w="8980" w:type="dxa"/>
            <w:tcBorders/>
            <w:vAlign w:val="center"/>
          </w:tcPr>
          <w:p>
            <w:pPr>
              <w:pStyle w:val="TableContents"/>
              <w:bidi w:val="0"/>
              <w:spacing w:before="0" w:after="0"/>
              <w:ind w:left="0" w:right="0" w:hanging="0"/>
              <w:jc w:val="left"/>
              <w:rPr/>
            </w:pPr>
            <w:hyperlink w:anchor="Item3LEGALPROCEEDINGS_783962">
              <w:r>
                <w:rPr>
                  <w:rStyle w:val="InternetLink"/>
                  <w:rFonts w:ascii="Times New Roman;Times;serif" w:hAnsi="Times New Roman;Times;serif"/>
                  <w:b w:val="false"/>
                  <w:i w:val="false"/>
                  <w:caps w:val="false"/>
                  <w:smallCaps w:val="false"/>
                  <w:sz w:val="20"/>
                </w:rPr>
                <w:t>Legal Proceedings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4" w:type="dxa"/>
            <w:tcBorders/>
            <w:vAlign w:val="center"/>
          </w:tcPr>
          <w:p>
            <w:pPr>
              <w:pStyle w:val="TableContents"/>
              <w:bidi w:val="0"/>
              <w:spacing w:before="0" w:after="0"/>
              <w:ind w:left="0" w:right="0" w:hanging="0"/>
              <w:jc w:val="left"/>
              <w:rPr/>
            </w:pPr>
            <w:hyperlink w:anchor="Item4MINESAFETYDISCLOSURES_902365">
              <w:r>
                <w:rPr>
                  <w:rStyle w:val="InternetLink"/>
                  <w:rFonts w:ascii="Times New Roman;Times;serif" w:hAnsi="Times New Roman;Times;serif"/>
                  <w:b w:val="false"/>
                  <w:i w:val="false"/>
                  <w:caps w:val="false"/>
                  <w:smallCaps w:val="false"/>
                  <w:sz w:val="20"/>
                </w:rPr>
                <w:t>Item 4.</w:t>
              </w:r>
            </w:hyperlink>
          </w:p>
        </w:tc>
        <w:tc>
          <w:tcPr>
            <w:tcW w:w="8980" w:type="dxa"/>
            <w:tcBorders/>
            <w:vAlign w:val="center"/>
          </w:tcPr>
          <w:p>
            <w:pPr>
              <w:pStyle w:val="TableContents"/>
              <w:bidi w:val="0"/>
              <w:spacing w:before="0" w:after="0"/>
              <w:ind w:left="0" w:right="0" w:hanging="0"/>
              <w:jc w:val="left"/>
              <w:rPr/>
            </w:pPr>
            <w:hyperlink w:anchor="Item4MINESAFETYDISCLOSURES_902365">
              <w:r>
                <w:rPr>
                  <w:rStyle w:val="InternetLink"/>
                  <w:rFonts w:ascii="Times New Roman;Times;serif" w:hAnsi="Times New Roman;Times;serif"/>
                  <w:b w:val="false"/>
                  <w:i w:val="false"/>
                  <w:caps w:val="false"/>
                  <w:smallCaps w:val="false"/>
                  <w:sz w:val="20"/>
                </w:rPr>
                <w:t>Mine Safety Disclosures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hyperlink w:anchor="PARTII_808082">
              <w:r>
                <w:rPr>
                  <w:rStyle w:val="InternetLink"/>
                  <w:rFonts w:ascii="Times New Roman;Times;serif" w:hAnsi="Times New Roman;Times;serif"/>
                  <w:b/>
                  <w:i w:val="false"/>
                  <w:caps w:val="false"/>
                  <w:smallCaps w:val="false"/>
                  <w:sz w:val="20"/>
                </w:rPr>
                <w:t>PART II</w:t>
              </w:r>
            </w:hyperlink>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980"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4" w:type="dxa"/>
            <w:tcBorders/>
            <w:vAlign w:val="center"/>
          </w:tcPr>
          <w:p>
            <w:pPr>
              <w:pStyle w:val="TableContents"/>
              <w:bidi w:val="0"/>
              <w:spacing w:before="0" w:after="0"/>
              <w:ind w:left="0" w:right="0" w:hanging="0"/>
              <w:jc w:val="left"/>
              <w:rPr/>
            </w:pPr>
            <w:hyperlink w:anchor="Item6_783332">
              <w:r>
                <w:rPr>
                  <w:rStyle w:val="InternetLink"/>
                  <w:rFonts w:ascii="Times New Roman;Times;serif" w:hAnsi="Times New Roman;Times;serif"/>
                  <w:b w:val="false"/>
                  <w:i w:val="false"/>
                  <w:caps w:val="false"/>
                  <w:smallCaps w:val="false"/>
                  <w:sz w:val="20"/>
                </w:rPr>
                <w:t>Item 6.</w:t>
              </w:r>
            </w:hyperlink>
          </w:p>
        </w:tc>
        <w:tc>
          <w:tcPr>
            <w:tcW w:w="8980" w:type="dxa"/>
            <w:tcBorders/>
            <w:vAlign w:val="center"/>
          </w:tcPr>
          <w:p>
            <w:pPr>
              <w:pStyle w:val="TableContents"/>
              <w:bidi w:val="0"/>
              <w:spacing w:before="0" w:after="0"/>
              <w:ind w:left="0" w:right="0" w:hanging="0"/>
              <w:jc w:val="left"/>
              <w:rPr/>
            </w:pPr>
            <w:hyperlink w:anchor="Item6_783332">
              <w:r>
                <w:rPr>
                  <w:rStyle w:val="InternetLink"/>
                  <w:rFonts w:ascii="Times New Roman;Times;serif" w:hAnsi="Times New Roman;Times;serif"/>
                  <w:b w:val="false"/>
                  <w:i w:val="false"/>
                  <w:caps w:val="false"/>
                  <w:smallCaps w:val="false"/>
                  <w:sz w:val="20"/>
                </w:rPr>
                <w:t>[Reserved]</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4"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980"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Narrative Analysis of Results of Operations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4"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980"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04"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980"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04"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980"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04" w:type="dxa"/>
            <w:tcBorders/>
            <w:vAlign w:val="center"/>
          </w:tcPr>
          <w:p>
            <w:pPr>
              <w:pStyle w:val="TableContents"/>
              <w:bidi w:val="0"/>
              <w:spacing w:before="0" w:after="0"/>
              <w:ind w:left="0" w:right="0" w:hanging="0"/>
              <w:jc w:val="left"/>
              <w:rPr/>
            </w:pPr>
            <w:hyperlink w:anchor="Item9ACONTROLSANDPROCEDURES_915764">
              <w:r>
                <w:rPr>
                  <w:rStyle w:val="InternetLink"/>
                  <w:rFonts w:ascii="Times New Roman;Times;serif" w:hAnsi="Times New Roman;Times;serif"/>
                  <w:b w:val="false"/>
                  <w:i w:val="false"/>
                  <w:caps w:val="false"/>
                  <w:smallCaps w:val="false"/>
                  <w:sz w:val="20"/>
                </w:rPr>
                <w:t>Item 9A.</w:t>
              </w:r>
            </w:hyperlink>
          </w:p>
        </w:tc>
        <w:tc>
          <w:tcPr>
            <w:tcW w:w="8980" w:type="dxa"/>
            <w:tcBorders/>
            <w:vAlign w:val="center"/>
          </w:tcPr>
          <w:p>
            <w:pPr>
              <w:pStyle w:val="TableContents"/>
              <w:bidi w:val="0"/>
              <w:spacing w:before="0" w:after="0"/>
              <w:ind w:left="0" w:right="0" w:hanging="0"/>
              <w:jc w:val="left"/>
              <w:rPr/>
            </w:pPr>
            <w:hyperlink w:anchor="Item9ACONTROLSANDPROCEDURES_915764">
              <w:r>
                <w:rPr>
                  <w:rStyle w:val="InternetLink"/>
                  <w:rFonts w:ascii="Times New Roman;Times;serif" w:hAnsi="Times New Roman;Times;serif"/>
                  <w:b w:val="false"/>
                  <w:i w:val="false"/>
                  <w:caps w:val="false"/>
                  <w:smallCaps w:val="false"/>
                  <w:sz w:val="20"/>
                </w:rPr>
                <w:t>Controls and Procedures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04" w:type="dxa"/>
            <w:tcBorders/>
            <w:vAlign w:val="center"/>
          </w:tcPr>
          <w:p>
            <w:pPr>
              <w:pStyle w:val="TableContents"/>
              <w:bidi w:val="0"/>
              <w:spacing w:before="0" w:after="0"/>
              <w:ind w:left="0" w:right="0" w:hanging="0"/>
              <w:jc w:val="left"/>
              <w:rPr/>
            </w:pPr>
            <w:hyperlink w:anchor="Item9BOTHERINFORMATION_119141">
              <w:r>
                <w:rPr>
                  <w:rStyle w:val="InternetLink"/>
                  <w:rFonts w:ascii="Times New Roman;Times;serif" w:hAnsi="Times New Roman;Times;serif"/>
                  <w:b w:val="false"/>
                  <w:i w:val="false"/>
                  <w:caps w:val="false"/>
                  <w:smallCaps w:val="false"/>
                  <w:sz w:val="20"/>
                </w:rPr>
                <w:t>Item 9B.</w:t>
              </w:r>
            </w:hyperlink>
          </w:p>
        </w:tc>
        <w:tc>
          <w:tcPr>
            <w:tcW w:w="8980" w:type="dxa"/>
            <w:tcBorders/>
            <w:vAlign w:val="center"/>
          </w:tcPr>
          <w:p>
            <w:pPr>
              <w:pStyle w:val="TableContents"/>
              <w:bidi w:val="0"/>
              <w:spacing w:before="0" w:after="0"/>
              <w:ind w:left="0" w:right="0" w:hanging="0"/>
              <w:jc w:val="left"/>
              <w:rPr/>
            </w:pPr>
            <w:hyperlink w:anchor="Item9BOTHERINFORMATION_119141">
              <w:r>
                <w:rPr>
                  <w:rStyle w:val="InternetLink"/>
                  <w:rFonts w:ascii="Times New Roman;Times;serif" w:hAnsi="Times New Roman;Times;serif"/>
                  <w:b w:val="false"/>
                  <w:i w:val="false"/>
                  <w:caps w:val="false"/>
                  <w:smallCaps w:val="false"/>
                  <w:sz w:val="20"/>
                </w:rPr>
                <w:t>Other Information</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04"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b w:val="false"/>
                  <w:i w:val="false"/>
                  <w:caps w:val="false"/>
                  <w:smallCaps w:val="false"/>
                  <w:sz w:val="20"/>
                </w:rPr>
                <w:t>Item 9C.</w:t>
              </w:r>
            </w:hyperlink>
          </w:p>
        </w:tc>
        <w:tc>
          <w:tcPr>
            <w:tcW w:w="8980"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b w:val="false"/>
                  <w:i w:val="false"/>
                  <w:caps w:val="false"/>
                  <w:smallCaps w:val="false"/>
                  <w:sz w:val="20"/>
                </w:rPr>
                <w:t xml:space="preserve">Disclosure Regarding Foreign Jurisdictions that Prevent Inspections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hyperlink w:anchor="PARTIII_725865">
              <w:r>
                <w:rPr>
                  <w:rStyle w:val="InternetLink"/>
                  <w:rFonts w:ascii="Times New Roman;Times;serif" w:hAnsi="Times New Roman;Times;serif"/>
                  <w:b/>
                  <w:i w:val="false"/>
                  <w:caps w:val="false"/>
                  <w:smallCaps w:val="false"/>
                  <w:sz w:val="20"/>
                </w:rPr>
                <w:t>PART III</w:t>
              </w:r>
            </w:hyperlink>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10.</w:t>
            </w:r>
          </w:p>
        </w:tc>
        <w:tc>
          <w:tcPr>
            <w:tcW w:w="8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Executive Officers and Corporate Governance</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11.</w:t>
            </w:r>
          </w:p>
        </w:tc>
        <w:tc>
          <w:tcPr>
            <w:tcW w:w="8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Compensation</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12.</w:t>
            </w:r>
          </w:p>
        </w:tc>
        <w:tc>
          <w:tcPr>
            <w:tcW w:w="8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Ownership of Certain Beneficial Owners and Management and Related Stockholder Matters</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13.</w:t>
            </w:r>
          </w:p>
        </w:tc>
        <w:tc>
          <w:tcPr>
            <w:tcW w:w="8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Relationships and Related Transactions, and Director Independence</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804"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980"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center"/>
              <w:rPr/>
            </w:pPr>
            <w:hyperlink w:anchor="PARTIV_794332">
              <w:r>
                <w:rPr>
                  <w:rStyle w:val="InternetLink"/>
                  <w:rFonts w:ascii="Times New Roman;Times;serif" w:hAnsi="Times New Roman;Times;serif"/>
                  <w:b/>
                  <w:i w:val="false"/>
                  <w:caps w:val="false"/>
                  <w:smallCaps w:val="false"/>
                  <w:sz w:val="20"/>
                </w:rPr>
                <w:t>PART IV</w:t>
              </w:r>
            </w:hyperlink>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980"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04" w:type="dxa"/>
            <w:tcBorders/>
            <w:vAlign w:val="center"/>
          </w:tcPr>
          <w:p>
            <w:pPr>
              <w:pStyle w:val="TableContents"/>
              <w:bidi w:val="0"/>
              <w:spacing w:before="0" w:after="0"/>
              <w:ind w:left="0" w:right="0" w:hanging="0"/>
              <w:jc w:val="left"/>
              <w:rPr/>
            </w:pPr>
            <w:hyperlink w:anchor="Item16FORM10KSUMMARY_759347">
              <w:r>
                <w:rPr>
                  <w:rStyle w:val="InternetLink"/>
                  <w:rFonts w:ascii="Times New Roman;Times;serif" w:hAnsi="Times New Roman;Times;serif"/>
                  <w:b w:val="false"/>
                  <w:i w:val="false"/>
                  <w:caps w:val="false"/>
                  <w:smallCaps w:val="false"/>
                  <w:sz w:val="20"/>
                </w:rPr>
                <w:t>Item 16.</w:t>
              </w:r>
            </w:hyperlink>
          </w:p>
        </w:tc>
        <w:tc>
          <w:tcPr>
            <w:tcW w:w="8980" w:type="dxa"/>
            <w:tcBorders/>
            <w:vAlign w:val="center"/>
          </w:tcPr>
          <w:p>
            <w:pPr>
              <w:pStyle w:val="TableContents"/>
              <w:bidi w:val="0"/>
              <w:spacing w:before="0" w:after="0"/>
              <w:ind w:left="0" w:right="0" w:hanging="0"/>
              <w:jc w:val="left"/>
              <w:rPr/>
            </w:pPr>
            <w:hyperlink w:anchor="Item16FORM10KSUMMARY_759347">
              <w:r>
                <w:rPr>
                  <w:rStyle w:val="InternetLink"/>
                  <w:rFonts w:ascii="Times New Roman;Times;serif" w:hAnsi="Times New Roman;Times;serif"/>
                  <w:b w:val="false"/>
                  <w:i w:val="false"/>
                  <w:caps w:val="false"/>
                  <w:smallCaps w:val="false"/>
                  <w:sz w:val="20"/>
                </w:rPr>
                <w:t>Form 10-K Summary</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hyperlink w:anchor="SIGNATURES_412705">
              <w:r>
                <w:rPr>
                  <w:rStyle w:val="InternetLink"/>
                  <w:rFonts w:ascii="Times New Roman;Times;serif" w:hAnsi="Times New Roman;Times;serif"/>
                  <w:b w:val="false"/>
                  <w:i w:val="false"/>
                  <w:caps w:val="false"/>
                  <w:smallCaps w:val="false"/>
                  <w:sz w:val="20"/>
                </w:rPr>
                <w:t>Signatures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804"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hyperlink w:anchor="INDEXTOCONSOLIDATEDFINANCIALSTATEMENTS_5">
              <w:r>
                <w:rPr>
                  <w:rStyle w:val="InternetLink"/>
                  <w:rFonts w:ascii="Times New Roman;Times;serif" w:hAnsi="Times New Roman;Times;serif"/>
                  <w:b w:val="false"/>
                  <w:i w:val="false"/>
                  <w:caps w:val="false"/>
                  <w:smallCaps w:val="false"/>
                  <w:sz w:val="20"/>
                </w:rPr>
                <w:t>Index to Consolidated Financial Statements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item has been omitted pursuant to the reduced disclosure format as set forth in General Instructions (I) (2) (a) and (c) of Form 10-K.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 w:name="DISCLOSUREREGARDINGFORWARDLOOKINGSTATEME"/>
      <w:bookmarkStart w:id="26" w:name="_Hlk506808607"/>
      <w:bookmarkStart w:id="27" w:name="_1ec2baa6_c23f_42ac_847e_89966dacba69"/>
      <w:bookmarkStart w:id="28" w:name="_Hlk31786717"/>
      <w:bookmarkEnd w:id="25"/>
      <w:bookmarkEnd w:id="26"/>
      <w:bookmarkEnd w:id="27"/>
      <w:bookmarkEnd w:id="28"/>
      <w:r>
        <w:rPr>
          <w:rFonts w:ascii="Times New Roman;Times;serif" w:hAnsi="Times New Roman;Times;serif"/>
          <w:b/>
          <w:sz w:val="20"/>
        </w:rPr>
        <w:t>DISCLOSURE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Unless otherwise required by the context, in this report, the words “DISH Network,” the “Company,” “we,” “our” and “us” refer to DISH Network Corporation and its subsidiaries, “EchoStar” refers to EchoStar Corporation, our parent company, and its subsidiaries, including us, and “DISH DBS” refers to DISH DBS Corporation, a wholly-owned, indirect subsidiary of DISH Network, and its subsidiaries.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120" w:after="80"/>
        <w:ind w:left="0" w:right="0" w:hanging="0"/>
        <w:jc w:val="left"/>
        <w:rPr>
          <w:rFonts w:ascii="Times New Roman;Times;serif" w:hAnsi="Times New Roman;Times;serif"/>
          <w:b/>
          <w:sz w:val="20"/>
        </w:rPr>
      </w:pPr>
      <w:r>
        <w:rPr>
          <w:rFonts w:ascii="Times New Roman;Times;serif" w:hAnsi="Times New Roman;Times;serif"/>
          <w:b/>
          <w:sz w:val="20"/>
        </w:rPr>
        <w:t>Risks Related to the Integration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 </w:t>
            </w:r>
          </w:p>
        </w:tc>
      </w:tr>
    </w:tbl>
    <w:p>
      <w:pPr>
        <w:pStyle w:val="TextBody"/>
        <w:bidi w:val="0"/>
        <w:spacing w:before="120" w:after="80"/>
        <w:ind w:left="0" w:right="0" w:hanging="0"/>
        <w:jc w:val="left"/>
        <w:rPr>
          <w:rFonts w:ascii="Times New Roman;Times;serif" w:hAnsi="Times New Roman;Times;serif"/>
          <w:b/>
          <w:sz w:val="20"/>
        </w:rPr>
      </w:pPr>
      <w:r>
        <w:rPr>
          <w:rFonts w:ascii="Times New Roman;Times;serif" w:hAnsi="Times New Roman;Times;serif"/>
          <w:b/>
          <w:sz w:val="20"/>
        </w:rPr>
        <w:t>Competition and Economic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certain risks competing in the wireless services industry and operating a facilities-based wireless services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pay-TV competitors may be able to leverage their relationships with programmers to reduce their programming costs and/or offer exclusive content that will place them at a competitive advantage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the MNOs whose networks we rely on to provide wireless services to our customers, and they may seek to limit, reduce or terminate our network access to the extent that it becomes competitively advantageous to do so.</w:t>
            </w:r>
          </w:p>
        </w:tc>
      </w:tr>
    </w:tbl>
    <w:p>
      <w:pPr>
        <w:pStyle w:val="Normal"/>
        <w:bidi w:val="0"/>
        <w:spacing w:before="0" w:after="0"/>
        <w:jc w:val="left"/>
        <w:rPr>
          <w:sz w:val="4"/>
          <w:szCs w:val="4"/>
        </w:rPr>
      </w:pPr>
      <w:r>
        <w:rPr>
          <w:sz w:val="4"/>
          <w:szCs w:val="4"/>
        </w:rPr>
      </w:r>
      <w:bookmarkStart w:id="29" w:name="_cp_change_51"/>
      <w:bookmarkStart w:id="30" w:name="_cp_change_51"/>
      <w:bookmarkEnd w:id="3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r>
    </w:tbl>
    <w:p>
      <w:pPr>
        <w:pStyle w:val="TextBody"/>
        <w:bidi w:val="0"/>
        <w:spacing w:before="120" w:after="80"/>
        <w:ind w:left="0" w:right="0" w:hanging="0"/>
        <w:jc w:val="left"/>
        <w:rPr>
          <w:rFonts w:ascii="Times New Roman;Times;serif" w:hAnsi="Times New Roman;Times;serif"/>
          <w:b/>
          <w:sz w:val="20"/>
        </w:rPr>
      </w:pPr>
      <w:r>
        <w:rPr>
          <w:rFonts w:ascii="Times New Roman;Times;serif" w:hAnsi="Times New Roman;Times;serif"/>
          <w:b/>
          <w:sz w:val="20"/>
        </w:rPr>
        <w:t>Operational and Service Delivery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others to provide the programming that we offer to our Pay-TV subscribers and, if we fail to obtain or lose access to certain programming, our Pay-TV subscriber activations and our subscriber churn rate may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single vendor or a limited number of vendors to provide certain key products or services to us, and the inability of these key vendors to meet our needs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independent third parties to solicit orders for our services that represent a meaningful percentage of our total gross new subscriber activations.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our Human Capital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highly skilled personnel for our business, and any inability to hire and retain key personnel or to hire qualified personnel may negatively affect our business, financial condition and results of operations.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growth and customer retention strategies rely in part on the work of technically skilled employees.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our Products and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certain intellectual property rights and on not infringing the intellectual property rights of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may become, party to various lawsuits which, if adversely decided, could have a significant adverse impact on our business, particularly lawsuits regarding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Cybersecurity</w:t>
      </w:r>
    </w:p>
    <w:p>
      <w:pPr>
        <w:pStyle w:val="Normal"/>
        <w:bidi w:val="0"/>
        <w:spacing w:before="0" w:after="0"/>
        <w:jc w:val="left"/>
        <w:rPr>
          <w:sz w:val="4"/>
          <w:szCs w:val="4"/>
        </w:rPr>
      </w:pPr>
      <w:r>
        <w:rPr>
          <w:sz w:val="4"/>
          <w:szCs w:val="4"/>
        </w:rPr>
      </w:r>
      <w:bookmarkStart w:id="31" w:name="_cp_change_158"/>
      <w:bookmarkStart w:id="32" w:name="_cp_change_158"/>
      <w:bookmarkEnd w:id="32"/>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confidentiality, integrity, and availability of our services and products depends on the continuing operation of our information technology and other enabling systems.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Acquisition and Capital Structure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r>
    </w:tbl>
    <w:p>
      <w:pPr>
        <w:pStyle w:val="Normal"/>
        <w:bidi w:val="0"/>
        <w:spacing w:before="0" w:after="0"/>
        <w:jc w:val="left"/>
        <w:rPr>
          <w:sz w:val="4"/>
          <w:szCs w:val="4"/>
        </w:rPr>
      </w:pPr>
      <w:r>
        <w:rPr>
          <w:sz w:val="4"/>
          <w:szCs w:val="4"/>
        </w:rPr>
      </w:r>
      <w:bookmarkStart w:id="33" w:name="_cp_change_258"/>
      <w:bookmarkStart w:id="34" w:name="_cp_change_255"/>
      <w:bookmarkStart w:id="35" w:name="_cp_change_253"/>
      <w:bookmarkStart w:id="36" w:name="_cp_change_251"/>
      <w:bookmarkStart w:id="37" w:name="_cp_change_258"/>
      <w:bookmarkStart w:id="38" w:name="_cp_change_255"/>
      <w:bookmarkStart w:id="39" w:name="_cp_change_253"/>
      <w:bookmarkStart w:id="40" w:name="_cp_change_251"/>
      <w:bookmarkEnd w:id="37"/>
      <w:bookmarkEnd w:id="38"/>
      <w:bookmarkEnd w:id="39"/>
      <w:bookmarkEnd w:id="4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may pursue acquisitions, dispositions, capital expenditures, the development, acquisition and launch of new satellites</w:t>
            </w:r>
            <w:r>
              <w:rPr>
                <w:caps w:val="false"/>
                <w:smallCaps w:val="false"/>
              </w:rPr>
              <w:t xml:space="preserve"> </w:t>
            </w:r>
            <w:r>
              <w:rPr>
                <w:rFonts w:ascii="Times New Roman;Times;serif" w:hAnsi="Times New Roman;Times;serif"/>
                <w:b w:val="false"/>
                <w:i w:val="false"/>
                <w:caps w:val="false"/>
                <w:smallCaps w:val="false"/>
                <w:sz w:val="20"/>
              </w:rPr>
              <w:t>and other strategic</w:t>
            </w:r>
            <w:r>
              <w:rPr>
                <w:caps w:val="false"/>
                <w:smallCaps w:val="false"/>
              </w:rPr>
              <w:t xml:space="preserve"> </w:t>
            </w:r>
            <w:r>
              <w:rPr>
                <w:rFonts w:ascii="Times New Roman;Times;serif" w:hAnsi="Times New Roman;Times;serif"/>
                <w:b w:val="false"/>
                <w:i w:val="false"/>
                <w:caps w:val="false"/>
                <w:smallCaps w:val="false"/>
                <w:sz w:val="20"/>
              </w:rPr>
              <w:t>initiatives</w:t>
            </w:r>
            <w:r>
              <w:rPr>
                <w:caps w:val="false"/>
                <w:smallCaps w:val="false"/>
              </w:rPr>
              <w:t xml:space="preserve"> </w:t>
            </w:r>
            <w:r>
              <w:rPr>
                <w:rFonts w:ascii="Times New Roman;Times;serif" w:hAnsi="Times New Roman;Times;serif"/>
                <w:b w:val="false"/>
                <w:i w:val="false"/>
                <w:caps w:val="false"/>
                <w:smallCaps w:val="false"/>
                <w:sz w:val="20"/>
              </w:rPr>
              <w:t>to complement or expand our business, which</w:t>
            </w:r>
            <w:r>
              <w:rPr>
                <w:caps w:val="false"/>
                <w:smallCaps w:val="false"/>
              </w:rPr>
              <w:t xml:space="preserve"> </w:t>
            </w:r>
            <w:r>
              <w:rPr>
                <w:rFonts w:ascii="Times New Roman;Times;serif" w:hAnsi="Times New Roman;Times;serif"/>
                <w:b w:val="false"/>
                <w:i w:val="false"/>
                <w:caps w:val="false"/>
                <w:smallCaps w:val="false"/>
                <w:sz w:val="20"/>
              </w:rPr>
              <w:t>may not be successful and we may lose a portion or all</w:t>
            </w:r>
            <w:r>
              <w:rPr>
                <w:caps w:val="false"/>
                <w:smallCaps w:val="false"/>
              </w:rPr>
              <w:t xml:space="preserve"> </w:t>
            </w:r>
            <w:r>
              <w:rPr>
                <w:rFonts w:ascii="Times New Roman;Times;serif" w:hAnsi="Times New Roman;Times;serif"/>
                <w:b w:val="false"/>
                <w:i w:val="false"/>
                <w:caps w:val="false"/>
                <w:smallCaps w:val="false"/>
                <w:sz w:val="20"/>
              </w:rPr>
              <w:t>of our investment in these acquisitions and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substantial investments to acquire certain wireless spectrum licenses and other related assets, and we may be unable to realize a return on these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which may not be available on favorable terms, to fund current obligations, continue investing in our business and to finance acquisitions and other strategic transactions.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parent, EchoStar, is controlled by one principal stockholder, who is also our Chairman.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 Bold" w:hAnsi="Times New Roman Bold"/>
          <w:b/>
          <w:sz w:val="20"/>
        </w:rPr>
      </w:pPr>
      <w:r>
        <w:rPr>
          <w:rFonts w:ascii="Times New Roman Bold" w:hAnsi="Times New Roman Bold"/>
          <w:b/>
          <w:sz w:val="20"/>
        </w:rPr>
        <w:t>Risks Related to the Regulation of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services depend on FCC licenses that can expire or be revoked or modified and applications for FCC licenses that may not be granted.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1" w:name="PARTI_947181"/>
      <w:bookmarkStart w:id="42" w:name="_5bd43294_43e6_4085_b086_c6a8fa1240ba"/>
      <w:bookmarkStart w:id="43" w:name="_contentSection_08e400f4_5d84_4060_a42a_"/>
      <w:bookmarkEnd w:id="41"/>
      <w:bookmarkEnd w:id="42"/>
      <w:bookmarkEnd w:id="43"/>
      <w:r>
        <w:rPr>
          <w:rFonts w:ascii="Times New Roman;Times;serif" w:hAnsi="Times New Roman;Times;serif"/>
          <w:b/>
          <w:sz w:val="20"/>
        </w:rPr>
        <w:t>PART I</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4" w:name="Item1BUSINESS_74199"/>
      <w:bookmarkStart w:id="45" w:name="_Hlk531942218"/>
      <w:bookmarkStart w:id="46" w:name="_Hlk531941690"/>
      <w:bookmarkStart w:id="47" w:name="_Hlk531939349"/>
      <w:bookmarkStart w:id="48" w:name="Item1BUSINESS_74199"/>
      <w:bookmarkStart w:id="49" w:name="_Hlk531942218"/>
      <w:bookmarkStart w:id="50" w:name="_Hlk531941690"/>
      <w:bookmarkStart w:id="51" w:name="_Hlk531939349"/>
      <w:bookmarkEnd w:id="48"/>
      <w:bookmarkEnd w:id="49"/>
      <w:bookmarkEnd w:id="50"/>
      <w:bookmarkEnd w:id="51"/>
    </w:p>
    <w:tbl>
      <w:tblPr>
        <w:tblW w:w="1787" w:type="dxa"/>
        <w:jc w:val="left"/>
        <w:tblInd w:w="0" w:type="dxa"/>
        <w:tblLayout w:type="fixed"/>
        <w:tblCellMar>
          <w:top w:w="0" w:type="dxa"/>
          <w:left w:w="0" w:type="dxa"/>
          <w:bottom w:w="0" w:type="dxa"/>
          <w:right w:w="0" w:type="dxa"/>
        </w:tblCellMar>
      </w:tblPr>
      <w:tblGrid>
        <w:gridCol w:w="706"/>
        <w:gridCol w:w="108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108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BUSINESS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is a holding company that was organized in 1995 as a corporation under the laws of the State of Nevada. Its subsidiaries, together with DISH Network Corporation, are referred to as “DISH Network,” the “Company,” “we,” “us” and/or “our,” unless otherwise required by the context. DISH Network is a wholly-owned subsidiary of EchoStar Corporation (“EchoStar”), a publicly traded company listed on the NASDAQ Global Select Market (“NASDAQ”) under the symbol “SATS.” Our principal executive offices are located at 9601 South Meridian Boulevard, Englewood, Colorado 80112 and our telephone number is (303) 723-1000. We refer readers of this report to EchoStar’s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bookmarkStart w:id="52" w:name="_Hlk531013068"/>
      <w:bookmarkEnd w:id="52"/>
      <w:r>
        <w:rPr>
          <w:rFonts w:ascii="Times New Roman;Times;serif" w:hAnsi="Times New Roman;Times;serif"/>
          <w:i/>
          <w:sz w:val="20"/>
        </w:rPr>
        <w:t>Merger with EchoStar</w:t>
      </w:r>
    </w:p>
    <w:p>
      <w:pPr>
        <w:pStyle w:val="TextBody"/>
        <w:bidi w:val="0"/>
        <w:spacing w:before="0" w:after="120"/>
        <w:ind w:left="0" w:right="0" w:hanging="0"/>
        <w:jc w:val="left"/>
        <w:rPr/>
      </w:pPr>
      <w:r>
        <w:rPr/>
        <w:t>​</w:t>
      </w:r>
    </w:p>
    <w:p>
      <w:pPr>
        <w:pStyle w:val="TextBody"/>
        <w:bidi w:val="0"/>
        <w:spacing w:before="0" w:after="0"/>
        <w:ind w:left="0" w:right="20" w:hanging="0"/>
        <w:jc w:val="left"/>
        <w:rPr>
          <w:rFonts w:ascii="Times New Roman;Times;serif" w:hAnsi="Times New Roman;Times;serif"/>
          <w:sz w:val="20"/>
        </w:rPr>
      </w:pPr>
      <w:r>
        <w:rPr>
          <w:rFonts w:ascii="Times New Roman;Times;serif" w:hAnsi="Times New Roman;Times;serif"/>
          <w:sz w:val="20"/>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w:t>
      </w:r>
    </w:p>
    <w:p>
      <w:pPr>
        <w:pStyle w:val="TextBody"/>
        <w:bidi w:val="0"/>
        <w:spacing w:before="0" w:after="0"/>
        <w:ind w:left="0" w:right="20" w:hanging="0"/>
        <w:jc w:val="left"/>
        <w:rPr/>
      </w:pPr>
      <w:r>
        <w:rPr/>
        <w:t>​</w:t>
      </w:r>
    </w:p>
    <w:p>
      <w:pPr>
        <w:pStyle w:val="TextBody"/>
        <w:bidi w:val="0"/>
        <w:spacing w:before="0" w:after="0"/>
        <w:ind w:left="0" w:right="60" w:hanging="0"/>
        <w:jc w:val="left"/>
        <w:rPr>
          <w:rFonts w:ascii="Times New Roman;Times;serif" w:hAnsi="Times New Roman;Times;serif"/>
          <w:sz w:val="20"/>
        </w:rPr>
      </w:pPr>
      <w:r>
        <w:rPr>
          <w:rFonts w:ascii="Times New Roman;Times;serif" w:hAnsi="Times New Roman;Times;serif"/>
          <w:sz w:val="20"/>
        </w:rPr>
        <w:t xml:space="preserve">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w:t>
      </w:r>
    </w:p>
    <w:p>
      <w:pPr>
        <w:pStyle w:val="TextBody"/>
        <w:bidi w:val="0"/>
        <w:spacing w:before="0" w:after="0"/>
        <w:ind w:left="0" w:right="60" w:hanging="0"/>
        <w:jc w:val="left"/>
        <w:rPr/>
      </w:pPr>
      <w:r>
        <w:rPr/>
        <w:t>​</w:t>
      </w:r>
    </w:p>
    <w:p>
      <w:pPr>
        <w:pStyle w:val="TextBody"/>
        <w:bidi w:val="0"/>
        <w:spacing w:before="0" w:after="0"/>
        <w:ind w:left="0" w:right="60" w:hanging="0"/>
        <w:jc w:val="left"/>
        <w:rPr>
          <w:rFonts w:ascii="Times New Roman;Times;serif" w:hAnsi="Times New Roman;Times;serif"/>
          <w:sz w:val="20"/>
        </w:rPr>
      </w:pPr>
      <w:r>
        <w:rPr>
          <w:rFonts w:ascii="Times New Roman;Times;serif" w:hAnsi="Times New Roman;Times;serif"/>
          <w:sz w:val="20"/>
        </w:rPr>
        <w:t>Any shares of DISH Network Common Stock that were held in DISH Network’s treasury or held directly by EchoStar or Merger Sub immediately prior to the Effective Time were cancelled and cease to exist and no consideration was paid in respect thereof. All shares of the DISH Network Class A Common Stock were delisted from NASDAQ and deregistered under the Securities Exchange Act of 1934, as amended.</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Concurrently with the entry into the Amended Merger Agreement, the Ergen EchoStar Stockholders (as defined in the Amended Merger Agreement), the Ergen DISH Stockholders (collectively, the “Ergen Stockholders”), EchoStar and DISH Network entered into an amended and restated support agreement (the “Amended Support Agreement”). </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completion of the Merger, and pursuant to the Amended and Restated Support Agreement, on December 31, 2023, EchoStar and the Ergen Stockholders entered into a registration rights agreement (the “Registration Rights Agreement”). 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EchoStar to make appropriate officers available to participate in roadshow presentations and cooperate as reasonably requested in connection with any underwritten offerings. EchoStar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EchoStar for use in a registration statement by a participating stockholder.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more information and a copy of the Amended Merger Agreement, the Amended Support Agreement and the Registration Rights Agreement, see the Form 8-K of EchoStar filed on October 3, 2023 and the Form 8-K of EchoStar filed on January 2, 2024.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the Merger complete, we are currently focused on the process of integrating our and EchoStar’s business in a manner that facilitates synergies, cost savings, growth opportunities and achieves other anticipated benefits (the “Integration”).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Corporation is a holding company. Its subsidiaries operate three primary business segments: (1) Pay-TV; (2) Retail Wireless and (3) 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20"/>
        </w:rPr>
        <w:t>We offer pay-TV services under the DISH</w:t>
      </w:r>
      <w:r>
        <w:rPr>
          <w:rFonts w:ascii="Times New Roman;Times;serif" w:hAnsi="Times New Roman;Times;serif"/>
          <w:sz w:val="16"/>
        </w:rPr>
        <w:t xml:space="preserve">® </w:t>
      </w:r>
      <w:r>
        <w:rPr>
          <w:rFonts w:ascii="Times New Roman;Times;serif" w:hAnsi="Times New Roman;Times;serif"/>
          <w:sz w:val="20"/>
        </w:rPr>
        <w:t>brand and the SLING</w:t>
      </w:r>
      <w:r>
        <w:rPr>
          <w:rFonts w:ascii="Times New Roman;Times;serif" w:hAnsi="Times New Roman;Times;serif"/>
          <w:sz w:val="16"/>
        </w:rPr>
        <w:t xml:space="preserve">® </w:t>
      </w:r>
      <w:r>
        <w:rPr>
          <w:rFonts w:ascii="Times New Roman;Times;serif" w:hAnsi="Times New Roman;Times;serif"/>
          <w:sz w:val="20"/>
        </w:rPr>
        <w:t>brand (collectively “Pay-TV” services). The DISH branded pay-TV service consists of, among other things, Federal Communications Commission (“FCC”)</w:t>
      </w:r>
      <w:r>
        <w:rPr>
          <w:rFonts w:ascii="Times New Roman;Times;serif" w:hAnsi="Times New Roman;Times;serif"/>
          <w:sz w:val="16"/>
        </w:rPr>
        <w:t xml:space="preserve"> </w:t>
      </w:r>
      <w:r>
        <w:rPr>
          <w:rFonts w:ascii="Times New Roman;Times;serif" w:hAnsi="Times New Roman;Times;serif"/>
          <w:sz w:val="20"/>
        </w:rPr>
        <w:t>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2023, we had 8.526 million Pay-TV subscribers in the United States, including 6.471 million DISH TV subscribers and 2.055 million SLING TV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Retail Wireless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bookmarkStart w:id="53" w:name="_DV_C38"/>
      <w:bookmarkEnd w:id="53"/>
      <w:r>
        <w:rPr>
          <w:rFonts w:ascii="Times New Roman;Times;serif" w:hAnsi="Times New Roman;Times;serif"/>
          <w:sz w:val="20"/>
        </w:rPr>
        <w:t>We offer nationwide prepaid and postpaid retail wireless services to subscribers primarily under our Boost Mobile</w:t>
      </w:r>
      <w:r>
        <w:rPr>
          <w:rFonts w:ascii="Times New Roman;Times;serif" w:hAnsi="Times New Roman;Times;serif"/>
          <w:sz w:val="16"/>
        </w:rPr>
        <w:t>®</w:t>
      </w:r>
      <w:r>
        <w:rPr>
          <w:rFonts w:ascii="Times New Roman;Times;serif" w:hAnsi="Times New Roman;Times;serif"/>
          <w:sz w:val="20"/>
        </w:rPr>
        <w:t>, Boost postpaid and Gen Mobile</w:t>
      </w:r>
      <w:r>
        <w:rPr>
          <w:rFonts w:ascii="Times New Roman;Times;serif" w:hAnsi="Times New Roman;Times;serif"/>
          <w:sz w:val="16"/>
        </w:rPr>
        <w:t xml:space="preserve">® </w:t>
      </w:r>
      <w:r>
        <w:rPr>
          <w:rFonts w:ascii="Times New Roman;Times;serif" w:hAnsi="Times New Roman;Times;serif"/>
          <w:sz w:val="20"/>
        </w:rPr>
        <w:t xml:space="preserve">brands (“Retail Wireless” services), as well as a competitive portfolio of wireless devices. Prepaid wireless subscribers generally pay in advance for </w:t>
      </w:r>
      <w:r>
        <w:rPr>
          <w:rFonts w:ascii="Times New Roman;Times;serif" w:hAnsi="Times New Roman;Times;serif"/>
          <w:sz w:val="20"/>
          <w:shd w:fill="FFFFFF" w:val="clear"/>
        </w:rPr>
        <w:t xml:space="preserve">monthly access to wireless talk, text, and data services. </w:t>
      </w:r>
      <w:r>
        <w:rPr>
          <w:rFonts w:ascii="Times New Roman;Times;serif" w:hAnsi="Times New Roman;Times;serif"/>
          <w:sz w:val="20"/>
        </w:rPr>
        <w:t xml:space="preserve">Postpaid wireless subscribers are qualified to pay after receiving </w:t>
      </w:r>
      <w:r>
        <w:rPr>
          <w:rFonts w:ascii="Times New Roman;Times;serif" w:hAnsi="Times New Roman;Times;serif"/>
          <w:sz w:val="20"/>
          <w:shd w:fill="FFFFFF" w:val="clear"/>
        </w:rPr>
        <w:t>wireless talk, text, and data services and may also qualify for financing arrangements for wireless devices</w:t>
      </w:r>
      <w:r>
        <w:rPr>
          <w:rFonts w:ascii="Times New Roman;Times;serif" w:hAnsi="Times New Roman;Times;serif"/>
          <w:sz w:val="20"/>
        </w:rPr>
        <w:t xml:space="preserve">. </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Times New Roman;Times;serif" w:hAnsi="Times New Roman;Times;serif"/>
          <w:sz w:val="20"/>
        </w:rPr>
      </w:pPr>
      <w:bookmarkStart w:id="54" w:name="_DV_M26"/>
      <w:bookmarkStart w:id="55" w:name="_DV_C24"/>
      <w:bookmarkEnd w:id="54"/>
      <w:bookmarkEnd w:id="55"/>
      <w:r>
        <w:rPr>
          <w:rFonts w:ascii="Times New Roman;Times;serif" w:hAnsi="Times New Roman;Times;serif"/>
          <w:sz w:val="20"/>
        </w:rPr>
        <w:t>We are currently operating our Retail Wireless segment primarily as a mobile virtual network operator (“MVNO”) as we continue our 5G Network Deployment and commercialize our 5G Network, as defined below. We are transitioning our Retail Wireless segment to a mobile network operator (“MNO”) as our 5G Network becomes commercially available and we are currently activating subscribers onto our 5G Network in markets where we have reached voice over new radio (“VoNR”).</w:t>
      </w:r>
      <w:r>
        <w:rPr>
          <w:rFonts w:ascii="Times New Roman;Times;serif" w:hAnsi="Times New Roman;Times;serif"/>
          <w:sz w:val="20"/>
          <w:shd w:fill="FFFFFF" w:val="clear"/>
        </w:rPr>
        <w:t xml:space="preserve"> </w:t>
      </w:r>
      <w:r>
        <w:rPr>
          <w:rFonts w:ascii="Times New Roman;Times;serif" w:hAnsi="Times New Roman;Times;serif"/>
          <w:sz w:val="20"/>
        </w:rPr>
        <w:t xml:space="preserve">As an MVNO, today we depend on T-Mobile and AT&amp;T to provide us with network services under the amended Master Network Services Agreement (“MNSA”) and Network Services Agreement (the “NSA”), respectively. Under the NSA, we expect AT&amp;T will become our primary network services provider. As of December 31, 2023, we had 7.378 million Wireless subscribers.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5G Network Deployment</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13 in the Notes to our Consolidated Financial Statements in this Annual Report on Form 10-K for further information.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including 20% of the U.S. population by June 2022 and 70% of the U.S. population by June 2023.</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pacing w:val="-2"/>
          <w:sz w:val="20"/>
        </w:rPr>
        <w:t>On June 14, 2022, we announced we had successfully reached our 20% population coverage require</w:t>
      </w:r>
      <w:r>
        <w:rPr>
          <w:rFonts w:ascii="Times New Roman;Times;serif" w:hAnsi="Times New Roman;Times;serif"/>
          <w:sz w:val="20"/>
        </w:rPr>
        <w:t xml:space="preserv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confirmed using the drive test methodology agreed to and approved by the FCC and overseen by an independent monitor. </w:t>
      </w:r>
      <w:r>
        <w:rPr>
          <w:rFonts w:ascii="Times New Roman;Times;serif" w:hAnsi="Times New Roman;Times;serif"/>
          <w:color w:val="0A0A0A"/>
          <w:sz w:val="20"/>
          <w:shd w:fill="FEFEFE" w:val="clear"/>
        </w:rPr>
        <w:t xml:space="preserve">We now have the largest commercial deployment of 5G VoNR </w:t>
      </w:r>
      <w:r>
        <w:rPr>
          <w:rFonts w:ascii="Times New Roman;Times;serif" w:hAnsi="Times New Roman;Times;serif"/>
          <w:color w:val="0A0A0A"/>
          <w:sz w:val="20"/>
        </w:rPr>
        <w:t xml:space="preserve">in the world reaching approximately 200 million Americans and </w:t>
      </w:r>
      <w:r>
        <w:rPr>
          <w:rFonts w:ascii="Times New Roman;Times;serif" w:hAnsi="Times New Roman;Times;serif"/>
          <w:sz w:val="20"/>
        </w:rPr>
        <w:t xml:space="preserve">5G broadband service </w:t>
      </w:r>
      <w:r>
        <w:rPr>
          <w:rFonts w:ascii="Times New Roman;Times;serif" w:hAnsi="Times New Roman;Times;serif"/>
          <w:color w:val="0A0A0A"/>
          <w:sz w:val="20"/>
        </w:rPr>
        <w:t>reaching approximately 250 million Americans.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Strategy – 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Pay-TV segment business strategy is to be the best provider of video services in the United States by providing products with the best technology, outstanding customer service, and great value. </w:t>
      </w:r>
      <w:r>
        <w:rPr>
          <w:rFonts w:ascii="Times New Roman;Times;serif" w:hAnsi="Times New Roman;Times;serif"/>
          <w:spacing w:val="-2"/>
          <w:sz w:val="20"/>
        </w:rPr>
        <w:t xml:space="preserve">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Products with the Best Technology.</w:t>
            </w:r>
            <w:r>
              <w:rPr>
                <w:caps w:val="false"/>
                <w:smallCaps w:val="false"/>
              </w:rPr>
              <w:t xml:space="preserve"> </w:t>
            </w:r>
            <w:r>
              <w:rPr>
                <w:rFonts w:ascii="Times New Roman;Times;serif" w:hAnsi="Times New Roman;Times;serif"/>
                <w:b w:val="false"/>
                <w:i w:val="false"/>
                <w:caps w:val="false"/>
                <w:smallCaps w:val="false"/>
                <w:sz w:val="20"/>
              </w:rPr>
              <w:t xml:space="preserve">We offer a wide selection of local and national HD programming and are a technology leader in our industry, offering award-winning DVRs (including our Hopper® whole-home HD DVR), multiple tuner receivers, video on demand and external hard drives. We offer several SLING TV services, including </w:t>
            </w:r>
            <w:r>
              <w:rPr>
                <w:rFonts w:ascii="Times New Roman;Times;serif" w:hAnsi="Times New Roman;Times;serif"/>
                <w:b w:val="false"/>
                <w:i w:val="false"/>
                <w:caps w:val="false"/>
                <w:smallCaps w:val="false"/>
                <w:spacing w:val="-2"/>
                <w:sz w:val="20"/>
              </w:rPr>
              <w:t>SLING</w:t>
            </w:r>
            <w:r>
              <w:rPr>
                <w:caps w:val="false"/>
                <w:smallCaps w:val="false"/>
              </w:rPr>
              <w:t xml:space="preserve"> </w:t>
            </w:r>
            <w:r>
              <w:rPr>
                <w:rFonts w:ascii="Times New Roman;Times;serif" w:hAnsi="Times New Roman;Times;serif"/>
                <w:b w:val="false"/>
                <w:i w:val="false"/>
                <w:caps w:val="false"/>
                <w:smallCaps w:val="false"/>
                <w:sz w:val="20"/>
              </w:rPr>
              <w:t xml:space="preserve">Orange (our single-stream </w:t>
            </w:r>
            <w:r>
              <w:rPr>
                <w:rFonts w:ascii="Times New Roman;Times;serif" w:hAnsi="Times New Roman;Times;serif"/>
                <w:b w:val="false"/>
                <w:i w:val="false"/>
                <w:caps w:val="false"/>
                <w:smallCaps w:val="false"/>
                <w:spacing w:val="-2"/>
                <w:sz w:val="20"/>
              </w:rPr>
              <w:t>SLING</w:t>
            </w:r>
            <w:r>
              <w:rPr>
                <w:caps w:val="false"/>
                <w:smallCaps w:val="false"/>
              </w:rPr>
              <w:t xml:space="preserve"> </w:t>
            </w:r>
            <w:r>
              <w:rPr>
                <w:rFonts w:ascii="Times New Roman;Times;serif" w:hAnsi="Times New Roman;Times;serif"/>
                <w:b w:val="false"/>
                <w:i w:val="false"/>
                <w:caps w:val="false"/>
                <w:smallCaps w:val="false"/>
                <w:sz w:val="20"/>
              </w:rPr>
              <w:t xml:space="preserve">domestic service), </w:t>
            </w:r>
            <w:r>
              <w:rPr>
                <w:rFonts w:ascii="Times New Roman;Times;serif" w:hAnsi="Times New Roman;Times;serif"/>
                <w:b w:val="false"/>
                <w:i w:val="false"/>
                <w:caps w:val="false"/>
                <w:smallCaps w:val="false"/>
                <w:spacing w:val="-2"/>
                <w:sz w:val="20"/>
              </w:rPr>
              <w:t>SLING</w:t>
            </w:r>
            <w:r>
              <w:rPr>
                <w:caps w:val="false"/>
                <w:smallCaps w:val="false"/>
              </w:rPr>
              <w:t xml:space="preserve"> </w:t>
            </w:r>
            <w:r>
              <w:rPr>
                <w:rFonts w:ascii="Times New Roman;Times;serif" w:hAnsi="Times New Roman;Times;serif"/>
                <w:b w:val="false"/>
                <w:i w:val="false"/>
                <w:caps w:val="false"/>
                <w:smallCaps w:val="false"/>
                <w:sz w:val="20"/>
              </w:rPr>
              <w:t>Blue (our multi-stream SLING domestic service), International, Latino and Freestream, among others, as well as add-on extras, direct to consumer services, pay-per-view events and a cloud-based DVR service.</w:t>
            </w:r>
            <w:r>
              <w:rPr>
                <w:caps w:val="false"/>
                <w:smallCaps w:val="false"/>
              </w:rPr>
              <w:t xml:space="preserve">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6" w:name="_DV_C156"/>
      <w:bookmarkStart w:id="57" w:name="_DV_C156"/>
      <w:bookmarkEnd w:id="57"/>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Outstanding Customer Service. </w:t>
            </w:r>
            <w:r>
              <w:rPr>
                <w:rFonts w:ascii="Times New Roman;Times;serif" w:hAnsi="Times New Roman;Times;serif"/>
                <w:b w:val="false"/>
                <w:i w:val="false"/>
                <w:caps w:val="false"/>
                <w:smallCaps w:val="false"/>
                <w:sz w:val="20"/>
              </w:rPr>
              <w:t>We strive to</w:t>
            </w:r>
            <w:r>
              <w:rPr>
                <w:caps w:val="false"/>
                <w:smallCaps w:val="false"/>
              </w:rPr>
              <w:t xml:space="preserve"> </w:t>
            </w:r>
            <w:r>
              <w:rPr>
                <w:rFonts w:ascii="Times New Roman;Times;serif" w:hAnsi="Times New Roman;Times;serif"/>
                <w:b w:val="false"/>
                <w:i w:val="false"/>
                <w:caps w:val="false"/>
                <w:smallCaps w:val="false"/>
                <w:sz w:val="20"/>
              </w:rPr>
              <w:t>provide outstanding customer service by, among other things, improving the quality of the initial installation of subscriber equipment, improving the reliability of our equipment, better educating our customers about our products and services, and resolving customer problems promptly and effectively when they arise.</w:t>
            </w:r>
            <w:r>
              <w:rPr>
                <w:caps w:val="false"/>
                <w:smallCaps w:val="false"/>
              </w:rPr>
              <w:t xml:space="preserve">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8" w:name="_DV_C159"/>
      <w:bookmarkStart w:id="59" w:name="_Hlk536541683"/>
      <w:bookmarkStart w:id="60" w:name="_DV_C158"/>
      <w:bookmarkStart w:id="61" w:name="_DV_C159"/>
      <w:bookmarkStart w:id="62" w:name="_Hlk536541683"/>
      <w:bookmarkStart w:id="63" w:name="_DV_C158"/>
      <w:bookmarkEnd w:id="61"/>
      <w:bookmarkEnd w:id="62"/>
      <w:bookmarkEnd w:id="6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Great Value.</w:t>
            </w:r>
            <w:r>
              <w:rPr>
                <w:caps w:val="false"/>
                <w:smallCaps w:val="false"/>
              </w:rPr>
              <w:t xml:space="preserve"> </w:t>
            </w:r>
            <w:r>
              <w:rPr>
                <w:rFonts w:ascii="Times New Roman;Times;serif" w:hAnsi="Times New Roman;Times;serif"/>
                <w:b w:val="false"/>
                <w:i w:val="false"/>
                <w:caps w:val="false"/>
                <w:smallCaps w:val="false"/>
                <w:sz w:val="20"/>
              </w:rPr>
              <w:t>We</w:t>
            </w:r>
            <w:r>
              <w:rPr>
                <w:caps w:val="false"/>
                <w:smallCaps w:val="false"/>
              </w:rPr>
              <w:t xml:space="preserve"> </w:t>
            </w:r>
            <w:r>
              <w:rPr>
                <w:rFonts w:ascii="Times New Roman;Times;serif" w:hAnsi="Times New Roman;Times;serif"/>
                <w:b w:val="false"/>
                <w:i w:val="false"/>
                <w:caps w:val="false"/>
                <w:smallCaps w:val="false"/>
                <w:sz w:val="20"/>
              </w:rPr>
              <w:t xml:space="preserve">have historically been viewed as the low-cost provider in the pay-TV industry in the United States. However, today with DISH TV, we are focused on a message of Service, Value and Technology. We also offer a differentiated customer experience with our award-winning Hopper® platform that integrates voice control powered by Google Assistant, access to apps including Netflix, Prime Video and YouTube, and the ability to watch live, recorded and On Demand content anywhere with the DISH Anywhere mobile application. As another example, our </w:t>
            </w:r>
            <w:r>
              <w:rPr>
                <w:rFonts w:ascii="Times New Roman;Times;serif" w:hAnsi="Times New Roman;Times;serif"/>
                <w:b w:val="false"/>
                <w:i w:val="false"/>
                <w:caps w:val="false"/>
                <w:smallCaps w:val="false"/>
                <w:spacing w:val="-2"/>
                <w:sz w:val="20"/>
              </w:rPr>
              <w:t>SLING</w:t>
            </w:r>
            <w:r>
              <w:rPr>
                <w:caps w:val="false"/>
                <w:smallCaps w:val="false"/>
              </w:rPr>
              <w:t xml:space="preserve"> </w:t>
            </w:r>
            <w:r>
              <w:rPr>
                <w:rFonts w:ascii="Times New Roman;Times;serif" w:hAnsi="Times New Roman;Times;serif"/>
                <w:b w:val="false"/>
                <w:i w:val="false"/>
                <w:caps w:val="false"/>
                <w:smallCaps w:val="false"/>
                <w:sz w:val="20"/>
              </w:rPr>
              <w:t xml:space="preserve">Orange service and our </w:t>
            </w:r>
            <w:r>
              <w:rPr>
                <w:rFonts w:ascii="Times New Roman;Times;serif" w:hAnsi="Times New Roman;Times;serif"/>
                <w:b w:val="false"/>
                <w:i w:val="false"/>
                <w:caps w:val="false"/>
                <w:smallCaps w:val="false"/>
                <w:spacing w:val="-2"/>
                <w:sz w:val="20"/>
              </w:rPr>
              <w:t>SLING</w:t>
            </w:r>
            <w:r>
              <w:rPr>
                <w:caps w:val="false"/>
                <w:smallCaps w:val="false"/>
              </w:rPr>
              <w:t xml:space="preserve"> </w:t>
            </w:r>
            <w:r>
              <w:rPr>
                <w:rFonts w:ascii="Times New Roman;Times;serif" w:hAnsi="Times New Roman;Times;serif"/>
                <w:b w:val="false"/>
                <w:i w:val="false"/>
                <w:caps w:val="false"/>
                <w:smallCaps w:val="false"/>
                <w:sz w:val="20"/>
              </w:rPr>
              <w:t>Blue service are two of the lowest priced live-linear online streaming services in the industry.</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RETAIL WIRELESS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Strategy - Retail Wireless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offer nationwide prepaid and postpaid Retail Wireless services to subscribers primarily under our Boost Mobile, Boost postpaid and Gen Mobile brands, as well as a competitive portfolio of wireless devices. We offer customers value by providing choice and flexibility in our Retail Wireless services. We offer competitive consumer plans with no annual service contracts. Prepaid wireless subscribers generally pay in advance for </w:t>
      </w:r>
      <w:r>
        <w:rPr>
          <w:rFonts w:ascii="Times New Roman;Times;serif" w:hAnsi="Times New Roman;Times;serif"/>
          <w:sz w:val="20"/>
          <w:shd w:fill="FFFFFF" w:val="clear"/>
        </w:rPr>
        <w:t xml:space="preserve">monthly access to wireless talk, text, and data services. </w:t>
      </w:r>
      <w:r>
        <w:rPr>
          <w:rFonts w:ascii="Times New Roman;Times;serif" w:hAnsi="Times New Roman;Times;serif"/>
          <w:sz w:val="20"/>
        </w:rPr>
        <w:t xml:space="preserve">Postpaid wireless subscribers are qualified to pay after receiving </w:t>
      </w:r>
      <w:r>
        <w:rPr>
          <w:rFonts w:ascii="Times New Roman;Times;serif" w:hAnsi="Times New Roman;Times;serif"/>
          <w:sz w:val="20"/>
          <w:shd w:fill="FFFFFF" w:val="clear"/>
        </w:rPr>
        <w:t>wireless talk, text, and data services, and may also qualify for financing arrangements for wireless devices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Boost postpaid</w:t>
      </w:r>
      <w:r>
        <w:rPr>
          <w:rFonts w:ascii="Times New Roman;Times;serif" w:hAnsi="Times New Roman;Times;serif"/>
          <w:sz w:val="20"/>
        </w:rPr>
        <w:t>. In the fourth quarter of 2022, we launched our Boost postpaid wireless service, to a limited number of customers who had signed up for early registration. During 2023, we launched our nationwide expansion of our Boost postpaid wireless service, and at the end of the third quarter of 2023, we began offering the iPhone 15 on our 5G Network and expanded our Boost postpaid offering through a distribution partnership with Amazon.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currently operating our Retail Wireless segment primarily as an MVNO as we continue our 5G Network Deployment and commercialize and grow customer traffic on our 5G Network. We are transitioning our Retail Wireless segment to an MNO as our 5G Network becomes commercially available. We are currently activating Boost Mobile and Boost postpaid subscribers with compatible devices onto our 5G Network in markets where we have launched 5G voice services. Within our MVNO operations, today we depend on T-Mobile and AT&amp;T to provide us with network services under the MNSA and NSA, respectively. Under the NSA, we expect AT&amp;T will become our primary network services provider.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Strategy – 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13 in the Notes to our Consolidated Financial Statements in this Annual Report on Form 10-K for further information.</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 See Note 13 in the Notes to our Consolidated Financial Statements in this Annual Report on Form 10-K for further information.</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DISH Network Spectrum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w:t>
      </w:r>
      <w:r>
        <w:rPr>
          <w:rFonts w:ascii="Times New Roman;Times;serif" w:hAnsi="Times New Roman;Times;serif"/>
          <w:spacing w:val="-2"/>
          <w:sz w:val="20"/>
        </w:rPr>
        <w:t xml:space="preserve"> have invested </w:t>
      </w:r>
      <w:r>
        <w:rPr>
          <w:rFonts w:ascii="Times New Roman;Times;serif" w:hAnsi="Times New Roman;Times;serif"/>
          <w:sz w:val="20"/>
        </w:rPr>
        <w:t>a total of over</w:t>
      </w:r>
      <w:r>
        <w:rPr>
          <w:rFonts w:ascii="Times New Roman;Times;serif" w:hAnsi="Times New Roman;Times;serif"/>
          <w:spacing w:val="-2"/>
          <w:sz w:val="20"/>
        </w:rPr>
        <w:t xml:space="preserve"> $30 billion to acquire certain Wireless spectrum licenses. These Wireless spectrum licenses are subject to certain interim and final build-out requirements, as well as certain renewal requirements. </w:t>
      </w:r>
      <w:r>
        <w:rPr>
          <w:rFonts w:ascii="Times New Roman;Times;serif" w:hAnsi="Times New Roman;Times;serif"/>
          <w:sz w:val="20"/>
        </w:rPr>
        <w:t xml:space="preserve">Our 5G Network Deployment segment business strategy is to commercialize our Wireless spectrum licenses through the completion of the nation’s first cloud-native, Open Radio Access Network (“O-RAN”) based 5G network (our “5G Network Deployment”). We have committed to deploy our 5G Network capable of serving increasingly larger portions of the U.S. population at different deadlines, including 20% of the U.S. population by 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w:t>
      </w:r>
      <w:r>
        <w:rPr>
          <w:rFonts w:ascii="Times New Roman;Times;serif" w:hAnsi="Times New Roman;Times;serif"/>
          <w:spacing w:val="-2"/>
          <w:sz w:val="20"/>
        </w:rPr>
        <w:t>On June 14, 2022, we announced we had successfully reached our 20% population coverage require</w:t>
      </w:r>
      <w:r>
        <w:rPr>
          <w:rFonts w:ascii="Times New Roman;Times;serif" w:hAnsi="Times New Roman;Times;serif"/>
          <w:sz w:val="20"/>
        </w:rPr>
        <w:t>ment. In addition, we announced and certified to the FCC that as of June 14, 2023, we offer 5G broadband service to over 73% of the U.S. population, or more than 246 million Americans nationwide.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confirmed using the drive test methodology agreed to and approved by the FCC and overseen by an independent monitor.</w:t>
      </w:r>
      <w:r>
        <w:rPr>
          <w:rFonts w:ascii="Times New Roman;Times;serif" w:hAnsi="Times New Roman;Times;serif"/>
          <w:sz w:val="20"/>
          <w:shd w:fill="FEFEFE" w:val="clear"/>
        </w:rPr>
        <w:t> We now have the largest commercial deployment of 5G VoNR in the world reaching approximately 200 million Americans and 5G broadband service reaching approximately 250 million Americans.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13 in the Notes to our Consolidated Financial Statements in this Annual Report on Form 10-K for further information.</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DISH Network Noncontrolling Investments in the Northstar Entities and the SNR Entities Related to AWS-3 Wireless Spectrum Licenses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2015, through our wholly-owned subsidiaries American AWS-3 Wireless II L.L.C. (“American II”) and American AWS-3 Wireless III L.L.C. (“American III”), we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and to SNR Wireless, respectively, which are recorded in “Regulatory authorizations, net” on our Consolidated Balance Sheets. Under the applicable accounting guidance in Accounting Standards Codification 810, </w:t>
      </w:r>
      <w:r>
        <w:rPr>
          <w:rFonts w:ascii="Times New Roman;Times;serif" w:hAnsi="Times New Roman;Times;serif"/>
          <w:i/>
          <w:sz w:val="20"/>
        </w:rPr>
        <w:t>Consolidation</w:t>
      </w:r>
      <w:r>
        <w:rPr>
          <w:rFonts w:ascii="Times New Roman;Times;serif" w:hAnsi="Times New Roman;Times;serif"/>
          <w:sz w:val="20"/>
        </w:rPr>
        <w:t xml:space="preserve"> (“ASC 810”), Northstar Spectrum and SNR HoldCo are considered variable interest entities (“VIEs”) and, based on the characteristics of the structure of these entities and in accordance with the applicable accounting guidance, we consolidate these entities into our financial statements. On October 12, 2023, the FCC consented to the sale of Northstar Manager, LLC’s (“Northstar Manager”)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Wireless Management, LLC’s (“SNR Management”) ownership interests in SNR HoldCo, which was purchased by our parent’s direct wholly-owned subsidiary EchoStar SNR HoldCo L.L.C. for a total of approximately $442 million on February 16, 2024. This purchase resulted in the conversion of our outstanding redeemable noncontrolling interest as it relates to SNR HoldCo to noncontrolling interest, which is now held by our parent, EchoStar, as of the purchase date. See Note 2 in the Notes to our Consolidated Financial Statements in this Annual Report on Form 10-K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WEBSITE ACCESS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a result of the merger, we are no longer subject to the informational requirements of Section 13(a) or 15(d) of the Exchange Act and accordingly voluntarily file with the SEC.  Our SEC filings may be accessed free of charge through the website of our parent, EchoStar, as soon as reasonably practicable after we have electronically filed such material with, or furnished it to, the SEC. </w:t>
      </w:r>
      <w:r>
        <w:rPr>
          <w:rFonts w:ascii="Times New Roman;Times;serif" w:hAnsi="Times New Roman;Times;serif"/>
          <w:sz w:val="20"/>
        </w:rPr>
        <w:t xml:space="preserve">The address of that website is https://ir.echostar.com/. </w:t>
      </w:r>
    </w:p>
    <w:p>
      <w:pPr>
        <w:pStyle w:val="TextBody"/>
        <w:bidi w:val="0"/>
        <w:spacing w:lineRule="atLeast" w:line="22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4" w:name="Item1ARISKFACTORS_546271"/>
      <w:bookmarkStart w:id="65" w:name="_1312d167_5fe0_4565_a379_2ef29201273a"/>
      <w:bookmarkStart w:id="66" w:name="_Hlk506808808"/>
      <w:bookmarkEnd w:id="64"/>
      <w:bookmarkEnd w:id="65"/>
      <w:bookmarkEnd w:id="66"/>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i/>
          <w:sz w:val="20"/>
        </w:rPr>
      </w:pPr>
      <w:r>
        <w:rPr>
          <w:rFonts w:ascii="Times New Roman;Times;serif" w:hAnsi="Times New Roman;Times;serif"/>
          <w:i/>
          <w:sz w:val="20"/>
        </w:rPr>
        <w:t>The risks and uncertainties described below are not the only ones facing us. If any of the following events occur or evolve in a way different than expected, our business, financial condition and/or results of operations could be materially and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the Integration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Although we expect that the Merger will result in synergies and other benefits, those synergies and benefits may not be realized in the amounts anticipated, or may not be realized within the anticipated timeframe, or at all, and risks associated with the foregoing may also result from any extended delay in the Integration of the companies.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ability to realize the anticipated benefits of the Merger will depend, to a large extent, on our ability to integrate EchoStar’s and our business in a manner that facilitates growth opportunities and achieves the anticipated benefits. In addition, some of the anticipated synergies are not expected to occur for a significant time period following the completion of the Merger and will require substantial capital expenditures to achieve. There can be no guarantee we will achieve any of these benefits on the anticipated timeframe or at all.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combination of two separate companies is complex, costly and time-consuming and may require significant management attention and resources which may divert attention from our business and operations. The failure to meet the challenges involved in combining the two companies and to realize the anticipated benefits of the Merger could, among other things, cause an interruption of, or a loss of momentum in, our activities and could adversely affect our results of operations. The overall combination of the two companies may also result in, among other things, material unanticipated problems, expenses, liabilities, competitive responses and loss of customer and other business relationships. The difficulties of combining our operations include, among others:</w:t>
      </w:r>
    </w:p>
    <w:p>
      <w:pPr>
        <w:pStyle w:val="TextBody"/>
        <w:bidi w:val="0"/>
        <w:spacing w:before="0" w:after="0"/>
        <w:ind w:left="0" w:right="0" w:hanging="0"/>
        <w:jc w:val="left"/>
        <w:rPr/>
      </w:pPr>
      <w:r>
        <w:rPr/>
        <w:t>​</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and employee attention to Integration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integrating operations and systems, including, but not limited to, communications systems, administrative and information technology infrastructure, financial reporting and internal control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conforming standards, controls, procedures and accounting and other policies, business cultures and compensation structures between the two companies;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integrating employees and teams of the respective businesses and attracting and retaining key personnel;</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retaining and obtaining customers, suppliers and other commercial relationships;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the expanded operations of a larger and more complex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unknown liabilities, adverse consequences and unforeseen increased expenses associated with the Integration.</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of these factors are outside of our control and any of them could result in lower revenues, higher costs and diversion of management time and energy, which could materially impact our business, financial condition and results of operations. In addition, even if the operations of the companies are integrated successfully, the full benefits of the Merger may not be realized, including, among others, the synergies, cost savings or sales or growth opportunities that are expected. These benefits may not be achieved within the anticipated time frame or at all. As a result, it cannot be assured that the Integration will result in the realization of the full benefits expected from the Merger within the anticipated time frames, or at all.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Competition and Economic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Our Pay-TV business faces substantial competition from established pay-TV providers and broadband service providers and increasing competition from companies providing/facilitating the delivery of video content via the Internet to computers, televisions, and other streaming and mobile devices, including, but not limited to, wireless service providers. In recent years, the traditional pay-TV industry has matured, and industry consolidation and convergence have created competitors with greater scale and multiple product/service offerings. Some of these services charge nominal or no fees for access to their content, which could adversely affect demand for our Pay-TV services. Moreover, new technologies have been, and will likely continue to be, developed that further increase the number of competitors we face with respect to video services, including, but not limited to, competition from piracy-based video offerings. These developments, among others, have contributed to intense and increasing competition, which we expect to continue.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w:t>
      </w:r>
      <w:r>
        <w:rPr>
          <w:rFonts w:ascii="Times New Roman;Times;serif" w:hAnsi="Times New Roman;Times;serif"/>
          <w:i/>
          <w:sz w:val="20"/>
        </w:rPr>
        <w:t>Item 7. Management’s Narrative Analysis of Results of Operations – Trends in our Pay-TV Segment – Competition</w:t>
      </w:r>
      <w:r>
        <w:rPr>
          <w:rFonts w:ascii="Times New Roman;Times;serif" w:hAnsi="Times New Roman;Times;serif"/>
          <w:sz w:val="20"/>
        </w:rPr>
        <w:t xml:space="preserve">” in this Annual Report on Form 10-K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herein. Such providers may be able to, among other things, utilize their increased leverage over third-party content owners and programmers to withhold online rights from us and reduce the price they pay for programming at the expense of other MVPDs, including us; thwart our ability to compete in the wireless market, by, among other things, refuse to enter into data roaming agreements; underutilize key orbital spectrum resources that could be more efficiently used by us; foreclose or degrade our online video offerings at various points in the broadband pipe; and impose data caps on consumers who access our online video offerings. See “</w:t>
      </w:r>
      <w:r>
        <w:rPr>
          <w:rFonts w:ascii="Times New Roman;Times;serif" w:hAnsi="Times New Roman;Times;serif"/>
          <w:i/>
          <w:sz w:val="20"/>
        </w:rPr>
        <w:t>Item 7. Management’s Narrative Analysis of Results of Operations – Trends in our Pay-TV Segment – Programming</w:t>
      </w:r>
      <w:r>
        <w:rPr>
          <w:rFonts w:ascii="Times New Roman;Times;serif" w:hAnsi="Times New Roman;Times;serif"/>
          <w:sz w:val="20"/>
        </w:rPr>
        <w:t>” in this Annual Report on Form 10-K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the availability and extent of programming, including, but not limited to, unique programming services such as foreign language, sports programming and original content, and other value-added services such as access to video via mobile devices, continue to be significant factors in consumers’ choice among pay-TV providers. Other pay-TV providers may have more successfully marketed and promoted their programming packages and value-added services and may also be better equipped and have greater resources to increase their programming offerings and value-added services to respond to increasing consumer demand. 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Furthermore, this increasingly competitive environment may require us to increase subscriber acquisition and retention spending or accept lower subscriber activations and higher subscriber churn.  Increasingly, we must seek to attract a greater proportion of new subscribers from our competitors’ existing subscriber bases rather than from first-time purchasers of pay-TV services. In addition, because other pay-TV providers may be seeking to attract a greater proportion of their new subscribers from our existing subscriber base, we may be required to increase retention spending and/or provide greater discounts or credits to acquire and retain subscribers who may spend less on our services. Our SLING TV subscribers on average purchase lower-priced programming services than do DISH TV subscribers. Accordingly, an increase in SLING TV subscribers has a negative impact on our Pay-TV average monthly revenue per subscriber (“Pay-TV ARPU”). If our Pay-TV ARPU decreases or does not increase commensurate with increases in programming or other costs, our margins may be reduced and the long-term value of a subscriber would then decrease and could have a material adverse effect on our business, results of operations and financial condition.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In addition, as a result of this increased competitive environment and the maturation of the pay-TV industry, future growth opportunities of our DISH TV business may be limited and our margins may be reduced, which could have a material adverse effect on our business, results of operations and financial condition. Our gross new DISH TV subscriber activations continue to be negatively impacted by stricter subscriber acquisition policies (including, but not limited to, a focus on attaining higher quality subscribers) and increased competitive pressures, including, but not limited to, aggressive marketing, more aggressive retention efforts, bundled discount offers combining broadband, video and/or wireless services and other discounted promotional offers. In addition, we face increased competitive pressures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and direct-to-consumer exclusive and non-exclusive content. There can be no assurance that our gross new DISH TV subscriber activations, net DISH TV subscriber additions, and DISH TV churn rate will not continue to be negatively impacted and that the pace of such negative impact will not accelerate. In the event that our DISH TV subscriber base continues to decline or such decline accelerates, it could have a material adverse effect on our business, results of operations and financial condition.</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Changing consumer behavior and new technologies in our Pay-TV business may reduce our subscriber activations and may cause our subscribers to purchase fewer services from us or to cancel our services altogether, resulting in less revenue to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technologies, products and services are driving rapid changes in consumer behavior as consumers seek more control over when, where and how they consume content and access communication services. In particular, through technological advancements and with the large increase in the number of consumers with broadband service, a significant amount of video content has become available through online content providers for users to stream and view on their personal computers, televisions, phones, tablets, video game consoles and other devices, in some cases without a fee required to access the content. While our subscribers can use their traditional video subscription to access mobile programming, an increasing number of subscribers are also using mobile devices as the sole means of viewing video, and an increasing number of non-traditional video providers is developing content and technologies to satisfy that demand. For example, these technological advancements, changes in consumer behavior, and the increasing number of choices available to consumers regarding the means by which consumers obtain video content may cause DISH TV subscribers to disconnect our services (“cord cutting”), downgrade to smaller, less expensive programming packages (“cord shaving”) or elect to purchase through online content providers a certain portion of the services that they would have historically purchased from us. These technological advancements and changes in consumer behavior and/or our failure to effectively anticipate or adapt to such changes, could reduce our gross new Pay-TV subscriber activations and increase our subscriber churn rate and could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 to improve.</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67" w:name="_Hlk506314105"/>
      <w:bookmarkEnd w:id="67"/>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face certain risks competing in the wireless services industry and operating a facilities-based wireless services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certain acquisitions, we have entered the retail wireless business. We have made substantial investments to acquire certain wireless spectrum licenses. We plan to commercialize our Wireless spectrum licenses through the completion of our 5G Network Deployment. A Wireless services business presents certain risks. Any of the following risks, among others, may have a material adverse effect on our future business, results of operations and financial condition.</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The wireless services industry is dominated by incumbents. </w:t>
            </w:r>
            <w:r>
              <w:rPr>
                <w:rFonts w:ascii="Times New Roman;Times;serif" w:hAnsi="Times New Roman;Times;serif"/>
                <w:b w:val="false"/>
                <w:i w:val="false"/>
                <w:caps w:val="false"/>
                <w:smallCaps w:val="false"/>
                <w:sz w:val="20"/>
              </w:rPr>
              <w:t>We have limited experience in the wireless services industry, which is an industry with increasing subscriber demands for data services that require increasing capital resources to maintain a robust network. The wireless services industry has incumbent and established competitors such as Verizon, AT&amp;T and T-Mobile with substantial market share. These companies have, among other things, greater financial, marketing and other resources than us, and have existing cost and operational advantages that we lack. Market saturation is expected to continue to cause subscriber growth rates in the wireless services industry to moderate in comparison to historical growth rates, leading to increased competition for subscribers. As the industry matures, competitors increasingly must seek to attract a greater proportion of new subscribers from each other’s existing subscriber bases rather than from first-time purchasers of wireless services. Furthermore, the cost of attracting a new subscriber is generally higher than the cost associated with retaining an existing subscriber. In addition, we face increasing competition from wireless telecommunications providers who offer mobile video offerings or partner with others to create bundled offerings. Wireless mobile video offerings have become more prevalent in the marketplace as wireless telecommunications providers have expanded the fifth generation of wireless communications. As previously noted, 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Such companies may be able to, among other things, pressure third-party content owners and programmers to withhold online rights from us; utilize their increased leverage over third-party content owners and programmers to reduce the price they pay for programming at the expense of other MVPDs, including us; thwart our ability to compete in the wireless market, by, among other things, refusing to enter into data roaming agreements with us; foreclose or degrade our online video offerings at various points in the broadband pipe; and impose data caps on consumers who access our online video offerings. See “</w:t>
            </w:r>
            <w:r>
              <w:rPr>
                <w:rFonts w:ascii="Times New Roman;Times;serif" w:hAnsi="Times New Roman;Times;serif"/>
                <w:b w:val="false"/>
                <w:i/>
                <w:sz w:val="20"/>
              </w:rPr>
              <w:t>Item 1. Business – Overview – Retail Wireless</w:t>
            </w:r>
            <w:r>
              <w:rPr>
                <w:caps w:val="false"/>
                <w:smallCaps w:val="false"/>
              </w:rPr>
              <w:t xml:space="preserve">” </w:t>
            </w:r>
            <w:r>
              <w:rPr>
                <w:rFonts w:ascii="Times New Roman;Times;serif" w:hAnsi="Times New Roman;Times;serif"/>
                <w:b w:val="false"/>
                <w:i w:val="false"/>
                <w:caps w:val="false"/>
                <w:smallCaps w:val="false"/>
                <w:sz w:val="20"/>
              </w:rPr>
              <w:t>and “</w:t>
            </w:r>
            <w:r>
              <w:rPr>
                <w:rFonts w:ascii="Times New Roman;Times;serif" w:hAnsi="Times New Roman;Times;serif"/>
                <w:b w:val="false"/>
                <w:i/>
                <w:sz w:val="20"/>
              </w:rPr>
              <w:t>Item 7. Management’s Narrative Analysis of Results of Operations – Retail Wireless Segment</w:t>
            </w:r>
            <w:r>
              <w:rPr>
                <w:caps w:val="false"/>
                <w:smallCaps w:val="false"/>
              </w:rPr>
              <w:t xml:space="preserve">” </w:t>
            </w:r>
            <w:r>
              <w:rPr>
                <w:rFonts w:ascii="Times New Roman;Times;serif" w:hAnsi="Times New Roman;Times;serif"/>
                <w:b w:val="false"/>
                <w:i w:val="false"/>
                <w:caps w:val="false"/>
                <w:smallCaps w:val="false"/>
                <w:sz w:val="20"/>
              </w:rPr>
              <w:t xml:space="preserve">in this Annual Report on Form 10-K for further information.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Our ability to compete effectively in the wireless services industry is dependent on a number of factors.</w:t>
            </w:r>
            <w:r>
              <w:rPr>
                <w:caps w:val="false"/>
                <w:smallCaps w:val="false"/>
              </w:rPr>
              <w:t xml:space="preserve"> </w:t>
            </w:r>
            <w:r>
              <w:rPr>
                <w:rFonts w:ascii="Times New Roman;Times;serif" w:hAnsi="Times New Roman;Times;serif"/>
                <w:b w:val="false"/>
                <w:i w:val="false"/>
                <w:caps w:val="false"/>
                <w:smallCaps w:val="false"/>
                <w:sz w:val="20"/>
              </w:rPr>
              <w:t>Our ability to compete effectively in the wireless services industry depends on, among other things, our network quality, capacity and coverage; the pricing of our products and services; the quality of subscriber service; our development of new and enhanced products and services; the reach and quality of our sales and distribution channels; our ability to predict and adapt to future changes in technologies and changes in consumer demands; and our capital resources. It also depends on how successfully we anticipate and respond to various competitive factors affecting the industry, including, among others, new technologies and business models, products and services that may be introduced by competitors, changes in consumer preferences, the demand for and usage of data, video and other voice and non-voice services, demographic trends, economic conditions, and discount pricing and other strategies that may be implemented by competitors. It may be difficult for us to differentiate our products and services from other competitors in the industry, which may limit our ability to attract and retain subscribers. Our success also may depend on our ability to access and deploy adequate spectrum, deploy new technologies and offer attractive products and services to subscribers. For example, we may not be able to obtain and offer certain technologies, features or services that are subject to competitor patents or other exclusive arrangements. Our success and financial results also depend on, among other factors, our ability to achieve a lower cost structure in our 5G Network Deployment and commercialization of our network. As we complete our 5G Network Deployment and transition a portion of our business to a MNO from an MVNO, our results of operations and financial performance will depend in part on our ability to offer wireless services more cost effectively than we are able to do so through the use of our current MVNO agreements.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We depend on certain third parties to provide us with infrastructure and products and services.</w:t>
            </w:r>
            <w:r>
              <w:rPr>
                <w:caps w:val="false"/>
                <w:smallCaps w:val="false"/>
              </w:rPr>
              <w:t xml:space="preserve"> </w:t>
            </w:r>
            <w:r>
              <w:rPr>
                <w:rFonts w:ascii="Times New Roman;Times;serif" w:hAnsi="Times New Roman;Times;serif"/>
                <w:b w:val="false"/>
                <w:i w:val="false"/>
                <w:caps w:val="false"/>
                <w:smallCaps w:val="false"/>
                <w:sz w:val="20"/>
              </w:rPr>
              <w:t>We depend on various key suppliers and vendors to provide us, directly or through other suppliers, with infrastructure, equipment and services, such as switch and network equipment, handsets and other devices and equipment that we would need in order to operate a wireless services business and provide products and services to our subscribers. For example, handset and other device suppliers often rely on one vendor for the manufacture and supply of critical components, such as chipsets, used in their devices. If these suppliers or vendors fail to provide equipment or services on a timely basis, or at all or fail to meet performance expectations, we may be unable to provide products and services as and when expected by our subscribers. Any difficulties experienced with these suppliers and vendors could result in additional expense and/or delays in operating our Wireless services. Our efforts involve significant expense and require strategic management decisions on, and timely implementation of, among other things, equipment choices, network deployment and management, and service offerings. In addition, these suppliers and vendors may also be subject to litigation with respect to technology on which we depend, including, but not limited to, litigation involving claims of patent infringement.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Failure of these products to, among other things, effectively interoperate with one another could adversely affect our financial performance, including, but not limited to, our ability to complete our 5G Network Deployment on a cost-effective or timely basis or at all.</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8" w:name="_Hlk506314090"/>
      <w:bookmarkStart w:id="69" w:name="_Hlk506314090"/>
      <w:bookmarkEnd w:id="6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Wireless services and our Wireless spectrum licenses are subject to government regulation.</w:t>
            </w:r>
            <w:r>
              <w:rPr>
                <w:caps w:val="false"/>
                <w:smallCaps w:val="false"/>
              </w:rPr>
              <w:t xml:space="preserve"> </w:t>
            </w:r>
            <w:r>
              <w:rPr>
                <w:rFonts w:ascii="Times New Roman;Times;serif" w:hAnsi="Times New Roman;Times;serif"/>
                <w:b w:val="false"/>
                <w:i w:val="false"/>
                <w:caps w:val="false"/>
                <w:smallCaps w:val="false"/>
                <w:sz w:val="20"/>
              </w:rPr>
              <w:t xml:space="preserve">Wireless services and our Wireless spectrum licenses are subject to regulation by the FCC and other federal, state and local, as well as international, governmental authorities. These governmental authorities could adopt regulations or take other actions that would adversely affect our business prospects, making it more difficult and/or expensive to complete our 5G Network Deployment and to further commercialize our Wireless spectrum licenses or acquire additional licenses. The licensing, construction, operation, sale and interconnection arrangements of wireless telecommunications systems are regulated by the FCC and, depending on the jurisdiction, other federal and international, state and local regulatory agencies. In particular, the FCC imposes significant regulation on licensees of wireless spectrum with respect to, among other things,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 based on certain factors depending on the license including, among others, public interest considerations, level and quality of services and/or operations provided by the licensee, frequency and duration of any interruptions or outages of services and/or operations provided by the licensee, and the extent to which service is provided to, and/or operation is provided in, rural areas and tribal lands. </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There can be no assurances that our Wireless spectrum licenses will be renewed or that we will be able to obtain additional licenses. Failure to comply with FCC requirements in a given license area could result in revocation of the license for that license area. In addition, the FCC uses its transactional “spectrum screen” to identify prospective wireless transactions that may require additional competitive scrutiny. If a proposed transaction would exceed the spectrum screen threshold, the FCC undertakes a more detailed analysis of relevant market conditions in the impacted geographic areas to determine whether the transaction would reduce competition without offsetting public benefits. If a proposed spectrum acquisition exceeds the spectrum screen trigger, such additional review could extend the duration of the regulatory review process and there can be no assurance that such proposed spectrum acquisition would ultimately be completed, in whole or in part.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pay-TV competitors may be able to leverage their relationships with programmers to reduce their programming costs and/or offer exclusive content that will place them at a competitive advantage to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programming represents the largest percentage of our overall Pay-TV costs. Certain of our competitors own directly, partner with, and/or are affiliated with companies that own programming content that may enable them to obtain lower programming costs or offer exclusive programming that may be attractive to prospective subscribers. Unlike our larger cable and satellite competitors, some of which also provide internet or broadband based pay-TV services, we have not made significant investments in programming providers. In addition, certain programmers have begun offering a greater amount of their content on a direct-to-consumer basis, including, but not limited to, exclusive and non-exclusive content. As a result, it may be more difficult for us to obtain access to such programming networks on nondiscriminatory and fair terms, or at all. See “</w:t>
      </w:r>
      <w:r>
        <w:rPr>
          <w:rFonts w:ascii="Times New Roman;Times;serif" w:hAnsi="Times New Roman;Times;serif"/>
          <w:i/>
          <w:sz w:val="20"/>
        </w:rPr>
        <w:t>Item 1. Business – Government Regulations – FCC Regulations Applicable to Our Operations – Cable Act and Program Access</w:t>
      </w:r>
      <w:r>
        <w:rPr>
          <w:rFonts w:ascii="Times New Roman;Times;serif" w:hAnsi="Times New Roman;Times;serif"/>
          <w:sz w:val="20"/>
        </w:rPr>
        <w:t>” in EchoStar’s Annual Report on Form 10-K for the year ended December 31, 2023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2021, we entered into the NSA with AT&amp;T to provide us with wireless network services. Under the NSA, we expect AT&amp;T will become our primary network services provider. In addition, under the NSA, we have committed to activate on AT&amp;T a minimum percentage of certain of our Wireless subscribers and to utilize AT&amp;T’s network for a minimum specified percentage of our domestic roaming data usage. We have agreed to pay AT&amp;T at least $5 billion over the course of the 10-year term of the NSA, subject to certain terms and conditions. In 2020 in connection with the Asset Purchase Agreement, we entered into a master network services agreement with T-Mobile to provide us with wireless network services for a period of seven years (the “Prior MNSA”). In June 2022, we and T-Mobile entered into the MNSA, which amended the Prior MNSA. Under the MNSA, we agreed to a minimum purchase commitment to T-Mobile of $3.3 billion over the course of the MNSA, subject to certain terms and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result, failure to meet the minimum commitments to AT&amp;T or T-Mobile could have a material adverse effect on our business, financial condition and results of operations. For example, failure to meet our minimum commitments would result in, among other things, the acceleration of financial commitments and potential termination of the NSA or the MNSA,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we continue our 5G Network Deployment, we currently depend on T-Mobile and AT&amp;T to provide us with network services pursuant to the MNSA and the NSA, respectively, to offer Retail Wireless services. We rely on T-Mobile and AT&amp;T to, among other things, maintain their wireless facilities and government authorizations and to comply with government policies and regulations. If T-Mobile or AT&amp;T fails to do so, our subscriber activations and churn rate could be negatively impacted, which in turn could have a material adverse effect on our business, financial condition and results of operations. As a result, failure to manage these relationships, including, but not limited to, effectively activating subscribers on the optimal network, transitioning subscribers to a different network, managing the existing subscriber base and vendor relationships and meeting certain minimum commitments could have a material adverse effect on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that a termination under the NSA or the MNSA were to occur, our Wireless subscribers may need to obtain a new device, a new SIM card or receive a software update to continue receiving Wireless services from us. These required measures would cause significant disruption to our Wireless subscriber base which could result in, among other things, a significant increase in our churn rate. A termination of either the NSA or the MNSA, respectively, could result in significant financial and operational challenges to mitigate such termination, and there can be no assurances that any attempts to mitigate a termination event would be successful on an acceptable timeframe or at all.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compete with the MNOs whose networks we rely on to provide wireless services to our customers, and they may seek to limit, reduce or terminate our network access to the extent that it becomes competitively advantageous to do 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able to offer wireless services to our customers through the 5G Network, and through our existing agreements with AT&amp;T and T-Mobile, both of whom are competitors of ours. While our agreements with AT&amp;T and T-Mobile currently have ten and seven-year terms from the date of signing, respectively, to the extent that either network service provider experiences, among other things, network capacity challenges, it is possible that our subscribers could be de-prioritized for access to those networks. Further, AT&amp;T and/or T-Mobile may decide not to renew their agreements with us at acceptable rates, or at all. Any reduction in, or loss of, access to those networks in the future could significantly impact our ability to provide services to our subscribers and in turn have a material adverse effect on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how network operators handle and charge for access to data that travels across their networks could adversely impact our Pay-TV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respect to our Pay-TV business, we rely upon the ability of consumers to access our SLING TV services and certain DISH TV functionality through the Internet. If network operators block, restrict, slow-down or throttle or otherwise impair access to our services over their networks, our business could be negatively affected. To the extent that network operators implement usage-based pricing including, but not limited to, meaningful bandwidth caps, or otherwise try to monetize access to their networks by data providers, we could incur greater operating expenses and our SLING TV subscriber count could be negatively impacted. Furthermore, to the extent network operators create tiers of Internet access service and either charge us for or prohibit us from being available through these tiers, our SLING TV business could be negatively impacted.</w:t>
      </w:r>
    </w:p>
    <w:p>
      <w:pPr>
        <w:pStyle w:val="TextBody"/>
        <w:bidi w:val="0"/>
        <w:spacing w:before="0" w:after="0"/>
        <w:ind w:left="0" w:right="0" w:firstLine="45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video content over the Internet without counting against a subscriber’s monthly data caps, which may give an unfair advantage to the network operator’s own video content.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cannot predict with any certainty the impact to our business that may result from changes in how network operators handle and charge for access to data that travels across their networks.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Economic weakness and uncertainty may adversely affect our ability to grow or maintain our business.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ability to grow or maintain our business may be adversely affected by economic weakness and uncertainty, which could result in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Fewer subscriber activations and increased subscriber churn rate.</w:t>
            </w:r>
            <w:r>
              <w:rPr>
                <w:caps w:val="false"/>
                <w:smallCaps w:val="false"/>
              </w:rPr>
              <w:t xml:space="preserve"> </w:t>
            </w:r>
            <w:r>
              <w:rPr>
                <w:rFonts w:ascii="Times New Roman;Times;serif" w:hAnsi="Times New Roman;Times;serif"/>
                <w:b w:val="false"/>
                <w:i w:val="false"/>
                <w:caps w:val="false"/>
                <w:smallCaps w:val="false"/>
                <w:sz w:val="20"/>
              </w:rPr>
              <w:t>We could face fewer subscriber activations 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and Wireless subscriber activations, because many of them are small businesses that are more susceptible to the negative effects of economic weakness. In particular, our DISH TV churn rate and Wireless churn rate may increase with respect to subscribers who purchase our lower tier programming packages and Retail Wireless services, and who may be more sensitive to economic weakness, including, among others, our pay-in-advance subscribers.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Higher subscriber acquisition and retention costs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Our profits may be adversely affected by increased subscriber acquisition and retention costs necessary to attract and retain high-quality subscribers during a period of economic weakness.</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unable to take advantage of technological developments on a timely basis, or at all, we may experience a decline in demand for our services or face challenges in implementing or evolving our business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order to grow and remain competitive, we will need to adapt to changes in available technology, including, but not limited to, artificial intelligence and machine learning, continually invest in our 5G Network Deployment, increase 5G Network capacity, enhance our existing service offerings and introduce new offerings to meet our current and potential subscribers’ changing service demands. Enhancing our 5G Network, including, but not limited to, our ongoing 5G Network Deployment, is subject to risks related to, among other things, equipment choices, network deployment and management, and service offerings.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Therefore, we generally serve as the overall system integrator.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Operational and Service Delivery Risks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Any deterioration in our operational performance and subscriber satisfaction could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our operational performance and subscriber satisfaction with respect to our Pay-TV and/or Wireless businesses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and our Retail Wireless business operations.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our subscriber activations decrease, or if our subscriber churn rate, subscriber acquisition costs or retention costs increase, our financial performance will be adversely affected. </w:t>
      </w:r>
    </w:p>
    <w:p>
      <w:pPr>
        <w:pStyle w:val="TextBody"/>
        <w:bidi w:val="0"/>
        <w:spacing w:before="0" w:after="0"/>
        <w:ind w:left="0" w:right="0" w:hanging="0"/>
        <w:jc w:val="left"/>
        <w:rPr/>
      </w:pPr>
      <w:r>
        <w:rPr/>
        <w:t>​</w:t>
      </w:r>
    </w:p>
    <w:p>
      <w:pPr>
        <w:pStyle w:val="TextBody"/>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 may incur increased costs to acquire new subscribers and retain existing subscribers to some or all of our Pay-TV or Wireless businesses. For example, with respect to our Pay-TV business, our gross new DISH TV subscriber activations, net DISH TV subscriber additions, and DISH TV churn rate continue to be negatively impacted by stricter subscriber acquisition and retention policies for our DISH TV subscribers. Retention costs with respect to our DISH TV services may be driven higher by, among other things, increased upgrades of existing subscribers’ equipment. </w:t>
      </w:r>
    </w:p>
    <w:p>
      <w:pPr>
        <w:pStyle w:val="TextBody"/>
        <w:bidi w:val="0"/>
        <w:spacing w:lineRule="atLeast" w:line="240" w:before="0" w:after="0"/>
        <w:ind w:left="0" w:right="0" w:hanging="0"/>
        <w:jc w:val="left"/>
        <w:rPr/>
      </w:pPr>
      <w:r>
        <w:rPr/>
        <w:t>​</w:t>
      </w:r>
    </w:p>
    <w:p>
      <w:pPr>
        <w:pStyle w:val="TextBody"/>
        <w:bidi w:val="0"/>
        <w:spacing w:lineRule="atLeast" w:line="240" w:before="0" w:after="0"/>
        <w:ind w:left="0" w:right="0" w:hanging="0"/>
        <w:jc w:val="left"/>
        <w:rPr>
          <w:rFonts w:ascii="Times New Roman;Times;serif" w:hAnsi="Times New Roman;Times;serif"/>
          <w:sz w:val="20"/>
        </w:rPr>
      </w:pPr>
      <w:bookmarkStart w:id="70" w:name="_DV_C227"/>
      <w:bookmarkEnd w:id="70"/>
      <w:r>
        <w:rPr>
          <w:rFonts w:ascii="Times New Roman;Times;serif" w:hAnsi="Times New Roman;Times;serif"/>
          <w:sz w:val="20"/>
        </w:rPr>
        <w:t>Although we expect to continue to incur expenses, such as providing retention credits and other subscriber acquisition and retention expenses, to attract and retain subscribers there can be no assurance that our efforts will generate new subscribers or result in a lower churn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40" w:before="0" w:after="0"/>
        <w:ind w:left="0" w:right="0" w:hanging="0"/>
        <w:jc w:val="left"/>
        <w:rPr/>
      </w:pPr>
      <w:r>
        <w:rPr/>
        <w:t>​</w:t>
      </w:r>
    </w:p>
    <w:p>
      <w:pPr>
        <w:pStyle w:val="TextBody"/>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For our Retail Wireless business, we are currently in the process of integrating our Retail Wireless operations and making certain operational changes to enhance profitability. We are working to ensure that certain subscribers we acquire and retain are profitable under our MVNO economics. As an example, certain subscribers that use high amounts of data may be profitable for a MNO but are not profitable under a MVNO. This has caused our net Wireless subscriber additions to be negatively impacted. In addition, as we transition from a MVNO to a MNO, our subscriber acquisition costs may increase due to, among other factors, certain differences between prepaid and postpaid subscribers.</w:t>
      </w:r>
    </w:p>
    <w:p>
      <w:pPr>
        <w:pStyle w:val="TextBody"/>
        <w:bidi w:val="0"/>
        <w:spacing w:lineRule="atLeast" w:line="240" w:before="0" w:after="0"/>
        <w:ind w:left="0" w:right="0" w:hanging="0"/>
        <w:jc w:val="left"/>
        <w:rPr/>
      </w:pPr>
      <w:r>
        <w:rPr/>
        <w:t>​</w:t>
      </w:r>
    </w:p>
    <w:p>
      <w:pPr>
        <w:pStyle w:val="TextBody"/>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Although we expect to continue to incur expenses, such as providing retention credits and other subscriber acquisition and retention expenses, including, but not limited to, devices subsidy and upgrade discounts, to attract and retain subscribers, there can be no assurance that our efforts will generate new subscribers or result in a lower churn rate. Our subscriber acquisition costs and our subscriber retention costs can vary significantly from period to period and can cause material variability to our net income (loss) and free cash flow. Any material increase in subscriber acquisition or retention costs from current levels could have a material adverse effect on our business, financial condition and results of operations.</w:t>
      </w:r>
    </w:p>
    <w:p>
      <w:pPr>
        <w:pStyle w:val="TextBody"/>
        <w:bidi w:val="0"/>
        <w:spacing w:lineRule="atLeast" w:line="24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With respect to our Pay-TV business, programming expenses are increasing, which may adversely affect our future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1" w:name="_DV_M291"/>
      <w:bookmarkStart w:id="72" w:name="_DV_M290"/>
      <w:bookmarkStart w:id="73" w:name="_DV_C239"/>
      <w:bookmarkStart w:id="74" w:name="_DV_M289"/>
      <w:bookmarkStart w:id="75" w:name="_DV_C238"/>
      <w:bookmarkStart w:id="76" w:name="_DV_M288"/>
      <w:bookmarkStart w:id="77" w:name="_DV_M287"/>
      <w:bookmarkStart w:id="78" w:name="_DV_M286"/>
      <w:bookmarkStart w:id="79" w:name="_DV_M285"/>
      <w:bookmarkEnd w:id="71"/>
      <w:bookmarkEnd w:id="72"/>
      <w:bookmarkEnd w:id="73"/>
      <w:bookmarkEnd w:id="74"/>
      <w:bookmarkEnd w:id="75"/>
      <w:bookmarkEnd w:id="76"/>
      <w:bookmarkEnd w:id="77"/>
      <w:bookmarkEnd w:id="78"/>
      <w:bookmarkEnd w:id="79"/>
      <w:r>
        <w:rPr>
          <w:rFonts w:ascii="Times New Roman;Times;serif" w:hAnsi="Times New Roman;Times;serif"/>
          <w:sz w:val="20"/>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among other factors, the increasing trend of consolidation in the media industry, partnerships between companies that offer pay-TV services and programmers and increased direct-to-consumer offerings of both exclusive and non-exclusive content, which may further increase our programming expenses. Our ability to compete successfully will depend, among other things, on our ability to continue to obtain desirable programming and deliver it to our subscribers at competitive prices.</w:t>
      </w:r>
    </w:p>
    <w:p>
      <w:pPr>
        <w:pStyle w:val="TextBody"/>
        <w:bidi w:val="0"/>
        <w:spacing w:before="0" w:after="12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increases in programming costs cause us to increase the rates that we charge our Pay-TV subscribers, which could in turn cause our existing Pay-TV subscribers to disconnect our service. Therefore, we may be unable to pass increased programming costs on to our subscribers, which could have a material adverse effect on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depend on others to provide the programming that we offer to our Pay-TV subscribers and, if we fail to obtain or lose access to certain programming, our Pay-TV subscriber activations and our subscriber churn rate may be negatively impacted.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depend on certain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terms. In addition, our ability to provide services under these agreements and negotiate acceptable terms depends on, among other things, the number of Pay-TV subscribers we have, our actual, perceived or anticipated financial condition and our negotiating power against each programmer, which can vary depending on the size and scale of such programmer.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Negotiations over programming carriage contracts are generally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In addition, certain content providers have begun making a greater percentage of their content available as a stand-alone product available direct-to-consumer and acceleration of this trend may result in lower net Pay-TV subscriber additions, higher net Pay-TV subscriber losses and increased DISH TV churn rate.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typically have a few programming contracts with major content providers up for renewal each year and if we are unable to renew any of these agreements on acceptable terms or at all,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able to obtain necessary retransmission consent agreements at acceptable rates, or at all, from local network stations.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Copyright Act generally gives satellite companies a statutory copyright license to retransmit local broadcast channels by satellite back into the market from which they originated, subject to obtaining the retransmission consent of local broadcast television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generally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 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limited satellite capacity and failures or reduced capacity could adversely affect our business, financial condition and results of operations.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Operation of our Pay-TV business requires that we have adequate satellite transmission capacity for the programming we offer. While we generally have had in-orbit satellite capacity sufficient to transmit our existing channels and some backup capacity to recover the transmission of certain critical programming, our backup capacity is limited.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earn revenue from our Pay-TV business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the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 xml:space="preserve">Item 1A. Risk Factors – Risks Related to our Satellites” </w:t>
      </w:r>
      <w:r>
        <w:rPr>
          <w:rFonts w:ascii="Times New Roman;Times;serif" w:hAnsi="Times New Roman;Times;serif"/>
          <w:sz w:val="20"/>
        </w:rPr>
        <w:t>in this Annual Report on Form 10-K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Extreme weather has the potential to directly damage our network facilities and other infrastructure and/or disrupt our ability to build and maintain portions of our network, and could potentially disrupt suppliers’ ability to, among other things, provide the products and services we require to support our operations. Any such disruption could delay our 5G Network Deployment plans, interrupt service for our customers, increase our costs and have a negative effect on our operating results.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such as, among other things, damage to our network infrastructure,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Our failure to effectively invest in, introduce, and implement new competitive products and services could cause our products and services to become obsolete and could negatively impact our business.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Technology in the pay-TV and wireless industries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difficulties and delays in the development, production, timely completion, testing and marketing of products and services;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products and services;</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 identification of subscriber need and subscriber acceptance of products and services;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approval of and compliance with industry standards;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resources we must devote to the development of new technologies; and</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differentiate our products and services and compete with other companies in the same markets.</w:t>
            </w:r>
          </w:p>
        </w:tc>
      </w:tr>
    </w:tbl>
    <w:p>
      <w:pPr>
        <w:pStyle w:val="TextBody"/>
        <w:shd w:fill="FFFFFF" w:val="clear"/>
        <w:bidi w:val="0"/>
        <w:spacing w:before="0" w:after="0"/>
        <w:ind w:left="0" w:right="0" w:hanging="0"/>
        <w:jc w:val="left"/>
        <w:rPr/>
      </w:pPr>
      <w:r>
        <w:rPr/>
        <w:t>​</w:t>
      </w:r>
    </w:p>
    <w:p>
      <w:pPr>
        <w:pStyle w:val="TextBody"/>
        <w:shd w:fill="FFFFFF" w:val="clear"/>
        <w:bidi w:val="0"/>
        <w:spacing w:lineRule="atLeast" w:line="230" w:before="0" w:after="0"/>
        <w:ind w:left="0" w:right="0" w:hanging="0"/>
        <w:jc w:val="left"/>
        <w:rPr>
          <w:rFonts w:ascii="Times New Roman;Times;serif" w:hAnsi="Times New Roman;Times;serif"/>
          <w:sz w:val="20"/>
        </w:rPr>
      </w:pPr>
      <w:r>
        <w:rPr>
          <w:rFonts w:ascii="Times New Roman;Times;serif" w:hAnsi="Times New Roman;Times;serif"/>
          <w:sz w:val="20"/>
        </w:rPr>
        <w:t xml:space="preserve">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products and services are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rely on a single vendor or a limited number of vendors to provide certain key products or services to us, and the inability of these key vendors to meet our needs could have a material adverse effect on our business.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Pay-TV and Wireless businesses. We also rely on a limited number of vendors to supply our wireless devices and wireless network equipment used in connection with our 5G Network Deployment.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experienced in the past and may continue to experience shortages driven by raw material availability (which may be negatively impacted by, among other things, COVID-19 policies,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depend on independent third parties to solicit orders for our services that represent a meaningful percentage of our total gross new subscriber activations.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From time to time, we may adjust the economic terms of agreements with our independent third-party retailers to, among other things, further align our interests with theirs. It may be difficult to better align our interests with our independent third-party retailers because of their capital and liquidity constraints. In addition, any changes we may make may not result in the intended benefits and, as a result, negatively affect our operating results. Loss of these relationships could have an adverse effect on our subscriber base and certain of our other key operating metrics because we may not be able to develop comparable alternative distribution channels.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Human Capital</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rely on highly skilled personnel for our business, and any inability to hire and retain key personnel or to hire qualified personnel may negatively affect our business, financial condition and results of operations.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businesses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success of the Integration will depend in part on the retention of personnel critical to our business and operations due to, for example, their technical skills or management expertise. Competition for qualified personnel can be intense and qualified personnel can be in high demand. Current and prospective employees may experience uncertainty about their future role until strategies regarding these employees are announced or executed, which may impair our ability to attract, retain and motivate key management, technical and other personnel following the Merger. If we are unable to attract and retain personnel, including key management, who are critical to the successful Integration and future operations of the companies, we could face, among other risks, disruptions in their operations, loss of existing customers, loss of key information, expertise or know-how and unanticipated additional recruitment and training costs. In addition, the loss of key personnel could diminish the anticipated benefits of the Merger.</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growth and customer retention strategies rely in part on the work of technically skilled employees.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 Furthermore, we believe that our Wireless business, including, but not limited to, our ability to complete our 5G Network Deployment, is dependent on our ability to identify, hire, develop, motivate and retain a team of highly skilled personnel with knowledge of the wireless industry. Our Wireless business will be adversely affected if we fail to effectively hire, develop, motivate and retain highly skilled personnel with knowledge of the wireless industry.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Satellites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owned and leased satellites in orbit are subject to significant operational and environmental risks that could limit our ability to utilize these satellites.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satellites under construction are subject to risks related to, among other things, construction, technology, regulations and launch that could limit our ability to utilize these satellites, increase costs and adversely affect our business.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use of certain satellites is often dependent on satellite coordination agreements, which may be difficult to obtain.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face interference from other services sharing satellite spectrum</w:t>
      </w:r>
      <w:r>
        <w:rPr>
          <w:rFonts w:ascii="Times New Roman;Times;serif" w:hAnsi="Times New Roman;Times;serif"/>
          <w:i/>
          <w:sz w:val="20"/>
        </w:rPr>
        <w: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Products and Technology</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depends on certain intellectual property rights and on not infringing the intellectual property rights of others. </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and may become, party to various lawsuits which, if adversely decided, could have a significant adverse impact on our business, particularly lawsuits regarding intellectual property.</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and may become, subject to various legal proceedings and claims which arise in the ordinary course of business, including, among other things, intellectual property disputes.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See “</w:t>
      </w:r>
      <w:r>
        <w:rPr>
          <w:rFonts w:ascii="Times New Roman;Times;serif" w:hAnsi="Times New Roman;Times;serif"/>
          <w:i/>
          <w:sz w:val="20"/>
        </w:rPr>
        <w:t>Item 1. Business – Patents and Other Intellectual Property”</w:t>
      </w:r>
      <w:r>
        <w:rPr>
          <w:rFonts w:ascii="Times New Roman;Times;serif" w:hAnsi="Times New Roman;Times;serif"/>
          <w:sz w:val="20"/>
        </w:rPr>
        <w:t> in EchoStar’s Annual Report on Form 10-K for the year ended December 31, 2023 for further information. 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our products contain defects, we could be subject to significant costs to correct such defects and our product and network service contracts could be delayed or cancelled, which could adversely affect our revenue.</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Cybersecurity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0" w:name="_cp_change_155"/>
      <w:bookmarkEnd w:id="80"/>
      <w:r>
        <w:rPr>
          <w:rFonts w:ascii="Times New Roman;Times;serif" w:hAnsi="Times New Roman;Times;serif"/>
          <w:sz w:val="20"/>
        </w:rPr>
        <w:t>We rely on certain third parties for developing key components of our information technology and communications systems and ongoing service, all of which affect our Pay-TV and Wireless businesses.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Pay-TV and Wireless subscribers and complete our 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We may be required to expend significant additional resources to modify our protective measures or to investigate and remediate vulnerabilities or other exposures, and we may be subject to financial losses. In addition, this may divert management’s attention and resources away from our business, and therefore adversely affect our business. Furthermore, the amount and scope of insurance we maintain may not cover all expenses related to such activities or all types of claims that may arise.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experienced and may experience in the future cyber-attacks and other attempts to gain unauthorized access to our systems on a consistent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 In February 2023, we disclosed that our systems were subject to a cyber-security incident that compromised certain data. During the first quarter of 2023, we incurred certain cyber-security- related expenses, including, but not limited to, costs to remediate the incident and provide additional customer support. Subsequent to the first quarter of 2023, we have not incurred material expenses resulting from the cyber-security incident and do not expect to incur material expenses in future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persistent cyber-security incidents and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confidentiality, integrity, and availability of our services and products depends on the continuing operation of our information technology and other enabling systems.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ongoing investments in security will likely continue to identify new vulnerabilities within our services and products.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to our efforts to, among other things, mitigate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pandemics like COVID-19 and power loss, and we may be notified of such vulnerabilities via third parties. Any of the foregoing developments may, among other things, negatively affect user and customer trust, harm our reputation and brands, and adversely affect our business and financial results.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such developments may also subject us to litigation and regulatory inquiries, which could result in monetary penalties and damages, distract management’s time and attention, and lead to enhanced regulatory oversight.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pacing w:val="-4"/>
          <w:sz w:val="20"/>
        </w:rPr>
      </w:pPr>
      <w:r>
        <w:rPr>
          <w:rFonts w:ascii="Times New Roman;Times;serif" w:hAnsi="Times New Roman;Times;serif"/>
          <w:b/>
          <w:spacing w:val="-4"/>
          <w:sz w:val="20"/>
        </w:rPr>
        <w:t xml:space="preserve">Acquisition and Capital Structure Risks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substantial debt outstanding and may incur additional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our total long-term debt and finance lease obligations (including current portion) outstanding, including the debt of our subsidiaries, was $21.220 billion. Our debt levels could have significant consequences, including, but not limited to;</w:t>
      </w:r>
    </w:p>
    <w:p>
      <w:pPr>
        <w:pStyle w:val="TextBody"/>
        <w:bidi w:val="0"/>
        <w:spacing w:before="0" w:after="0"/>
        <w:ind w:left="0" w:right="0" w:hanging="0"/>
        <w:jc w:val="left"/>
        <w:rPr/>
      </w:pPr>
      <w:r>
        <w:rPr/>
        <w:t>​</w:t>
      </w:r>
    </w:p>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more difficult to satisfy our obligations;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dilutive effect on our future earnings;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general adverse economic conditions, including, but not limited to, changes in interest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raise additional debt because it may be more difficult for us to obtain debt financing on attractive terms or at all; and</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disadvantage compared to our competitors that are less leveraged.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will incur additional debt in the future. The terms of the indentures relating to our senior notes, senior secured notes and our Convertible Notes permit us to incur additional debt. If new debt is added to our current debt levels, the risks we now face could intensify.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81" w:name="_Hlk531613650"/>
      <w:bookmarkStart w:id="82" w:name="_Hlk531602596"/>
      <w:bookmarkStart w:id="83" w:name="_Hlk506314257"/>
      <w:bookmarkEnd w:id="81"/>
      <w:bookmarkEnd w:id="82"/>
      <w:bookmarkEnd w:id="83"/>
      <w:r>
        <w:rPr>
          <w:rFonts w:ascii="Times New Roman;Times;serif" w:hAnsi="Times New Roman;Times;serif"/>
          <w:b/>
          <w:i/>
          <w:sz w:val="20"/>
        </w:rPr>
        <w:t>We have made substantial investments to acquire certain wireless spectrum licenses and other related assets, and we may be unable to realize a return on these assets.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4" w:name="_Hlk536457722"/>
      <w:bookmarkEnd w:id="84"/>
      <w:r>
        <w:rPr>
          <w:rFonts w:ascii="Times New Roman;Times;serif" w:hAnsi="Times New Roman;Times;serif"/>
          <w:sz w:val="20"/>
        </w:rPr>
        <w:t>We</w:t>
      </w:r>
      <w:r>
        <w:rPr>
          <w:rFonts w:ascii="Times New Roman;Times;serif" w:hAnsi="Times New Roman;Times;serif"/>
          <w:spacing w:val="-2"/>
          <w:sz w:val="20"/>
        </w:rPr>
        <w:t xml:space="preserve"> have invested </w:t>
      </w:r>
      <w:r>
        <w:rPr>
          <w:rFonts w:ascii="Times New Roman;Times;serif" w:hAnsi="Times New Roman;Times;serif"/>
          <w:sz w:val="20"/>
        </w:rPr>
        <w:t>a total of over</w:t>
      </w:r>
      <w:r>
        <w:rPr>
          <w:rFonts w:ascii="Times New Roman;Times;serif" w:hAnsi="Times New Roman;Times;serif"/>
          <w:spacing w:val="-2"/>
          <w:sz w:val="20"/>
        </w:rPr>
        <w:t xml:space="preserve"> $30 billion to acquire certain Wireless spectrum licenses</w:t>
      </w:r>
      <w:r>
        <w:rPr>
          <w:rFonts w:ascii="Times New Roman;Times;serif" w:hAnsi="Times New Roman;Times;serif"/>
          <w:sz w:val="20"/>
        </w:rPr>
        <w:t xml:space="preserve">. We may need to make significant additional investments or partner with others to, among other things, complete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complete our 5G Network Deployment, we have and will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to complete our 5G Network Deployment and to compete effectively with other wireless service providers.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need to make significant additional investments or partner with others to, among other things, complete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is no assurance that the FCC will find our 5G Network Deployment sufficient to meet the build-out requirements to which our Wireless spectrum licenses are subject. Failure to comply with FCC build-out requirements and/or renewal requirements in a given license area could result in, among other things, revocation of the license for that license area. The revocation of a material portion of our Wireless spectrum licenses would have a significant material adverse effect on our 5G Network Deployment and our future business, results of operations and financial condition.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need to raise additional capital in the future, which may not be available on favorable terms, to fund the efforts described above,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the fair values of wireless spectrum licenses may vary significantly in the future. In particular, valuation swings could occur if:</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in the wireless industry allows or requires wireless carriers to sell significant portions of their wireless spectrum holdings, which could in turn reduce the value of our spectrum holdings;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spectrum by one or more wireless providers occurs;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FCC pursues certain policies designed to increase the number of wireless spectrum licenses available in each of our markets; or</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FCC conducts additional wireless spectrum auctions.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the fair value of our Wireless spectrum licenses were to decline significantly, the value of these licenses could be subject to impairment charges. We assess potential impairments to our indefinite-lived intangible assets annually or more often if indicators of impairment arise to determine whether there is evidence that indicates an impairment condition may exist.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capitalize our interest expense associated with the acquisition or construction of certain assets including, among others, our Wireless spectrum licenses. As the carrying amount of these licenses exceeds the carrying value of our long-term debt, substantially all of our interest expense is being capitalized. This capitalized interest increases the carrying amount of these licenses for purposes of impairment testing, under which we consider whether it is more likely than not that the fair value of these licenses exceeds the carrying amount of these licenses. An increase in the carrying amount of these licenses combined with other changes in circumstances and/or market conditions could result in an increased risk of an impairment of these licenses in the future, and an impairment of these assets may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pursue acquisitions, dispositions, capital expenditures, the development, acquisition and launch of new satellites and other strategic</w:t>
      </w:r>
      <w:r>
        <w:rPr>
          <w:rFonts w:ascii="Times New Roman;Times;serif" w:hAnsi="Times New Roman;Times;serif"/>
          <w:sz w:val="20"/>
        </w:rPr>
        <w:t xml:space="preserve"> </w:t>
      </w:r>
      <w:r>
        <w:rPr>
          <w:rFonts w:ascii="Times New Roman;Times;serif" w:hAnsi="Times New Roman;Times;serif"/>
          <w:b/>
          <w:i/>
          <w:sz w:val="20"/>
        </w:rPr>
        <w:t>initiatives to complement or expand our business, which may not be successful and we may lose a portion or all of our investment in these acquisitions and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w:t>
      </w:r>
    </w:p>
    <w:p>
      <w:pPr>
        <w:pStyle w:val="TextBody"/>
        <w:bidi w:val="0"/>
        <w:spacing w:lineRule="atLeast" w:line="210" w:before="0" w:after="0"/>
        <w:ind w:left="0" w:right="0" w:hanging="0"/>
        <w:jc w:val="left"/>
        <w:rPr/>
      </w:pPr>
      <w:r>
        <w:rPr/>
        <w:t>​</w:t>
      </w:r>
    </w:p>
    <w:p>
      <w:pPr>
        <w:pStyle w:val="Normal"/>
        <w:bidi w:val="0"/>
        <w:spacing w:before="0" w:after="0"/>
        <w:jc w:val="left"/>
        <w:rPr>
          <w:sz w:val="4"/>
          <w:szCs w:val="4"/>
        </w:rPr>
      </w:pPr>
      <w:r>
        <w:rPr>
          <w:sz w:val="4"/>
          <w:szCs w:val="4"/>
        </w:rPr>
      </w:r>
      <w:bookmarkStart w:id="85" w:name="_cp_change_260"/>
      <w:bookmarkStart w:id="86" w:name="_cp_change_261"/>
      <w:bookmarkStart w:id="87" w:name="_cp_change_259"/>
      <w:bookmarkStart w:id="88" w:name="_cp_change_260"/>
      <w:bookmarkStart w:id="89" w:name="_cp_change_261"/>
      <w:bookmarkStart w:id="90" w:name="_cp_change_259"/>
      <w:bookmarkEnd w:id="88"/>
      <w:bookmarkEnd w:id="89"/>
      <w:bookmarkEnd w:id="90"/>
    </w:p>
    <w:tbl>
      <w:tblPr>
        <w:tblW w:w="6081" w:type="dxa"/>
        <w:jc w:val="left"/>
        <w:tblInd w:w="0" w:type="dxa"/>
        <w:shd w:fill="FFFFFF" w:val="clear"/>
        <w:tblLayout w:type="fixed"/>
        <w:tblCellMar>
          <w:top w:w="28" w:type="dxa"/>
          <w:left w:w="28" w:type="dxa"/>
          <w:bottom w:w="28" w:type="dxa"/>
          <w:right w:w="28" w:type="dxa"/>
        </w:tblCellMar>
      </w:tblPr>
      <w:tblGrid>
        <w:gridCol w:w="124"/>
        <w:gridCol w:w="256"/>
        <w:gridCol w:w="57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developing and constructing new satellites;</w:t>
            </w:r>
          </w:p>
        </w:tc>
      </w:tr>
    </w:tbl>
    <w:p>
      <w:pPr>
        <w:pStyle w:val="Normal"/>
        <w:bidi w:val="0"/>
        <w:spacing w:before="0" w:after="0"/>
        <w:jc w:val="left"/>
        <w:rPr>
          <w:sz w:val="4"/>
          <w:szCs w:val="4"/>
        </w:rPr>
      </w:pPr>
      <w:r>
        <w:rPr>
          <w:sz w:val="4"/>
          <w:szCs w:val="4"/>
        </w:rPr>
      </w:r>
      <w:bookmarkStart w:id="91" w:name="_cp_change_263"/>
      <w:bookmarkStart w:id="92" w:name="_cp_change_263"/>
      <w:bookmarkEnd w:id="92"/>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our existing business onto a strategic initiative;</w:t>
            </w:r>
          </w:p>
        </w:tc>
      </w:tr>
    </w:tbl>
    <w:p>
      <w:pPr>
        <w:pStyle w:val="Normal"/>
        <w:bidi w:val="0"/>
        <w:spacing w:before="0" w:after="0"/>
        <w:jc w:val="left"/>
        <w:rPr>
          <w:sz w:val="4"/>
          <w:szCs w:val="4"/>
        </w:rPr>
      </w:pPr>
      <w:r>
        <w:rPr>
          <w:sz w:val="4"/>
          <w:szCs w:val="4"/>
        </w:rPr>
      </w:r>
      <w:bookmarkStart w:id="93" w:name="_cp_change_264"/>
      <w:bookmarkStart w:id="94" w:name="_cp_change_264"/>
      <w:bookmarkEnd w:id="94"/>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adverse effects on our and our targets’ and partners’ business, financial condition or operating results during the Integration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degree of risk inherent in these transactions, which could become substantial over time, and higher exposure to significant financial losses if the underlying ventures are not successful on an acceptable timeline or at all;</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inability to achieve the intended objectives of the transaction; and</w:t>
            </w:r>
          </w:p>
        </w:tc>
      </w:tr>
    </w:tbl>
    <w:p>
      <w:pPr>
        <w:pStyle w:val="Normal"/>
        <w:bidi w:val="0"/>
        <w:spacing w:before="0" w:after="0"/>
        <w:jc w:val="left"/>
        <w:rPr>
          <w:sz w:val="4"/>
          <w:szCs w:val="4"/>
        </w:rPr>
      </w:pPr>
      <w:r>
        <w:rPr>
          <w:sz w:val="4"/>
          <w:szCs w:val="4"/>
        </w:rPr>
      </w:r>
      <w:bookmarkStart w:id="95" w:name="_cp_change_269"/>
      <w:bookmarkStart w:id="96" w:name="_cp_change_267"/>
      <w:bookmarkStart w:id="97" w:name="_cp_change_266"/>
      <w:bookmarkStart w:id="98" w:name="_cp_change_269"/>
      <w:bookmarkStart w:id="99" w:name="_cp_change_267"/>
      <w:bookmarkStart w:id="100" w:name="_cp_change_266"/>
      <w:bookmarkEnd w:id="98"/>
      <w:bookmarkEnd w:id="99"/>
      <w:bookmarkEnd w:id="10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risks associated with complying with contractual provisions and regulations applicable to the acquired business, which may cause us to incur substantial expenses;</w:t>
            </w:r>
            <w:r>
              <w:rPr>
                <w:caps w:val="false"/>
                <w:smallCaps w:val="false"/>
              </w:rPr>
              <w:t xml:space="preserve"> </w:t>
            </w:r>
            <w:r>
              <w:rPr>
                <w:rFonts w:ascii="Times New Roman;Times;serif" w:hAnsi="Times New Roman;Times;serif"/>
                <w:b w:val="false"/>
                <w:i w:val="false"/>
                <w:caps w:val="false"/>
                <w:smallCaps w:val="false"/>
                <w:sz w:val="20"/>
              </w:rPr>
              <w:t>and</w:t>
            </w:r>
          </w:p>
        </w:tc>
      </w:tr>
    </w:tbl>
    <w:p>
      <w:pPr>
        <w:pStyle w:val="Normal"/>
        <w:bidi w:val="0"/>
        <w:spacing w:before="0" w:after="0"/>
        <w:jc w:val="left"/>
        <w:rPr>
          <w:sz w:val="4"/>
          <w:szCs w:val="4"/>
        </w:rPr>
      </w:pPr>
      <w:r>
        <w:rPr>
          <w:sz w:val="4"/>
          <w:szCs w:val="4"/>
        </w:rPr>
      </w:r>
      <w:bookmarkStart w:id="101" w:name="_cp_change_271"/>
      <w:bookmarkStart w:id="102" w:name="_cp_change_272"/>
      <w:bookmarkStart w:id="103" w:name="_cp_change_271"/>
      <w:bookmarkStart w:id="104" w:name="_cp_change_272"/>
      <w:bookmarkEnd w:id="103"/>
      <w:bookmarkEnd w:id="104"/>
    </w:p>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disruption of relationships with employees, vendors or customers.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pStyle w:val="TextBody"/>
        <w:bidi w:val="0"/>
        <w:spacing w:lineRule="atLeast" w:line="21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w:t>
      </w:r>
    </w:p>
    <w:p>
      <w:pPr>
        <w:pStyle w:val="TextBody"/>
        <w:bidi w:val="0"/>
        <w:spacing w:lineRule="atLeast" w:line="21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that we have acquired have experienced significant operating and financial challenges in their recent history, which in some cases resulted in these businesses commencing bankruptcy proceedings prior to our acquisition. We may acquire similar businesses in the future.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There is no assurance that we will be able to successfully address the challenges and risks encountered by these businesses following their acquisition. If we are unable to successfully address these challenges and risks, our business, financial condition and/or results of operations may suffer.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need additional capital, which may not be available on favorable terms to fund current obligations, to continue investing in our business and to finance acquisitions and other strategic transactions.</w:t>
      </w:r>
    </w:p>
    <w:p>
      <w:pPr>
        <w:pStyle w:val="TextBody"/>
        <w:bidi w:val="0"/>
        <w:spacing w:lineRule="atLeast" w:line="21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do not currently have the necessary cash on hand and/or projected future cash flows to fund the November 2024 debt maturity. To address our capital needs, we are in active discussions with funding sources to raise additional capital and refinance our outstanding debt. We cannot provide assurances that we will be successful in obtaining such new financing and/or refinancing the existing debt obligations necessary for us to have sufficient liquidity. If we are not successful in these endeavors, then capital expenditures to meet future FCC build out requirements and wireless customer growth initiatives will be adversely affected.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Continued rising interest rates could increase our cost of capital and require us to devote a higher percentage of our cash flow to interest payments, which could have a material adverse effect on our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 In addition, the going concern qualification issued by our auditors could adversely impact investors as well as our relationships with employees and suppliers.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The conditional conversion features of our Convertible Notes, if triggered, may adversely affect our financial condition.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event the conditional conversion features of the Convertible Notes are triggered, holders of the Convertible Notes will be entitled to convert the Convertible Notes at any time during specified periods at their option. If one or more holders elect to convert their Convertible Notes, unless EchoStar elects to satisfy its conversion obligation by delivering solely shares of EchoStar’s Class A common stock, EchoStar would be required to make cash payments to satisfy all or a portion of its conversion obligation based on the conversion rate, which could adversely affect our liquidity.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even if holders do not elect to convert their Convertible Notes, we could be required under applicable accounting rules to reclassify all or a portion of the outstanding principal of the Convertible Notes as a current rather than long-term liability, which could result in a material reduction of our net working capital.</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The convertible note hedge and warrant transactions that we entered into in connection with the offering of the Convertible Notes due 2026 may affect the value of the Convertible Notes due 2026 and EchoStar’s Class A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offering of the Convertible Notes due 2026, we entered into convertible note hedge transactions with certain option counterparties (each an “option counterparty”). The convertible note hedge transactions are expected generally to reduce the potential dilution to EchoStar upon conversion of the Convertible Notes due 2026 and/or offset any cash payments we are required to make in excess of the principal amount of converted Convertible Notes due 2026, as the case may be. We also entered into warrant transactions with each option counterparty. The warrant transactions could separately have a dilutive effect on EchoStar’s Class A common stock to the extent that the market price per share of its Class A common stock exceeds the strike price of the warrants, unless we elect to settle the warrants in cash. In connection with establishing its initial hedge of the convertible note hedge and warrant transactions, each option counterparty or an affiliate thereof may have entered into various derivative transactions with respect to EchoStar’s Class A common stock concurrently with or shortly after the pricing of the Convertible Notes due 2026.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activity could increase (or reduce the size of any decrease in) the market price of EchoStar’s Class A common stock or the Convertible Notes due 2026 at that time.  In addition, each option counterparty or an affiliate thereof may modify its hedge position by entering into or unwinding various derivatives with respect to EchoStar’s Class A common stock and/or purchasing or selling EchoStar’s Class A common stock or other securities of EchoStar’s in secondary market transactions prior to the maturity of the Convertible Notes due 2026 (and is likely to do so during any observation period related to a conversion of the Convertible Notes due 2026). This activity could also cause or avoid an increase or a decrease in the market price of EchoStar’s Class A common stock or the Convertible Notes due 2026. In addition, if any such convertible note hedge and warrant transactions fail to become effective, each option counterparty may unwind its hedge position with respect to EchoStar’s Class A common stock, which could adversely affect the value of EchoStar’s Class A common stock and the value of the Convertible Notes due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subject to counterparty risk with respect to the convertible note hedge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option counterparty to the convertible note hedge transactions is a financial institution, and we will be subject to the risk that it might default under the convertible note hedge transaction. Our exposure to the credit risk of an option counterparty will not be secured by any collateral.  Global economic conditions have from time to time resulted in the actual or perceived failure or financial difficulties of many financial institutions, including, but not limited to, the bankruptcy filing by Lehman Brothers Holdings Inc. and its various affiliates. If an option counterparty becomes subject to insolvency proceedings, we will become an unsecured creditor in those proceedings with a claim equal to our exposure at that time under our transactions with the option counterparty. Our exposure will depend on many factors but, generally, the increase in our exposure will be correlated to the increase in the market price and in the volatility of EchoStar’s Class A common stock. In addition, upon a default by an option counterparty, we may suffer adverse tax consequences and more dilution than we currently anticipate with respect to EchoStar’s Class A common stock. We can provide no assurances as to the financial stability or viability of any option counterparty.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From time to time a portion of our investment portfolio may be invested in securities that have limited liquidity and may not be immediately accessible to support our financing needs.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a portion of our investment portfolio may be invested in strategic investments, and as a result, a portion of our portfolio may have restricted liquidity. If the credit ratings of these securities deteriorate or there is a lack of liquidity in the marketplace, we may be required to record impairment charges. Moreover, the uncertainty of domestic and global financial markets can greatly affect the volatility and value of our marketable investment securities. In addition, a portion of our investment portfolio may include strategic and financial investments in debt and equity securities of public companies that are highly speculative and that may experience volatility. Typically, these investments are concentrated in a small number of companies.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The concentration of these investments as a percentage of our overall investment portfolio fluctuates from time to time based on, among other things, the size of our investment portfolio and our ability to liquidate these investments. In addition, because our portfolio may be concentrated in a limited number of companies, we may experience a significant loss if any of these companies, among other things, defaults on its obligations, performs poorly, does not generate adequate cash flow to fund its operations, is unable to obtain necessary financing on acceptable terms, or at all, or files for bankruptcy, or if the sectors in which these companies operate experience a market downturn. To the extent we require access to funds, we may need to sell these securities under unfavorable market conditions, record impairment charges and fall short of our financing needs.</w:t>
      </w:r>
    </w:p>
    <w:p>
      <w:pPr>
        <w:pStyle w:val="TextBody"/>
        <w:bidi w:val="0"/>
        <w:spacing w:before="0" w:after="0"/>
        <w:ind w:left="0" w:right="0" w:hanging="0"/>
        <w:jc w:val="left"/>
        <w:rPr/>
      </w:pPr>
      <w:r>
        <w:rPr/>
        <w:t>​</w:t>
      </w:r>
    </w:p>
    <w:p>
      <w:pPr>
        <w:pStyle w:val="TextBody"/>
        <w:bidi w:val="0"/>
        <w:spacing w:before="0" w:after="0"/>
        <w:ind w:left="0" w:right="0" w:hanging="0"/>
        <w:jc w:val="left"/>
        <w:rPr>
          <w:spacing w:val="-4"/>
        </w:rPr>
      </w:pPr>
      <w:r>
        <w:rPr>
          <w:spacing w:val="-4"/>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pacing w:val="-4"/>
          <w:sz w:val="20"/>
        </w:rPr>
      </w:pPr>
      <w:r>
        <w:rPr>
          <w:rFonts w:ascii="Times New Roman;Times;serif" w:hAnsi="Times New Roman;Times;serif"/>
          <w:b/>
          <w:i/>
          <w:spacing w:val="-4"/>
          <w:sz w:val="20"/>
        </w:rPr>
        <w:t xml:space="preserve">Covenants in our and our subsidiaries’ Indentures restrict our business in many ways. </w:t>
      </w:r>
    </w:p>
    <w:p>
      <w:pPr>
        <w:pStyle w:val="TextBody"/>
        <w:bidi w:val="0"/>
        <w:spacing w:before="0" w:after="0"/>
        <w:ind w:left="0" w:right="0" w:firstLine="40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restrictive covenants in our and our subsidiaries’ Indentures that restrict us and our subsidiaries (as applicable), under certain circumstances, from taking certain actions such as, among other things:</w:t>
      </w:r>
    </w:p>
    <w:p>
      <w:pPr>
        <w:pStyle w:val="TextBody"/>
        <w:bidi w:val="0"/>
        <w:spacing w:before="0" w:after="0"/>
        <w:ind w:left="0" w:right="0" w:hanging="0"/>
        <w:jc w:val="left"/>
        <w:rPr/>
      </w:pPr>
      <w:r>
        <w:rPr/>
        <w:t>​</w:t>
      </w:r>
    </w:p>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incur additional debt;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to exist certain restrictions on certain subsidiaries’ ability to pay dividends, make distributions, make other payments or transfer assets;</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 our ability to make investments or make other payments in respect of our other indebtedness;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incur indebtedness that is senior to, equal or subordinate to certain Indebtedness, or to engage in certain sale/leaseback transactions;</w:t>
            </w:r>
          </w:p>
        </w:tc>
      </w:tr>
    </w:tbl>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certain transactions with affiliates;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 or consolidate with another company; </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our ability to repurchase or prepay any other of our securities or other indebtedness; and</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our ability to enter into highly leveraged transactions.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Our ability to, among other things, recapitalize, incur additional debt, secure existing or future debt or take a number of other actions may be limited by the terms of the our Indentures, business and tax considerations and legal restrictions, including, but not limited to, repurchasing indebtedness or paying dividends, and could have the effect of diminishing our ability to make payments on our outstanding Indebtedness when due.</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parent, EchoStar, is controlled by one principal stockholder who is also our Chairman.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Charles W. Ergen, our and EchoStar’s Chairman, beneficially owns approximately 54% of EchoStar’s total equity securities (assuming conversion of the Class B common stock beneficially owned by Mr. Ergen into Class A common stock and giving effect to the exercise of options held by Mr. Ergen that are either currently exercisable as of, or may become exercisable within 60 days after, February 27, 2023) and beneficially owns approximately 91.4% of the total voting power of all classes of EchoStar’s shares (assuming no conversion of any Class B common stock and giving effect to the exercise of options held by Mr. Ergen that are either currently exercisable as of, or may become exercisable within 60 days after, February 27, 2023).  Through his beneficial ownership of EchoStar’s equity securities, Mr. Ergen has the ability to elect a majority of EchoStar’s directors and to control all other matters requiring the approval of its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EchoStar’s Board of Directors selection, either by a majority of the independent directors or a nominating committee composed solely of independent directors.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 Bold" w:hAnsi="Times New Roman Bold"/>
          <w:b/>
          <w:sz w:val="20"/>
        </w:rPr>
      </w:pPr>
      <w:r>
        <w:rPr>
          <w:rFonts w:ascii="Times New Roman Bold" w:hAnsi="Times New Roman Bold"/>
          <w:b/>
          <w:sz w:val="20"/>
        </w:rPr>
        <w:t xml:space="preserve">Risks Related to the Regulation of Our Business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services depend on FCC licenses that can expire or be revoked or modified and applications for FCC licenses that may not be granted.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and/or Wireless offerings available to our DISH TV and/or Wireless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Wireless services and our Wireless spectrum licenses are subject to regulation by the FCC and, depending on the jurisdiction, other federal, state and local, as well as international, governmental authorities and regulatory agencies, including, among other things, regulations governing the licensing, construction, operation, sale and interconnection arrangements of wireless telecommunications systems. In particular, the FCC imposes significant regulation on licensees of wireless spectrum with respect to, among others,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can be no assurances that our Wireless spectrum licenses will be renewed. Failure to comply with FCC build-out requirements in a given license area may result in acceleration of other build-out requirements or in the modification, cancellation, or non-renewal of licenses. See Note 13 in the Notes to our Consolidated Financial Statements in this Annual Report on Form 10-K for further information.</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Changes in levels of U.S. government spending or overall spending priorities could impact, among other things,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derive a portion of our revenue from subscribers who receive benefits under the Affordable Connectivity Program (“ACP”), an FCC benefit program that helps ensure that households can afford access to broadband. Levels of U.S. government spending are very difficult to predict and may be impacted by numerous factors such as, among others, the political environment, macroeconomic conditions and the ability of the U.S. government to enact relevant legislation such as authorization and appropriations bills.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Discontinuation, amendment or repeal of ACP, or replacement of ACP with one having different eligibility requirements and/or funding levels could negatively impact, among other things, our net Wireless subscriber activations, which may impact our decision to continue to participate in the program.  We cannot predict whether or when any future changes to the ACP may occur, or whether or to what extent those changes may affect our operations or impose additional costs on our business. In addition, the timing of any changes or modifications to ACP could affect our operations and results of operations. For example, a temporary lapse in funding for ACP, as a result of, among other things, temporary government shutdown, could, among other things, result in lower net Wireless subscriber activations, even if ACP is ultimately fully funded and approved.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particular, reduced government funding for benefits programs such as ACP would result in a reduction in reimbursements to us.  Amendments to or repeal of ACP in whole or in part and/or decisions by the FCC could affect us and the manner in which we are reimbursed by such programs, all of which could materially and adversely affect our business, results of operations and financial condition. Following the FCC’s announcement, ACP stopped accepting new applications and enrollments on February 7, 2024. Barring congressional action to fund ACP, funding may run out as soon as April 2024.</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risk of non-compliance with laws and regulations, including, but not limited to, the risk of changes to laws and regulations, could adversely affect our business.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is regulated by numerous governmental agencies and other regulatory bodies, both domestically and internationally.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laws and regulations are subject to the administrative and political process and do change from time to time. Our business could suffer a material adverse impact if laws and regulations change and we are not able to adapt to these changes efficiently.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our internal controls are not effective, our business, EchoStar’s stock price and investor confidence in our financial results may be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periodically evaluate and test our internal control over financial reporting to satisfy the requirements of Section 404 of the Sarbanes-Oxley Act. Our management has concluded that our internal control over financial reporting was effective as of December 31, 2023. We depend on our third-party vendors’ internal controls and rely on these controls when evaluating the effectiveness of our internal controls. If in the future we are unable to report that our internal control over financial reporting is effective, investors, subscribers and business partners could lose confidence in the accuracy of our financial reports, which could in turn have a material adverse effect on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face other risks described from time to time in periodic and current reports we file with the SEC.</w:t>
      </w:r>
    </w:p>
    <w:p>
      <w:pPr>
        <w:pStyle w:val="TextBody"/>
        <w:bidi w:val="0"/>
        <w:spacing w:before="0" w:after="0"/>
        <w:ind w:left="0" w:right="0" w:hanging="0"/>
        <w:jc w:val="left"/>
        <w:rPr/>
      </w:pPr>
      <w:r>
        <w:rPr/>
        <w:t>​</w:t>
      </w:r>
    </w:p>
    <w:p>
      <w:pPr>
        <w:pStyle w:val="TextBody"/>
        <w:pBdr/>
        <w:bidi w:val="0"/>
        <w:spacing w:before="0" w:after="0"/>
        <w:ind w:left="0" w:right="0" w:hanging="907"/>
        <w:jc w:val="left"/>
        <w:rPr>
          <w:rFonts w:ascii="Times New Roman;Times;serif" w:hAnsi="Times New Roman;Times;serif"/>
          <w:b/>
          <w:sz w:val="20"/>
        </w:rPr>
      </w:pPr>
      <w:bookmarkStart w:id="105" w:name="Item1BUNRESOLVEDSTAFFCOMMENTS_446813"/>
      <w:bookmarkStart w:id="106" w:name="_2b31bfb5_965f_49d7_b59c_2eb4869b60be"/>
      <w:bookmarkEnd w:id="105"/>
      <w:bookmarkEnd w:id="106"/>
      <w:r>
        <w:rPr>
          <w:rFonts w:ascii="Times New Roman;Times;serif" w:hAnsi="Times New Roman;Times;serif"/>
          <w:b/>
          <w:sz w:val="20"/>
        </w:rPr>
        <w:t>Item 1B. UNRESOLVED STAFF COMMENTS</w:t>
      </w:r>
    </w:p>
    <w:p>
      <w:pPr>
        <w:pStyle w:val="TextBody"/>
        <w:pBdr/>
        <w:bidi w:val="0"/>
        <w:spacing w:before="0" w:after="0"/>
        <w:ind w:left="0" w:right="0" w:hanging="907"/>
        <w:jc w:val="left"/>
        <w:rPr/>
      </w:pPr>
      <w:r>
        <w:rPr/>
        <w:t>​</w:t>
      </w:r>
    </w:p>
    <w:p>
      <w:pPr>
        <w:pStyle w:val="TextBody"/>
        <w:pBdr/>
        <w:bidi w:val="0"/>
        <w:spacing w:before="0" w:after="0"/>
        <w:ind w:left="0" w:right="0" w:hanging="907"/>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907"/>
        <w:jc w:val="left"/>
        <w:rPr/>
      </w:pPr>
      <w:r>
        <w:rPr/>
        <w:t>​</w:t>
      </w:r>
    </w:p>
    <w:p>
      <w:pPr>
        <w:pStyle w:val="TextBody"/>
        <w:pBdr/>
        <w:bidi w:val="0"/>
        <w:spacing w:before="0" w:after="0"/>
        <w:ind w:left="0" w:right="0" w:hanging="907"/>
        <w:jc w:val="left"/>
        <w:rPr/>
      </w:pPr>
      <w:bookmarkStart w:id="107" w:name="_ec50c24e_eec6_4caf_a3f2_ef11687754f0"/>
      <w:bookmarkEnd w:id="107"/>
      <w:r>
        <w:rPr/>
        <w:t>​</w:t>
      </w:r>
    </w:p>
    <w:p>
      <w:pPr>
        <w:pStyle w:val="Normal"/>
        <w:bidi w:val="0"/>
        <w:spacing w:before="0" w:after="0"/>
        <w:jc w:val="left"/>
        <w:rPr>
          <w:sz w:val="4"/>
          <w:szCs w:val="4"/>
        </w:rPr>
      </w:pPr>
      <w:r>
        <w:rPr>
          <w:sz w:val="4"/>
          <w:szCs w:val="4"/>
        </w:rPr>
      </w:r>
      <w:bookmarkStart w:id="108" w:name="Item1C_194133"/>
      <w:bookmarkStart w:id="109" w:name="Item1C_194133"/>
      <w:bookmarkEnd w:id="109"/>
    </w:p>
    <w:tbl>
      <w:tblPr>
        <w:tblW w:w="2657" w:type="dxa"/>
        <w:jc w:val="left"/>
        <w:tblInd w:w="0" w:type="dxa"/>
        <w:tblLayout w:type="fixed"/>
        <w:tblCellMar>
          <w:top w:w="0" w:type="dxa"/>
          <w:left w:w="0" w:type="dxa"/>
          <w:bottom w:w="0" w:type="dxa"/>
          <w:right w:w="0" w:type="dxa"/>
        </w:tblCellMar>
      </w:tblPr>
      <w:tblGrid>
        <w:gridCol w:w="841"/>
        <w:gridCol w:w="1816"/>
      </w:tblGrid>
      <w:tr>
        <w:trPr/>
        <w:tc>
          <w:tcPr>
            <w:tcW w:w="8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1C.</w:t>
            </w:r>
          </w:p>
        </w:tc>
        <w:tc>
          <w:tcPr>
            <w:tcW w:w="18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CYBERSECURITY</w:t>
            </w:r>
          </w:p>
        </w:tc>
      </w:tr>
    </w:tbl>
    <w:p>
      <w:pPr>
        <w:pStyle w:val="TextBody"/>
        <w:pBdr/>
        <w:bidi w:val="0"/>
        <w:spacing w:before="0" w:after="0"/>
        <w:ind w:left="0" w:right="0" w:hanging="907"/>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 Cybersecurity Framework, although this does not imply that we meet all technical standards, specifications or requirements under NIST.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EchoStar’s Board of Directors as a whole to ensure accountability.</w:t>
      </w:r>
    </w:p>
    <w:p>
      <w:pPr>
        <w:pStyle w:val="TextBody"/>
        <w:bidi w:val="0"/>
        <w:spacing w:before="0" w:after="12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red team exercises,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experienced cyber-attacks or other malicious activities that disrupted our business in the past. Any future failure or disruption of our information technology infrastructure and communications systems or those of third parties that we use in our operations could harm our business in the future. On February 23, 2023, we experienced a network outage that affected its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 In addition, on February 28, 2023, we further disclosed that certain data had been extracted from the DISH Network IT systems.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investigation and discussions with certain third parties,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DISH TV, SLING TV and Retail Wireless services, along with our wireless and data networks remained operational at all times during the incident. As of March 31, 2023, all significant systems had been restored. We have no reason to believe that this cybersecurity incident has not been concluded.</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Chief Information Security Officer (“CISO”) leads our information security organization responsible for overseeing our information security program. The CISO has over 25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 </w:t>
      </w:r>
    </w:p>
    <w:p>
      <w:pPr>
        <w:pStyle w:val="TextBody"/>
        <w:bidi w:val="0"/>
        <w:spacing w:before="0" w:after="12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EchoStar’s Board of Directors is regularly briefed, no less frequently than quarterly, on cybersecurity risks as part of its oversight functions and to ensure that cybersecurity practices align with the company’s overall risk management framework and business objectives.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Integration, we anticipate that we will continue to evaluate and address as needed our cyber security risk management, policies, structure, strategies and governance to meet our needs.</w:t>
      </w:r>
    </w:p>
    <w:p>
      <w:pPr>
        <w:pStyle w:val="TextBody"/>
        <w:pBdr/>
        <w:bidi w:val="0"/>
        <w:spacing w:before="0" w:after="0"/>
        <w:ind w:left="0" w:right="0" w:hanging="907"/>
        <w:jc w:val="left"/>
        <w:rPr/>
      </w:pPr>
      <w:r>
        <w:rPr/>
        <w:t>​</w:t>
      </w:r>
    </w:p>
    <w:p>
      <w:pPr>
        <w:pStyle w:val="TextBody"/>
        <w:bidi w:val="0"/>
        <w:spacing w:before="0" w:after="0"/>
        <w:ind w:left="0" w:right="0" w:hanging="0"/>
        <w:jc w:val="left"/>
        <w:rPr/>
      </w:pPr>
      <w:bookmarkStart w:id="110" w:name="_cacb41bb_8dfe_4b19_a720_42b70f16e3b5"/>
      <w:bookmarkStart w:id="111" w:name="_contentSection_2223de9d_6a46_4d17_867b_"/>
      <w:bookmarkEnd w:id="110"/>
      <w:bookmarkEnd w:id="111"/>
      <w:r>
        <w:rPr/>
        <w:t>​</w:t>
      </w:r>
    </w:p>
    <w:p>
      <w:pPr>
        <w:pStyle w:val="TextBody"/>
        <w:bidi w:val="0"/>
        <w:spacing w:before="0" w:after="0"/>
        <w:ind w:left="0" w:right="0" w:hanging="0"/>
        <w:jc w:val="left"/>
        <w:rPr>
          <w:rFonts w:ascii="Times New Roman;Times;serif" w:hAnsi="Times New Roman;Times;serif"/>
          <w:b/>
          <w:sz w:val="20"/>
        </w:rPr>
      </w:pPr>
      <w:bookmarkStart w:id="112" w:name="Item2PROPERTIES_507181"/>
      <w:bookmarkEnd w:id="112"/>
      <w:r>
        <w:rPr>
          <w:rFonts w:ascii="Times New Roman;Times;serif" w:hAnsi="Times New Roman;Times;serif"/>
          <w:b/>
          <w:sz w:val="20"/>
        </w:rPr>
        <w:t>Item 2. PROPERTIES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sets forth certain information concerning our principal properties related to our business segments as of December 31, 2023.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68"/>
        <w:gridCol w:w="326"/>
        <w:gridCol w:w="2389"/>
        <w:gridCol w:w="109"/>
        <w:gridCol w:w="616"/>
        <w:gridCol w:w="326"/>
        <w:gridCol w:w="781"/>
        <w:gridCol w:w="326"/>
        <w:gridCol w:w="572"/>
        <w:gridCol w:w="192"/>
      </w:tblGrid>
      <w:tr>
        <w:trPr/>
        <w:tc>
          <w:tcPr>
            <w:tcW w:w="4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900680" cy="175260"/>
                      <wp:effectExtent l="0" t="0" r="0" b="0"/>
                      <wp:wrapNone/>
                      <wp:docPr id="5" name="Frame5"/>
                      <a:graphic xmlns:a="http://schemas.openxmlformats.org/drawingml/2006/main">
                        <a:graphicData uri="http://schemas.microsoft.com/office/word/2010/wordprocessingShape">
                          <wps:wsp>
                            <wps:cNvSpPr txBox="1"/>
                            <wps:spPr>
                              <a:xfrm>
                                <a:off x="0" y="0"/>
                                <a:ext cx="290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517015" cy="175260"/>
                      <wp:effectExtent l="0" t="0" r="0" b="0"/>
                      <wp:wrapNone/>
                      <wp:docPr id="6" name="Frame6"/>
                      <a:graphic xmlns:a="http://schemas.openxmlformats.org/drawingml/2006/main">
                        <a:graphicData uri="http://schemas.microsoft.com/office/word/2010/wordprocessingShape">
                          <wps:wsp>
                            <wps:cNvSpPr txBox="1"/>
                            <wps:spPr>
                              <a:xfrm>
                                <a:off x="0" y="0"/>
                                <a:ext cx="151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91160" cy="175260"/>
                      <wp:effectExtent l="0" t="0" r="0" b="0"/>
                      <wp:wrapNone/>
                      <wp:docPr id="7" name="Frame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63220" cy="175260"/>
                      <wp:effectExtent l="0" t="0" r="0" b="0"/>
                      <wp:wrapNone/>
                      <wp:docPr id="11" name="Frame11"/>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920" cy="175260"/>
                      <wp:effectExtent l="0" t="0" r="0" b="0"/>
                      <wp:wrapNone/>
                      <wp:docPr id="12" name="Frame12"/>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7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Leased From</w:t>
            </w:r>
          </w:p>
        </w:tc>
        <w:tc>
          <w:tcPr>
            <w:tcW w:w="192" w:type="dxa"/>
            <w:tcBorders/>
            <w:vAlign w:val="center"/>
          </w:tcPr>
          <w:p>
            <w:pPr>
              <w:pStyle w:val="TableContents"/>
              <w:bidi w:val="0"/>
              <w:spacing w:before="0" w:after="0"/>
              <w:ind w:left="0" w:right="0" w:hanging="0"/>
              <w:jc w:val="left"/>
              <w:rPr/>
            </w:pPr>
            <w:r>
              <w:rPr/>
              <w:t>​</w:t>
            </w:r>
          </w:p>
        </w:tc>
      </w:tr>
      <w:tr>
        <w:trPr/>
        <w:tc>
          <w:tcPr>
            <w:tcW w:w="45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Description/Use/Location</w:t>
            </w:r>
          </w:p>
        </w:tc>
        <w:tc>
          <w:tcPr>
            <w:tcW w:w="326" w:type="dxa"/>
            <w:tcBorders/>
            <w:vAlign w:val="center"/>
          </w:tcPr>
          <w:p>
            <w:pPr>
              <w:pStyle w:val="TableContents"/>
              <w:bidi w:val="0"/>
              <w:spacing w:before="0" w:after="0"/>
              <w:ind w:left="0" w:right="0" w:hanging="0"/>
              <w:jc w:val="left"/>
              <w:rPr/>
            </w:pPr>
            <w:r>
              <w:rPr/>
              <w:t>    </w:t>
            </w:r>
          </w:p>
        </w:tc>
        <w:tc>
          <w:tcPr>
            <w:tcW w:w="23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Segment(s) </w:t>
              <w:br/>
              <w:t>Using Property</w:t>
            </w:r>
          </w:p>
        </w:tc>
        <w:tc>
          <w:tcPr>
            <w:tcW w:w="109"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Owned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EchoStar</w:t>
            </w:r>
          </w:p>
        </w:tc>
        <w:tc>
          <w:tcPr>
            <w:tcW w:w="326" w:type="dxa"/>
            <w:tcBorders/>
            <w:vAlign w:val="center"/>
          </w:tcPr>
          <w:p>
            <w:pPr>
              <w:pStyle w:val="TableContents"/>
              <w:bidi w:val="0"/>
              <w:spacing w:before="0" w:after="0"/>
              <w:ind w:left="0" w:right="0" w:hanging="0"/>
              <w:jc w:val="center"/>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Other </w:t>
              <w:br/>
              <w:t>Third</w:t>
              <w:br/>
              <w:t>Party</w:t>
            </w:r>
          </w:p>
        </w:tc>
        <w:tc>
          <w:tcPr>
            <w:tcW w:w="192" w:type="dxa"/>
            <w:tcBorders/>
            <w:vAlign w:val="center"/>
          </w:tcPr>
          <w:p>
            <w:pPr>
              <w:pStyle w:val="TableContents"/>
              <w:bidi w:val="0"/>
              <w:spacing w:before="0" w:after="0"/>
              <w:ind w:left="0" w:right="0" w:hanging="0"/>
              <w:jc w:val="left"/>
              <w:rPr/>
            </w:pPr>
            <w:r>
              <w:rPr/>
              <w:t> </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Corporate headquarters, Englewood, Colorado (1)</w:t>
            </w:r>
          </w:p>
        </w:tc>
        <w:tc>
          <w:tcPr>
            <w:tcW w:w="326" w:type="dxa"/>
            <w:tcBorders/>
            <w:shd w:fill="CCEEFF" w:val="clear"/>
            <w:vAlign w:val="center"/>
          </w:tcPr>
          <w:p>
            <w:pPr>
              <w:pStyle w:val="TableContents"/>
              <w:bidi w:val="0"/>
              <w:spacing w:before="0" w:after="0"/>
              <w:ind w:left="0" w:right="0" w:hanging="0"/>
              <w:jc w:val="left"/>
              <w:rPr/>
            </w:pPr>
            <w:r>
              <w:rPr/>
              <w:t>​</w:t>
            </w:r>
          </w:p>
        </w:tc>
        <w:tc>
          <w:tcPr>
            <w:tcW w:w="238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All</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offices, Littleton, Colorado</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Retail Wireless/5G Network Deployment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Customer call center, warehouse, service, and remanufacturing center, El Paso, Texas</w:t>
            </w:r>
          </w:p>
        </w:tc>
        <w:tc>
          <w:tcPr>
            <w:tcW w:w="326" w:type="dxa"/>
            <w:tcBorders/>
            <w:shd w:fill="CCEEFF" w:val="clear"/>
            <w:vAlign w:val="center"/>
          </w:tcPr>
          <w:p>
            <w:pPr>
              <w:pStyle w:val="TableContents"/>
              <w:bidi w:val="0"/>
              <w:spacing w:before="0" w:after="0"/>
              <w:ind w:left="0" w:right="0" w:hanging="0"/>
              <w:jc w:val="left"/>
              <w:rPr/>
            </w:pPr>
            <w:r>
              <w:rPr/>
              <w:t>​</w:t>
            </w:r>
          </w:p>
        </w:tc>
        <w:tc>
          <w:tcPr>
            <w:tcW w:w="238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center"/>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Data Center, Cheyenne, Wyoming</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Pay-TV/5G Network Deployment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Digital broadcast operations center, Cheyenne, Wyoming</w:t>
            </w:r>
          </w:p>
        </w:tc>
        <w:tc>
          <w:tcPr>
            <w:tcW w:w="326" w:type="dxa"/>
            <w:tcBorders/>
            <w:shd w:fill="CCEEFF" w:val="clear"/>
            <w:vAlign w:val="center"/>
          </w:tcPr>
          <w:p>
            <w:pPr>
              <w:pStyle w:val="TableContents"/>
              <w:bidi w:val="0"/>
              <w:spacing w:before="0" w:after="0"/>
              <w:ind w:left="0" w:right="0" w:hanging="0"/>
              <w:jc w:val="left"/>
              <w:rPr/>
            </w:pPr>
            <w:r>
              <w:rPr/>
              <w:t>​</w:t>
            </w:r>
          </w:p>
        </w:tc>
        <w:tc>
          <w:tcPr>
            <w:tcW w:w="238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Digital broadcast operations center, Gilbert, Arizona</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Pay-TV</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Engineering offices and service center, Englewood, Colorado</w:t>
            </w:r>
          </w:p>
        </w:tc>
        <w:tc>
          <w:tcPr>
            <w:tcW w:w="326" w:type="dxa"/>
            <w:tcBorders/>
            <w:shd w:fill="CCEEFF" w:val="clear"/>
            <w:vAlign w:val="center"/>
          </w:tcPr>
          <w:p>
            <w:pPr>
              <w:pStyle w:val="TableContents"/>
              <w:bidi w:val="0"/>
              <w:spacing w:before="0" w:after="0"/>
              <w:ind w:left="0" w:right="0" w:hanging="0"/>
              <w:jc w:val="left"/>
              <w:rPr/>
            </w:pPr>
            <w:r>
              <w:rPr/>
              <w:t>​</w:t>
            </w:r>
          </w:p>
        </w:tc>
        <w:tc>
          <w:tcPr>
            <w:tcW w:w="238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 xml:space="preserve">Pay-TV </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Warehouse, Denver, Colorado</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Pay-TV</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Warehouse and distribution center, Spartanburg, South Carolina</w:t>
            </w:r>
          </w:p>
        </w:tc>
        <w:tc>
          <w:tcPr>
            <w:tcW w:w="326" w:type="dxa"/>
            <w:tcBorders/>
            <w:shd w:fill="CCEEFF" w:val="clear"/>
            <w:vAlign w:val="center"/>
          </w:tcPr>
          <w:p>
            <w:pPr>
              <w:pStyle w:val="TableContents"/>
              <w:bidi w:val="0"/>
              <w:spacing w:before="0" w:after="0"/>
              <w:ind w:left="0" w:right="0" w:hanging="0"/>
              <w:jc w:val="left"/>
              <w:rPr/>
            </w:pPr>
            <w:r>
              <w:rPr/>
              <w:t>​</w:t>
            </w:r>
          </w:p>
        </w:tc>
        <w:tc>
          <w:tcPr>
            <w:tcW w:w="238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 TV/5G Network Deployment</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56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Warehouse and distribution center, Denver, Colorado</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 TV/5G Network Deployment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192" w:type="dxa"/>
            <w:tcBorders/>
            <w:vAlign w:val="center"/>
          </w:tcPr>
          <w:p>
            <w:pPr>
              <w:pStyle w:val="TableContents"/>
              <w:bidi w:val="0"/>
              <w:spacing w:before="0" w:after="0"/>
              <w:ind w:left="0" w:right="0" w:hanging="0"/>
              <w:jc w:val="left"/>
              <w:rPr/>
            </w:pPr>
            <w:r>
              <w:rPr/>
              <w:t>​</w:t>
            </w:r>
          </w:p>
        </w:tc>
      </w:tr>
      <w:tr>
        <w:trPr/>
        <w:tc>
          <w:tcPr>
            <w:tcW w:w="456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Warehouse and distribution center, Atlanta, Georgia</w:t>
            </w:r>
          </w:p>
        </w:tc>
        <w:tc>
          <w:tcPr>
            <w:tcW w:w="326" w:type="dxa"/>
            <w:tcBorders/>
            <w:shd w:fill="CCEEFF" w:val="clear"/>
            <w:vAlign w:val="center"/>
          </w:tcPr>
          <w:p>
            <w:pPr>
              <w:pStyle w:val="TableContents"/>
              <w:bidi w:val="0"/>
              <w:spacing w:before="0" w:after="0"/>
              <w:ind w:left="0" w:right="0" w:hanging="0"/>
              <w:jc w:val="left"/>
              <w:rPr/>
            </w:pPr>
            <w:r>
              <w:rPr/>
              <w:t>​</w:t>
            </w:r>
          </w:p>
        </w:tc>
        <w:tc>
          <w:tcPr>
            <w:tcW w:w="238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Pay TV/5G Network Deployment</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X</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17 in the Notes to our Consolidated Financial Statements in this Annual Report on Form 10-K for further information on our Related Party Transactions with our parent, EchoStar.</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principal properties listed above, we operate numerous facilities for, among other things, our in-home service operations, customer call centers and digital broadcast operations centers strategically located in regions throughout the United States. Furthermore, our Pay-TV segment owns or leases capacity on nine satellites, which are a major component of our DISH TV services. See Note 7 in the Notes to our Consolidated Financial Statements in this Annual Report on Form 10-K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3" w:name="Item3LEGALPROCEEDINGS_783962"/>
      <w:bookmarkStart w:id="114" w:name="_458d47b7_349c_4788_aca0_76b66acf873b"/>
      <w:bookmarkEnd w:id="113"/>
      <w:bookmarkEnd w:id="114"/>
      <w:r>
        <w:rPr>
          <w:rFonts w:ascii="Times New Roman;Times;serif" w:hAnsi="Times New Roman;Times;serif"/>
          <w:b/>
          <w:sz w:val="20"/>
        </w:rPr>
        <w:t>Item 3.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13 in the Notes to our Consolidated Financial Statements in this Annual Report on Form 10-K for information regarding certain legal proceedings in which we are involved.</w:t>
      </w:r>
    </w:p>
    <w:p>
      <w:pPr>
        <w:pStyle w:val="TextBody"/>
        <w:bidi w:val="0"/>
        <w:spacing w:before="0" w:after="0"/>
        <w:ind w:left="0" w:right="0" w:hanging="0"/>
        <w:jc w:val="left"/>
        <w:rPr/>
      </w:pPr>
      <w:r>
        <w:rPr/>
        <w:t>​</w:t>
      </w:r>
    </w:p>
    <w:p>
      <w:pPr>
        <w:pStyle w:val="TextBody"/>
        <w:pBdr/>
        <w:bidi w:val="0"/>
        <w:spacing w:before="0" w:after="0"/>
        <w:ind w:left="0" w:right="0" w:hanging="900"/>
        <w:jc w:val="left"/>
        <w:rPr>
          <w:rFonts w:ascii="Times New Roman;Times;serif" w:hAnsi="Times New Roman;Times;serif"/>
          <w:b/>
          <w:sz w:val="20"/>
        </w:rPr>
      </w:pPr>
      <w:bookmarkStart w:id="115" w:name="Item4MINESAFETYDISCLOSURES_902365"/>
      <w:bookmarkStart w:id="116" w:name="_fb6490be_ac14_490a_bc53_d50979f65ef7"/>
      <w:bookmarkEnd w:id="115"/>
      <w:bookmarkEnd w:id="116"/>
      <w:r>
        <w:rPr>
          <w:rFonts w:ascii="Times New Roman;Times;serif" w:hAnsi="Times New Roman;Times;serif"/>
          <w:b/>
          <w:sz w:val="20"/>
        </w:rPr>
        <w:t>Item 4. MINE SAFETY DISCLOSURES</w:t>
      </w:r>
    </w:p>
    <w:p>
      <w:pPr>
        <w:pStyle w:val="TextBody"/>
        <w:pBdr/>
        <w:bidi w:val="0"/>
        <w:spacing w:before="0" w:after="0"/>
        <w:ind w:left="0" w:right="0" w:hanging="90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bookmarkStart w:id="117" w:name="_722cd9ec_dae2_4284_a42d_1b9eafc136fb"/>
      <w:bookmarkStart w:id="118" w:name="_contentSection_09c7047a_bc3c_420e_ac17_"/>
      <w:bookmarkEnd w:id="117"/>
      <w:bookmarkEnd w:id="118"/>
      <w:r>
        <w:rPr/>
        <w:t>​</w:t>
      </w:r>
    </w:p>
    <w:p>
      <w:pPr>
        <w:pStyle w:val="TextBody"/>
        <w:bidi w:val="0"/>
        <w:spacing w:before="0" w:after="0"/>
        <w:ind w:left="0" w:right="0" w:hanging="0"/>
        <w:jc w:val="center"/>
        <w:rPr>
          <w:rFonts w:ascii="Times New Roman;Times;serif" w:hAnsi="Times New Roman;Times;serif"/>
          <w:b/>
          <w:sz w:val="20"/>
        </w:rPr>
      </w:pPr>
      <w:bookmarkStart w:id="119" w:name="PARTII_808082"/>
      <w:bookmarkEnd w:id="119"/>
      <w:r>
        <w:rPr>
          <w:rFonts w:ascii="Times New Roman;Times;serif" w:hAnsi="Times New Roman;Times;serif"/>
          <w:b/>
          <w:sz w:val="20"/>
        </w:rPr>
        <w:t>PART II</w:t>
      </w:r>
    </w:p>
    <w:p>
      <w:pPr>
        <w:pStyle w:val="TextBody"/>
        <w:bidi w:val="0"/>
        <w:spacing w:before="0" w:after="0"/>
        <w:ind w:left="0" w:right="0" w:hanging="0"/>
        <w:jc w:val="center"/>
        <w:rPr/>
      </w:pPr>
      <w:r>
        <w:rPr/>
        <w:t>​</w:t>
      </w:r>
    </w:p>
    <w:p>
      <w:pPr>
        <w:pStyle w:val="TextBody"/>
        <w:pBdr/>
        <w:bidi w:val="0"/>
        <w:spacing w:before="0" w:after="0"/>
        <w:ind w:left="0" w:right="0" w:hanging="749"/>
        <w:jc w:val="left"/>
        <w:rPr>
          <w:rFonts w:ascii="Times New Roman;Times;serif" w:hAnsi="Times New Roman;Times;serif"/>
          <w:sz w:val="20"/>
        </w:rPr>
      </w:pPr>
      <w:bookmarkStart w:id="120" w:name="Item5MARKETFORREGISTRANTSCOMMONEQUITYREL"/>
      <w:bookmarkEnd w:id="120"/>
      <w:r>
        <w:rPr>
          <w:rFonts w:ascii="Times New Roman;Times;serif" w:hAnsi="Times New Roman;Times;serif"/>
          <w:b/>
          <w:sz w:val="20"/>
        </w:rPr>
        <w:t>Item 5. MARKET FOR REGISTRANT’S COMMON EQUITY, RELATED STOCKHOLDER MATTERS</w:t>
      </w:r>
      <w:r>
        <w:rPr>
          <w:rFonts w:ascii="Times New Roman;Times;serif" w:hAnsi="Times New Roman;Times;serif"/>
          <w:sz w:val="20"/>
        </w:rPr>
        <w:t xml:space="preserve"> </w:t>
      </w:r>
      <w:r>
        <w:rPr>
          <w:rFonts w:ascii="Times New Roman;Times;serif" w:hAnsi="Times New Roman;Times;serif"/>
          <w:b/>
          <w:sz w:val="20"/>
        </w:rPr>
        <w:t>AND ISSUER PURCHASES OF EQUITY SECURITIES</w:t>
      </w:r>
    </w:p>
    <w:p>
      <w:pPr>
        <w:pStyle w:val="TextBody"/>
        <w:pBdr/>
        <w:bidi w:val="0"/>
        <w:spacing w:before="0" w:after="0"/>
        <w:ind w:left="0" w:right="0" w:hanging="90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11, 2024, all 1,000 issued and outstanding shares of our common stock were held by EchoStar. There is currently no established trading market for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Purchases of Equity Securities by the Issuer and Affiliated Purchasers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result of the merger with EchoStar effective December 31, 2023, this plan was terminated as all of the outstanding shares of the DISH Network are held by EchoStar.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provides information regarding purchases of our Class A common stock made by us for the period from October 1, 2023 through December 31, 2023. </w:t>
      </w:r>
    </w:p>
    <w:p>
      <w:pPr>
        <w:pStyle w:val="TextBody"/>
        <w:bidi w:val="0"/>
        <w:spacing w:before="0" w:after="0"/>
        <w:ind w:left="0" w:right="0" w:hanging="0"/>
        <w:jc w:val="left"/>
        <w:rPr/>
      </w:pPr>
      <w:r>
        <w:rPr/>
        <w:t>​</w:t>
      </w:r>
    </w:p>
    <w:tbl>
      <w:tblPr>
        <w:tblW w:w="9810" w:type="dxa"/>
        <w:jc w:val="left"/>
        <w:tblInd w:w="0" w:type="dxa"/>
        <w:tblLayout w:type="fixed"/>
        <w:tblCellMar>
          <w:top w:w="0" w:type="dxa"/>
          <w:left w:w="0" w:type="dxa"/>
          <w:bottom w:w="0" w:type="dxa"/>
          <w:right w:w="0" w:type="dxa"/>
        </w:tblCellMar>
      </w:tblPr>
      <w:tblGrid>
        <w:gridCol w:w="3031"/>
        <w:gridCol w:w="326"/>
        <w:gridCol w:w="946"/>
        <w:gridCol w:w="326"/>
        <w:gridCol w:w="314"/>
        <w:gridCol w:w="557"/>
        <w:gridCol w:w="326"/>
        <w:gridCol w:w="1501"/>
        <w:gridCol w:w="326"/>
        <w:gridCol w:w="377"/>
        <w:gridCol w:w="1589"/>
        <w:gridCol w:w="191"/>
      </w:tblGrid>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0710" cy="175260"/>
                      <wp:effectExtent l="0" t="0" r="0" b="0"/>
                      <wp:wrapNone/>
                      <wp:docPr id="14" name="Frame1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99390" cy="175260"/>
                      <wp:effectExtent l="0" t="0" r="0" b="0"/>
                      <wp:wrapNone/>
                      <wp:docPr id="16" name="Frame16"/>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53695" cy="175260"/>
                      <wp:effectExtent l="0" t="0" r="0" b="0"/>
                      <wp:wrapNone/>
                      <wp:docPr id="17" name="Frame17"/>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53135" cy="175260"/>
                      <wp:effectExtent l="0" t="0" r="0" b="0"/>
                      <wp:wrapNone/>
                      <wp:docPr id="19" name="Frame1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9395" cy="175260"/>
                      <wp:effectExtent l="0" t="0" r="0" b="0"/>
                      <wp:wrapNone/>
                      <wp:docPr id="21" name="Frame21"/>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009015" cy="175260"/>
                      <wp:effectExtent l="0" t="0" r="0" b="0"/>
                      <wp:wrapNone/>
                      <wp:docPr id="22" name="Frame22"/>
                      <a:graphic xmlns:a="http://schemas.openxmlformats.org/drawingml/2006/main">
                        <a:graphicData uri="http://schemas.microsoft.com/office/word/2010/wordprocessingShape">
                          <wps:wsp>
                            <wps:cNvSpPr txBox="1"/>
                            <wps:spPr>
                              <a:xfrm>
                                <a:off x="0" y="0"/>
                                <a:ext cx="1009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1285" cy="175260"/>
                      <wp:effectExtent l="0" t="0" r="0" b="0"/>
                      <wp:wrapNone/>
                      <wp:docPr id="23" name="Frame2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14"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Number of</w:t>
            </w:r>
          </w:p>
        </w:tc>
        <w:tc>
          <w:tcPr>
            <w:tcW w:w="326" w:type="dxa"/>
            <w:tcBorders/>
            <w:vAlign w:val="center"/>
          </w:tcPr>
          <w:p>
            <w:pPr>
              <w:pStyle w:val="TableContents"/>
              <w:bidi w:val="0"/>
              <w:spacing w:before="0" w:after="0"/>
              <w:ind w:left="0" w:right="0" w:hanging="0"/>
              <w:jc w:val="center"/>
              <w:rPr/>
            </w:pPr>
            <w:r>
              <w:rPr/>
              <w:t>​</w:t>
            </w:r>
          </w:p>
        </w:tc>
        <w:tc>
          <w:tcPr>
            <w:tcW w:w="196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Maximum Approximate</w:t>
            </w:r>
          </w:p>
        </w:tc>
        <w:tc>
          <w:tcPr>
            <w:tcW w:w="191"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26" w:type="dxa"/>
            <w:tcBorders/>
            <w:vAlign w:val="center"/>
          </w:tcPr>
          <w:p>
            <w:pPr>
              <w:pStyle w:val="TableContents"/>
              <w:bidi w:val="0"/>
              <w:spacing w:before="0" w:after="0"/>
              <w:ind w:left="0" w:right="0" w:hanging="0"/>
              <w:jc w:val="center"/>
              <w:rPr/>
            </w:pPr>
            <w:r>
              <w:rPr/>
              <w:t>​</w:t>
            </w:r>
          </w:p>
        </w:tc>
        <w:tc>
          <w:tcPr>
            <w:tcW w:w="314" w:type="dxa"/>
            <w:tcBorders/>
            <w:vAlign w:val="center"/>
          </w:tcPr>
          <w:p>
            <w:pPr>
              <w:pStyle w:val="TableContents"/>
              <w:bidi w:val="0"/>
              <w:spacing w:before="0" w:after="0"/>
              <w:ind w:left="0" w:right="0" w:hanging="0"/>
              <w:jc w:val="center"/>
              <w:rPr/>
            </w:pPr>
            <w:r>
              <w:rPr/>
              <w:t>​</w:t>
            </w:r>
          </w:p>
        </w:tc>
        <w:tc>
          <w:tcPr>
            <w:tcW w:w="5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Purchased</w:t>
            </w:r>
          </w:p>
        </w:tc>
        <w:tc>
          <w:tcPr>
            <w:tcW w:w="326" w:type="dxa"/>
            <w:tcBorders/>
            <w:vAlign w:val="center"/>
          </w:tcPr>
          <w:p>
            <w:pPr>
              <w:pStyle w:val="TableContents"/>
              <w:bidi w:val="0"/>
              <w:spacing w:before="0" w:after="0"/>
              <w:ind w:left="0" w:right="0" w:hanging="0"/>
              <w:jc w:val="center"/>
              <w:rPr/>
            </w:pPr>
            <w:r>
              <w:rPr/>
              <w:t>​</w:t>
            </w:r>
          </w:p>
        </w:tc>
        <w:tc>
          <w:tcPr>
            <w:tcW w:w="196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Dollar Value of Shares</w:t>
            </w:r>
          </w:p>
        </w:tc>
        <w:tc>
          <w:tcPr>
            <w:tcW w:w="191"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Part of Publicly</w:t>
            </w:r>
          </w:p>
        </w:tc>
        <w:tc>
          <w:tcPr>
            <w:tcW w:w="326" w:type="dxa"/>
            <w:tcBorders/>
            <w:vAlign w:val="center"/>
          </w:tcPr>
          <w:p>
            <w:pPr>
              <w:pStyle w:val="TableContents"/>
              <w:bidi w:val="0"/>
              <w:spacing w:before="0" w:after="0"/>
              <w:ind w:left="0" w:right="0" w:hanging="0"/>
              <w:jc w:val="center"/>
              <w:rPr/>
            </w:pPr>
            <w:r>
              <w:rPr/>
              <w:t>​</w:t>
            </w:r>
          </w:p>
        </w:tc>
        <w:tc>
          <w:tcPr>
            <w:tcW w:w="196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that May Yet be</w:t>
            </w:r>
          </w:p>
        </w:tc>
        <w:tc>
          <w:tcPr>
            <w:tcW w:w="191"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Price Paid</w:t>
            </w:r>
          </w:p>
        </w:tc>
        <w:tc>
          <w:tcPr>
            <w:tcW w:w="32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Announced</w:t>
            </w:r>
          </w:p>
        </w:tc>
        <w:tc>
          <w:tcPr>
            <w:tcW w:w="326" w:type="dxa"/>
            <w:tcBorders/>
            <w:vAlign w:val="center"/>
          </w:tcPr>
          <w:p>
            <w:pPr>
              <w:pStyle w:val="TableContents"/>
              <w:bidi w:val="0"/>
              <w:spacing w:before="0" w:after="0"/>
              <w:ind w:left="0" w:right="0" w:hanging="0"/>
              <w:jc w:val="center"/>
              <w:rPr/>
            </w:pPr>
            <w:r>
              <w:rPr/>
              <w:t>​</w:t>
            </w:r>
          </w:p>
        </w:tc>
        <w:tc>
          <w:tcPr>
            <w:tcW w:w="196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Purchased Under the</w:t>
            </w:r>
          </w:p>
        </w:tc>
        <w:tc>
          <w:tcPr>
            <w:tcW w:w="191" w:type="dxa"/>
            <w:tcBorders/>
            <w:vAlign w:val="center"/>
          </w:tcPr>
          <w:p>
            <w:pPr>
              <w:pStyle w:val="TableContents"/>
              <w:bidi w:val="0"/>
              <w:spacing w:before="0" w:after="0"/>
              <w:ind w:left="0" w:right="0" w:hanging="0"/>
              <w:jc w:val="center"/>
              <w:rPr/>
            </w:pPr>
            <w:r>
              <w:rPr/>
              <w:t>​</w:t>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326" w:type="dxa"/>
            <w:tcBorders/>
            <w:vAlign w:val="center"/>
          </w:tcPr>
          <w:p>
            <w:pPr>
              <w:pStyle w:val="TableContents"/>
              <w:bidi w:val="0"/>
              <w:spacing w:before="0" w:after="0"/>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Purchased</w:t>
            </w:r>
          </w:p>
        </w:tc>
        <w:tc>
          <w:tcPr>
            <w:tcW w:w="326" w:type="dxa"/>
            <w:tcBorders/>
            <w:vAlign w:val="center"/>
          </w:tcPr>
          <w:p>
            <w:pPr>
              <w:pStyle w:val="TableContents"/>
              <w:bidi w:val="0"/>
              <w:spacing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 Share</w:t>
            </w:r>
          </w:p>
        </w:tc>
        <w:tc>
          <w:tcPr>
            <w:tcW w:w="326" w:type="dxa"/>
            <w:tcBorders/>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Programs</w:t>
            </w:r>
          </w:p>
        </w:tc>
        <w:tc>
          <w:tcPr>
            <w:tcW w:w="326" w:type="dxa"/>
            <w:tcBorders/>
            <w:vAlign w:val="center"/>
          </w:tcPr>
          <w:p>
            <w:pPr>
              <w:pStyle w:val="TableContents"/>
              <w:bidi w:val="0"/>
              <w:spacing w:before="0" w:after="0"/>
              <w:ind w:left="0" w:right="0" w:hanging="0"/>
              <w:jc w:val="center"/>
              <w:rPr/>
            </w:pPr>
            <w:r>
              <w:rPr/>
              <w:t>    </w:t>
            </w:r>
          </w:p>
        </w:tc>
        <w:tc>
          <w:tcPr>
            <w:tcW w:w="1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Programs (1)</w:t>
            </w:r>
          </w:p>
        </w:tc>
        <w:tc>
          <w:tcPr>
            <w:tcW w:w="191" w:type="dxa"/>
            <w:tcBorders/>
            <w:vAlign w:val="center"/>
          </w:tcPr>
          <w:p>
            <w:pPr>
              <w:pStyle w:val="TableContents"/>
              <w:bidi w:val="0"/>
              <w:spacing w:before="0" w:after="0"/>
              <w:ind w:left="0" w:right="0" w:hanging="0"/>
              <w:jc w:val="center"/>
              <w:rPr/>
            </w:pPr>
            <w:r>
              <w:rPr/>
              <w:t> </w:t>
            </w:r>
          </w:p>
        </w:tc>
      </w:tr>
      <w:tr>
        <w:trPr/>
        <w:tc>
          <w:tcPr>
            <w:tcW w:w="981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2" w:type="dxa"/>
            <w:gridSpan w:val="9"/>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data)</w:t>
            </w:r>
          </w:p>
        </w:tc>
        <w:tc>
          <w:tcPr>
            <w:tcW w:w="191"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October 1, 2023 - October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1, 2023 - November 30, 2023</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191"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1, 2023 -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191"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58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DISH Network’s Board of Directors previously authorized stock repurchases of up to $1.0 billion of its outstanding Class A common stock. On October 21, 2023, DISH Network’s Board of Directors extended this authorization to repurchase up to $1.0 billion of its outstanding Class A common stock through and including December 31, 2024. However, this program expired December 31, 2023 as a result of DISH Network’s merger with EchoStar. During the three months ended December 31, 2023, there were no repurchases of DISH Network’s Class A common stock.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1" w:name="Item6_783332"/>
      <w:bookmarkStart w:id="122" w:name="_e6204883_ee54_45cc_90a9_a461be1a0b45"/>
      <w:bookmarkEnd w:id="121"/>
      <w:bookmarkEnd w:id="122"/>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pBdr/>
        <w:bidi w:val="0"/>
        <w:spacing w:before="0" w:after="0"/>
        <w:ind w:left="0" w:right="0" w:hanging="749"/>
        <w:jc w:val="left"/>
        <w:rPr/>
      </w:pPr>
      <w:bookmarkStart w:id="123" w:name="_81d8b664_c54c_4940_8524_37876369c941"/>
      <w:bookmarkStart w:id="124" w:name="_contentSection_809f9408_7422_4dd6_8a58_"/>
      <w:bookmarkStart w:id="125" w:name="_Hlk531700959"/>
      <w:bookmarkEnd w:id="123"/>
      <w:bookmarkEnd w:id="124"/>
      <w:bookmarkEnd w:id="125"/>
      <w:r>
        <w:rPr/>
        <w:t>​</w:t>
      </w:r>
    </w:p>
    <w:p>
      <w:pPr>
        <w:pStyle w:val="TextBody"/>
        <w:pBdr/>
        <w:bidi w:val="0"/>
        <w:spacing w:before="0" w:after="0"/>
        <w:ind w:left="0" w:right="0" w:hanging="749"/>
        <w:jc w:val="left"/>
        <w:rPr/>
      </w:pPr>
      <w:r>
        <w:rPr/>
        <w:t>​</w:t>
      </w:r>
    </w:p>
    <w:p>
      <w:pPr>
        <w:pStyle w:val="TextBody"/>
        <w:pBdr/>
        <w:bidi w:val="0"/>
        <w:spacing w:before="0" w:after="0"/>
        <w:ind w:left="0" w:right="0" w:hanging="749"/>
        <w:jc w:val="left"/>
        <w:rPr>
          <w:rFonts w:ascii="Times New Roman;Times;serif" w:hAnsi="Times New Roman;Times;serif"/>
          <w:b/>
          <w:sz w:val="20"/>
        </w:rPr>
      </w:pPr>
      <w:bookmarkStart w:id="126" w:name="Item7MANAGEMENTSDISCUSSIONANDANALYSISOFF"/>
      <w:bookmarkEnd w:id="126"/>
      <w:r>
        <w:rPr>
          <w:rFonts w:ascii="Times New Roman;Times;serif" w:hAnsi="Times New Roman;Times;serif"/>
          <w:b/>
          <w:sz w:val="20"/>
        </w:rPr>
        <w:t>Item 7. MANAGEMENT’S NARRATIVE ANALYSIS OF RESULTS OF OPERATIONS</w:t>
      </w:r>
    </w:p>
    <w:p>
      <w:pPr>
        <w:pStyle w:val="TextBody"/>
        <w:pBdr/>
        <w:bidi w:val="0"/>
        <w:spacing w:before="0" w:after="0"/>
        <w:ind w:left="0" w:right="0" w:hanging="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You should read the following management’s narrative analysis of our financial condition and results of operations together with the audited consolidated financial statements and notes to our financial statements included elsewhere in this Annual Report on Form 10-K.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forward-looking statements speak only as of the date of this Annual Report on Form 10-K and we expressly disclaim any obligation to update any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Merger with EchoStar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December 31, 2023, we completed the Merger with EchoStar. On the terms and subject to the conditions set forth in the Amended Merger Agreement, on December 31, 2023 at the Effective Time each share of DISH Network Common Stock outstanding immediately prior to the Effective Time, was converted into the right to receive a number of validly issued, fully paid and non-assessable shares of EchoStar Common Stock equal to the Exchange Ratio. Any shares of DISH Network Common Stock that were held in DISH Network’s treasury or held directly by EchoStar or Merger Sub immediately prior to the Effective Time were cancelled and cease to exist and no consideration was paid in respect thereof. All shares of the DISH Network Class A Common Stock were delisted from NASDAQ and deregistered under the Securities Exchange Act of 1934, as amended.</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EchoStar Common Stock issued to the Ergen DISH Stockholders (as defined in the Amended Merger Agreement) as Merger consideration was issued through a private placement exemption from registration under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Concurrently with the entry into the Amended Merger Agreement, the Ergen Stockholders, EchoStar and DISH Network entered into the Amended Support Agreement.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completion of the Merger, on December 31, 2023, EchoStar and the Ergen Stockholders entered into the Registration Rights Agreement. See Note 1 in the Notes to our Consolidated Financial Statements in this Annual Report on Form 10-K for further information.</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more information and a copy of the Amended Merger Agreement, the Amended Support Agreement and the Registration Rights Agreement, see the Form 8-K of EchoStar filed on October 3, 2023 and the Form 8-K of EchoStar filed on January 2, 2024.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the Merger complete, we are currently focused on the Integration. </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currently operate three primary business segments: (1) Pay-TV; (2) Retail Wireless; and (3) 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20"/>
        </w:rPr>
      </w:pPr>
      <w:r>
        <w:rPr>
          <w:rFonts w:ascii="Times New Roman;Times;serif" w:hAnsi="Times New Roman;Times;serif"/>
          <w:spacing w:val="-2"/>
          <w:sz w:val="20"/>
        </w:rPr>
        <w:t>Our Pay-TV segment business strategy is to be the best provider of video services in the United States by providing products with the best technology, outstanding customer service, and great value. We offer Pay-TV services under the DISH® brand and the SLING® brand.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Retail Wireless segment offers Retail Wireless services as well as a competitive portfolio of wireless devices. We offer customers value by providing choice and flexibility in our Retail Wireless services. We offer competitive consumer plans with no annual service contracts. 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currently operating our Retail Wireless segment primarily as a MVNO as we continue our 5G Network Deployment and commercialize our 5G Network. We are transitioning our Retail Wireless segment to a MNO as our 5G Network becomes commercially available and we are currently activating subscribers onto our 5G Network in markets where we have reached VoNR. As an MVNO, today we depend on T-Mobile and AT&amp;T to provide us with network services under the MNSA and the NSA, respectively. Under the NSA, we expect AT&amp;T will become our primary network services provider.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5G Network Deployment segment business strategy is to commercialize our Wireless spectrum licenses through the completion of our 5G Network Deployment. </w:t>
      </w:r>
      <w:r>
        <w:rPr>
          <w:rFonts w:ascii="Times New Roman;Times;serif" w:hAnsi="Times New Roman;Times;serif"/>
          <w:spacing w:val="-2"/>
          <w:sz w:val="20"/>
        </w:rPr>
        <w:t xml:space="preserve">We have committed to deploy our 5G Network capable of serving increasingly larger portions of the U.S. population at different deadlines, including 20% of the U.S. population by June 2022 and 70% of the U.S. population by June 2023.  </w:t>
      </w:r>
      <w:r>
        <w:rPr>
          <w:rFonts w:ascii="Times New Roman;Times;serif" w:hAnsi="Times New Roman;Times;serif"/>
          <w:sz w:val="20"/>
        </w:rPr>
        <w:t xml:space="preserve">If by June 2023, we are offering 5G broadband service to at least 50% </w:t>
      </w:r>
      <w:r>
        <w:rPr>
          <w:rFonts w:ascii="Times New Roman;Times;serif" w:hAnsi="Times New Roman;Times;serif"/>
          <w:spacing w:val="-2"/>
          <w:sz w:val="20"/>
        </w:rPr>
        <w:t>of the U.S. population but less than 70% of the U.S. population</w:t>
      </w:r>
      <w:r>
        <w:rPr>
          <w:rFonts w:ascii="Times New Roman;Times;serif" w:hAnsi="Times New Roman;Times;serif"/>
          <w:sz w:val="20"/>
        </w:rPr>
        <w:t xml:space="preserve">, the 70% June 2023 deadline will be extended automatically to June 2025; however, as a result, we may, under certain circumstances, potentially be subject to certain penalties. </w:t>
      </w:r>
      <w:r>
        <w:rPr>
          <w:rFonts w:ascii="Times New Roman;Times;serif" w:hAnsi="Times New Roman;Times;serif"/>
          <w:spacing w:val="-2"/>
          <w:sz w:val="20"/>
        </w:rPr>
        <w:t xml:space="preserve">On June 14, 2022, we announced we had successfully reached our 20% population coverage requirement. </w:t>
      </w:r>
      <w:r>
        <w:rPr>
          <w:rFonts w:ascii="Times New Roman;Times;serif" w:hAnsi="Times New Roman;Times;serif"/>
          <w:sz w:val="20"/>
        </w:rPr>
        <w:t>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confirmed using the drive test methodology agreed to and approved by the FCC and overseen by an independent monitor.</w:t>
      </w:r>
      <w:r>
        <w:rPr>
          <w:rFonts w:ascii="Times New Roman;Times;serif" w:hAnsi="Times New Roman;Times;serif"/>
          <w:sz w:val="20"/>
          <w:shd w:fill="FEFEFE" w:val="clear"/>
        </w:rPr>
        <w:t xml:space="preserve"> We now have the largest commercial deployment of 5G VoNR in the world reaching approximately 200 million Americans and 5G broadband service reaching approximately 250 million Americans.</w:t>
      </w:r>
    </w:p>
    <w:p>
      <w:pPr>
        <w:pStyle w:val="TextBody"/>
        <w:bidi w:val="0"/>
        <w:spacing w:before="0" w:after="0"/>
        <w:ind w:left="0" w:right="0" w:hanging="0"/>
        <w:jc w:val="left"/>
        <w:rPr/>
      </w:pPr>
      <w:bookmarkStart w:id="127" w:name="_Hlk513064215"/>
      <w:bookmarkEnd w:id="127"/>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Future Capital Requirements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depending on, among other things, the rate at which we complete our 5G Network Deployment, the purchase of additional wireless spectrum licenses and the rate at which we acquire new subscribers and the cost of subscriber acquisition and retention. Certain of our capital expenditures for 2024 are expected to be driven by the rate of our 5G Network Deployment as well as costs associated with subscriber premises equipment. These expenditures are necessary for our 5G Network Deployment as well as to operate and maintain our DISH TV services. Consequently, we consider them to be non-discretionary.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used our cash, cash equivalents and marketable investment securities, cash flow from operations and funds from certain strategic transactions, including the sale of our wholly-owned subsidiary which holds the 700 MHz Spectrum to a wholly-owned subsidiary of our parent, EchoStar, on March 12, 2024, to pay the March 2024 debt maturity. W</w:t>
      </w:r>
      <w:r>
        <w:rPr>
          <w:rFonts w:ascii="Times New Roman;Times;serif" w:hAnsi="Times New Roman;Times;serif"/>
          <w:color w:val="222222"/>
          <w:sz w:val="20"/>
        </w:rPr>
        <w:t xml:space="preserve">e do not currently have the necessary cash, cash equivalents and marketable investment securities and/or projected future cash flows to fund the November 2024 debt maturity. To address our capital needs, we are in active discussions with funding sources to raise additional capital and restructure our outstanding debt.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15, 2021 the SNR Put Right was exercised. As of December 31, 2023, the aggregate value of SNR Management’s ownership interest in SNR HoldCo was $438 million, recorded as “Redeemable noncontrolling interests” on our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Subsequent to December 31, 2023, the FCC consented to the sale of SNR Wireless Management, LLC’s (“SNR Management”) ownership interests in SNR HoldCo, which was purchased by our parent’s direct wholly-owned subsidiary EchoStar SNR HoldCo L.L.C. for a total of approximately $442 million on February 16, 2024. In addition, the remaining balance of $951 million on our 2 3/8% Convertible Notes matured on March 15, 2024 and was paid with our cash, cash equivalents and marketable investment securities, cash flow from operations and funds from certain strategic transactions including the sale of our wholly-owned subsidiary which holds the 700 MHz Spectrum to a wholly-owned subsidiary of our parent, EchoStar, on March 12, 2024. See Note 9 in the Notes to our Consolidated Financial Statements in this Annual Report on Form 10-K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and expect to continue to incur expenditures in 2024 related to our 5G Network Deployment, including, but not limited to, capital expenditures associated with our 5G Network Deployment and the potential purchase of additional wireless spectrum licenses. The amount of capital required will also depend on, among other things, our available liquidity, the growth of our Retail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Developments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Cyber-Security Incident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23, 2023, we experienced a network outage that affected our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28, 2023, we further disclosed that certain data had been extracted from our IT systems. Our investigation into the extent of the incident is now completed.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DISH TV, SLING TV and Retail Wireless services, along with our wireless and data networks remained operational at all times during the incident. As of March 31, 2023, all significant systems had been restored.</w:t>
      </w:r>
    </w:p>
    <w:p>
      <w:pPr>
        <w:pStyle w:val="TextBody"/>
        <w:shd w:fill="FFFFFF" w:val="clear"/>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first quarter of 2023, we incurred substantially all of our cyber-security-related expenses for this matter, including, but not limited to, costs to remediate the incident and provide additional customer support. During the second, third and fourth quarters of 2023, we did not incur additional material expenses resulting from the cyber-security incident and do not expect to incur material expenses in future periods. During the year ended December 31, 2023, we incurred approximately $30 million in cyber-security-related expenses, which are recorded in “Cost of services” on our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Economic Environment</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2022 and 2023, we experienced significant inflationary pressures in our commodity and labor costs resulting from the macroeconomic environment in the United States, which has significantly impacted our overall operating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Operational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make general investments in property such as, among others, satellites, wireless devices, set-top boxes, information technology and facilities that support our Pay-TV and Retail Wireless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pStyle w:val="TextBody"/>
        <w:bidi w:val="0"/>
        <w:spacing w:lineRule="atLeast" w:line="220"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Retail Wireless service margins are impacted by, among other things, our MNSA agreement with T-Mobile and our NSA agreement with AT&amp;T and the speed with which we are able to convert Wireless subscribers onto our 5G Network.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Finally, our future cash flow is impacted by, among other things, the rate at which we complete our 5G Network Deployment, incur litigation expense, and any cash flow from financing activities.  We anticipate operating expenditures for our 5G Network Deployment to increase during 2024 as we continue to, among other things, deploy cell sites and communication towers to commercialize our 5G Network. Since we reached our 5G Network Deployment milestone of 70% of the U.S. population, we expect our capital expenditures will decline in the near term. However, as we prepare for our next build-out requirements in 2025, we expect our capital expenditures to increase as we approach this deadline. As a result, our historical cash flow is not necessarily indicative of our future cash flows. As of December 31, 2023, as a result of, among other things, capital expenditures for our 5G Network Deployment, we experienced negative cash flow. We expect that this trend will continue in 2024 and in future periods. In addition, declines in our Pay-TV and Wireless subscriber base and any decrease in subscriber-related margins negatively impact our cash flow, and there can be no assurance that our subscriber declines will not continue.</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Availability of Credit and Effect on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pStyle w:val="TextBody"/>
        <w:shd w:fill="FFFFFF" w:val="clear"/>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b/>
          <w:i/>
          <w:sz w:val="20"/>
        </w:rPr>
      </w:pPr>
      <w:r>
        <w:rPr>
          <w:rFonts w:ascii="Times New Roman;Times;serif" w:hAnsi="Times New Roman;Times;serif"/>
          <w:b/>
          <w:i/>
          <w:sz w:val="20"/>
        </w:rPr>
        <w:t>Debt Issuances and Maturity</w:t>
      </w:r>
    </w:p>
    <w:p>
      <w:pPr>
        <w:pStyle w:val="TextBody"/>
        <w:bidi w:val="0"/>
        <w:spacing w:lineRule="atLeast" w:line="200"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24, 2021, we issued $1.5 billion aggregate principal amount of our 5 1/8% Senior Notes due June 1, 2029. Interest accrues at an annual rate of 5 1/8% and is payable semi-annually in cash, in arrears on June 1 and December 1 of each year.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20"/>
        </w:rPr>
        <w:t>On November 26, 2021, we issued $2.750 billion aggregate principal amount of our 5 1/4% Senior Secured Notes due December 1, 2026. Interest accrues at an annual rate of 5 1/4% and is payable semi-annually in cash, in arrears on June</w:t>
      </w:r>
      <w:r>
        <w:rPr>
          <w:rFonts w:ascii="Times New Roman;Times;serif" w:hAnsi="Times New Roman;Times;serif"/>
          <w:sz w:val="16"/>
        </w:rPr>
        <w:t> </w:t>
      </w:r>
      <w:r>
        <w:rPr>
          <w:rFonts w:ascii="Times New Roman;Times;serif" w:hAnsi="Times New Roman;Times;serif"/>
          <w:sz w:val="20"/>
        </w:rPr>
        <w:t>1 and December 1 of each year, commencing on June 1, 2022.</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26, 2021, we issued $2.5 billion aggregate principal amount of our 5 3/4% Senior Secured Notes due December 1, 2028. Interest accrues at an annual rate of 5 3/4% and is payable semi-annually in cash, in arrears on June 1 and December 1 of each year, commencing on June 1, 2022.</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15, 2022 and January 26, 2023, we issued $2.0 billion and $1.5 billion, respectively, aggregate principal amount of our 11 3/4% Senior Secured Notes due November 15, 2027. Interest accrues at an annual rate of 11 3/4% and is payable semi-annually in cash, in arrears on May 15 and November 15 of each year, commencing on May 15,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6 3/4% Senior Notes due 2021 with an aggregate principal balance of $2.0 billion were repurchased or redeemed as of June 1,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5 7/8% Senior Notes due 2022 with an aggregate principal balance of $2.0 billion were repurchased or redeemed as of July 15, 2022.</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5% Senior Notes due 2023 with an aggregate principal balance of $1.5 billion were repurchased or redeemed as of March 15,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2023, we repurchased approximately $49 million of our 2 3/8% Convertible Notes due 2024 in open market trades. The remaining balance of approximately $951 million matured and was redeemed on March 15,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2023, we repurchased approximately $17 million of our 5 7/8% Senior Notes due 2024 in open market trades. The remaining balance of approximately $1.983 billion matures on November 15, 2024.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Covenants and Restrictions Related to our Long-Term Debt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the covenants and restrictions set forth in the indentures related to our long-term debt. In particular, 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Annual Report on Form 10-K, we and DISH DBS were in compliance with the covenants and restrictions related to our respective long-term debt.</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2 in the Notes to our Consolidated Financial Statements in this Annual Report on Form 10-K for further information.</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EXPLANATION OF KEY METRICS AND OTHER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Service revenue</w:t>
      </w:r>
      <w:r>
        <w:rPr>
          <w:rFonts w:ascii="Times New Roman;Times;serif" w:hAnsi="Times New Roman;Times;serif"/>
          <w:b/>
          <w:sz w:val="20"/>
        </w:rPr>
        <w:t>.</w:t>
      </w:r>
      <w:r>
        <w:rPr>
          <w:rFonts w:ascii="Times New Roman;Times;serif" w:hAnsi="Times New Roman;Times;serif"/>
          <w:sz w:val="20"/>
        </w:rPr>
        <w:t xml:space="preserve"> “Service revenue” consists principally of Pay-TV and Wireless subscriber revenue. Certain of the amounts included in “Service revenue” are not recurring on a monthly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Equipment sales and other revenue</w:t>
      </w:r>
      <w:r>
        <w:rPr>
          <w:rFonts w:ascii="Times New Roman;Times;serif" w:hAnsi="Times New Roman;Times;serif"/>
          <w:b/>
          <w:sz w:val="20"/>
        </w:rPr>
        <w:t>.</w:t>
      </w:r>
      <w:r>
        <w:rPr>
          <w:rFonts w:ascii="Times New Roman;Times;serif" w:hAnsi="Times New Roman;Times;serif"/>
          <w:sz w:val="20"/>
        </w:rPr>
        <w:t xml:space="preserve"> “Equipment sales and other revenue” principally includes the sale of wireless devices, the non-subsidized sales of Pay-TV equipment and the licensing of certain intellectual property.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services</w:t>
      </w:r>
      <w:r>
        <w:rPr>
          <w:rFonts w:ascii="Times New Roman;Times;serif" w:hAnsi="Times New Roman;Times;serif"/>
          <w:b/>
          <w:sz w:val="20"/>
        </w:rPr>
        <w:t>.</w:t>
      </w:r>
      <w:r>
        <w:rPr>
          <w:rFonts w:ascii="Times New Roman;Times;serif" w:hAnsi="Times New Roman;Times;serif"/>
          <w:sz w:val="20"/>
        </w:rPr>
        <w:t xml:space="preserve"> “Cost of services” principally includes Pay-TV programming expenses and other operating costs related to our Pay-TV segment and costs of Wireless services (including costs incurred under the MNSA and NSA).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sales - equipment and other.</w:t>
      </w:r>
      <w:r>
        <w:rPr>
          <w:rFonts w:ascii="Times New Roman;Times;serif" w:hAnsi="Times New Roman;Times;serif"/>
          <w:sz w:val="20"/>
        </w:rPr>
        <w:t xml:space="preserve"> “Cost of sales – equipment and other” principally includes the cost of wireless devices and other related items, certain direct costs of wireless mobile network operations to deliver wireless voice and data services, as well as costs related to the non-subsidized sales of Pay-TV equipment. Costs are generally recognized as products are delivered to customers and the related revenue is recognized.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 expenses</w:t>
      </w:r>
      <w:r>
        <w:rPr>
          <w:rFonts w:ascii="Times New Roman;Times;serif" w:hAnsi="Times New Roman;Times;serif"/>
          <w:b/>
          <w:sz w:val="20"/>
        </w:rPr>
        <w:t>.</w:t>
      </w:r>
      <w:r>
        <w:rPr>
          <w:rFonts w:ascii="Times New Roman;Times;serif" w:hAnsi="Times New Roman;Times;serif"/>
          <w:sz w:val="20"/>
        </w:rPr>
        <w:t xml:space="preserve"> “Selling, general and administrative expenses” consists 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 </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Arial;font-style:italic;font-weight:bold" w:hAnsi="Arial;font-style:italic;font-weight:bold"/>
          <w:sz w:val="20"/>
        </w:rPr>
        <w:t>Impairment of long-lived assets and goodwill</w:t>
      </w:r>
      <w:r>
        <w:rPr>
          <w:rFonts w:ascii="Arial" w:hAnsi="Arial"/>
          <w:sz w:val="20"/>
        </w:rPr>
        <w:t>. “Impairment of long-lived assets and goodwill” includes our impairment losses related to our property and equipment, regulatory authorizations, goodwill and other intangible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Interest expense, net of amounts capitalized.</w:t>
      </w:r>
      <w:r>
        <w:rPr>
          <w:rFonts w:ascii="Times New Roman;Times;serif" w:hAnsi="Times New Roman;Times;serif"/>
          <w:sz w:val="20"/>
        </w:rPr>
        <w:t xml:space="preserve"> “Interest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Other, net.</w:t>
      </w:r>
      <w:r>
        <w:rPr>
          <w:rFonts w:ascii="Times New Roman;Times;serif" w:hAnsi="Times New Roman;Times;serif"/>
          <w:sz w:val="20"/>
        </w:rPr>
        <w:t xml:space="preserve"> The main components of “Other, net” are gains and losses realized on the sale and/or conversion of 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and equity in earnings and losses of our affiliates.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Earnings before interest, taxes, depreciation and amortization (“EBITDA”).</w:t>
      </w:r>
      <w:r>
        <w:rPr>
          <w:rFonts w:ascii="Times New Roman;Times;serif" w:hAnsi="Times New Roman;Times;serif"/>
          <w:sz w:val="20"/>
        </w:rPr>
        <w:t xml:space="preserve"> EBITDA is defined as “Net income (loss) attributable to DISH Network” plus “Interest expense, net of amounts capitalized” and net of “Interest income,” “Income tax (provision) benefit, net” and “Depreciation and amortization.” This “non-GAAP measure” is reconciled to “Net income (loss) attributable to DISH Network” in our discussion of “Results of Operations” below.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Operating income before depreciation and amortization (“OIBDA”).  </w:t>
      </w:r>
      <w:r>
        <w:rPr>
          <w:rFonts w:ascii="Times New Roman;Times;serif" w:hAnsi="Times New Roman;Times;serif"/>
          <w:sz w:val="20"/>
        </w:rPr>
        <w:t>OIBDA is defined as “Operating income (loss)” plus “Depreciation and amortization.”  This “non-GAAP measure” is reconciled to “Operating income (loss)” in our discussion of “Results of Operations” below.</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DISH TV subscribers.</w:t>
      </w:r>
      <w:r>
        <w:rPr>
          <w:rFonts w:ascii="Times New Roman;Times;serif" w:hAnsi="Times New Roman;Times;serif"/>
          <w:sz w:val="20"/>
        </w:rPr>
        <w:t xml:space="preserve"> We include customers obtained through direct sales, independent third-party 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 </w:t>
      </w:r>
    </w:p>
    <w:p>
      <w:pPr>
        <w:pStyle w:val="TextBody"/>
        <w:bidi w:val="0"/>
        <w:spacing w:before="0" w:after="0"/>
        <w:ind w:left="0" w:right="0" w:hanging="0"/>
        <w:jc w:val="left"/>
        <w:rPr>
          <w:shd w:fill="FFFF00" w:val="clear"/>
        </w:rPr>
      </w:pPr>
      <w:r>
        <w:rPr>
          <w:shd w:fill="FFFF00" w:val="clea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SLING TV subscribers.</w:t>
      </w:r>
      <w:r>
        <w:rPr>
          <w:rFonts w:ascii="Times New Roman;Times;serif" w:hAnsi="Times New Roman;Times;serif"/>
          <w:sz w:val="20"/>
        </w:rPr>
        <w:t xml:space="preserve"> We include customers obtained through direct sales and third-party marketing agreements in our SLING TV subscriber count. SLING TV subscriber additions are recorded net of disconnects. SLING TV customers receiving service for no charge, under certain new subscriber promotions, are excluded from our SLING TV subscriber count. For customers who subscribe to multiple SLING TV packages, each customer is only counted as one SLING TV subscriber.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Pay-TV subscribers.</w:t>
      </w:r>
      <w:r>
        <w:rPr>
          <w:rFonts w:ascii="Times New Roman;Times;serif" w:hAnsi="Times New Roman;Times;serif"/>
          <w:sz w:val="20"/>
        </w:rPr>
        <w:t xml:space="preserve"> Our Pay-TV subscriber count includes all DISH TV and SLING TV subscribers discussed above. For customers who subscribe to both our DISH TV services and our SLING TV services, each subscription is counted as a separate Pay-TV subscriber.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Pay-TV average monthly revenue per subscriber (“Pay-TV ARPU”).</w:t>
      </w:r>
      <w:r>
        <w:rPr>
          <w:rFonts w:ascii="Times New Roman;Times;serif" w:hAnsi="Times New Roman;Times;serif"/>
          <w:sz w:val="20"/>
        </w:rPr>
        <w:t xml:space="preserve"> We are not aware of any uniform 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DISH TV average monthly subscriber churn rate (“DISH TV churn rate”).</w:t>
      </w:r>
      <w:r>
        <w:rPr>
          <w:rFonts w:ascii="Times New Roman;Times;serif" w:hAnsi="Times New Roman;Times;serif"/>
          <w:sz w:val="20"/>
        </w:rPr>
        <w:t xml:space="preserve"> We are not aware of any uniform 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DISH TV SAC.</w:t>
      </w:r>
      <w:r>
        <w:rPr>
          <w:rFonts w:ascii="Times New Roman;Times;serif" w:hAnsi="Times New Roman;Times;serif"/>
          <w:sz w:val="20"/>
        </w:rPr>
        <w:t xml:space="preserve"> Subscriber acquisition cost measures are commonly used by those evaluating 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Wireless subscribers.</w:t>
      </w:r>
      <w:r>
        <w:rPr>
          <w:rFonts w:ascii="Times New Roman;Times;serif" w:hAnsi="Times New Roman;Times;serif"/>
          <w:sz w:val="20"/>
        </w:rPr>
        <w:t xml:space="preserve"> We include prepaid and postpaid customers obtained through direct sales, independent third-party retailers and other independent third-party distribution relationships in our Wireless subscriber count. Our Wireless subscriber count includes all </w:t>
      </w:r>
      <w:r>
        <w:rPr>
          <w:rFonts w:ascii="Times New Roman;Times;serif" w:hAnsi="Times New Roman;Times;serif"/>
          <w:sz w:val="20"/>
          <w:shd w:fill="FFFFFF" w:val="clear"/>
        </w:rPr>
        <w:t>ACP/Gen Mobile</w:t>
      </w:r>
      <w:r>
        <w:rPr>
          <w:rFonts w:ascii="Times New Roman;Times;serif" w:hAnsi="Times New Roman;Times;serif"/>
          <w:sz w:val="20"/>
        </w:rPr>
        <w:t xml:space="preserve"> subscribers discussed below. Our gross new Wireless subscriber activations exclude all </w:t>
      </w:r>
      <w:r>
        <w:rPr>
          <w:rFonts w:ascii="Times New Roman;Times;serif" w:hAnsi="Times New Roman;Times;serif"/>
          <w:sz w:val="20"/>
          <w:shd w:fill="FFFFFF" w:val="clear"/>
        </w:rPr>
        <w:t>ACP/Gen Mobile</w:t>
      </w:r>
      <w:r>
        <w:rPr>
          <w:rFonts w:ascii="Times New Roman;Times;serif" w:hAnsi="Times New Roman;Times;serif"/>
          <w:sz w:val="20"/>
        </w:rPr>
        <w:t xml:space="preserve"> subscribers as we </w:t>
      </w:r>
      <w:r>
        <w:rPr>
          <w:rFonts w:ascii="Times New Roman;Times;serif" w:hAnsi="Times New Roman;Times;serif"/>
          <w:sz w:val="20"/>
          <w:shd w:fill="FFFFFF" w:val="clear"/>
        </w:rPr>
        <w:t>record these subscribers net of disconnects, as discussed below</w:t>
      </w:r>
      <w:r>
        <w:rPr>
          <w:rFonts w:ascii="Times New Roman;Times;serif" w:hAnsi="Times New Roman;Times;serif"/>
          <w:sz w:val="20"/>
        </w:rPr>
        <w:t>.</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Affordable Connectivity Program/Gen Mobile subscribers (“ACP/Gen Mobile subscribers”).</w:t>
      </w:r>
      <w:r>
        <w:rPr>
          <w:rFonts w:ascii="Times New Roman;Times;serif" w:hAnsi="Times New Roman;Times;serif"/>
          <w:sz w:val="20"/>
          <w:shd w:fill="FFFFFF" w:val="clear"/>
        </w:rPr>
        <w:t xml:space="preserve"> The Emergency Broadband Benefit Program (“EBBP”) was launched by the FCC in February of 2021 to support broadband services and devices to help low-income individuals that meet certain eligibility criteria. The Affordable Connectivity Program (“ACP”) replaced the EBBP on December 31, 2021. Our ACP/Gen Mobile subscribers have a significantly higher churn rate compared to our other Wireless subscribers and we incur lower costs to acquire these subscribers. Therefore, our ACP/Gen Mobile subscriber additions are recorded net of disconnects. </w:t>
      </w:r>
    </w:p>
    <w:p>
      <w:pPr>
        <w:pStyle w:val="TextBody"/>
        <w:bidi w:val="0"/>
        <w:spacing w:lineRule="atLeast" w:line="220"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Wireless average monthly revenue per subscriber (“Wireless ARPU”).</w:t>
      </w:r>
      <w:r>
        <w:rPr>
          <w:rFonts w:ascii="Times New Roman;Times;serif" w:hAnsi="Times New Roman;Times;serif"/>
          <w:sz w:val="20"/>
        </w:rPr>
        <w:t xml:space="preserve"> We are not aware of any uniform standards for calculating ARPU and believe presentations of ARPU may not be calculated consistently by other companies in the same or similar businesses. We calculate average monthly revenue per Wireless subscriber, or Wireless ARPU, by dividing average monthly Retail Wireless segment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Wireless average monthly subscriber churn rate (“Wireless churn rate”).</w:t>
      </w:r>
      <w:r>
        <w:rPr>
          <w:rFonts w:ascii="Times New Roman;Times;serif" w:hAnsi="Times New Roman;Times;serif"/>
          <w:sz w:val="20"/>
        </w:rPr>
        <w:t xml:space="preserve"> We are not aware of any uniform 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w:t>
      </w:r>
      <w:r>
        <w:rPr>
          <w:rFonts w:ascii="Times New Roman;Times;serif" w:hAnsi="Times New Roman;Times;serif"/>
          <w:sz w:val="20"/>
          <w:shd w:fill="FFFFFF" w:val="clear"/>
        </w:rPr>
        <w:t>ACP/Gen Mobile</w:t>
      </w:r>
      <w:r>
        <w:rPr>
          <w:rFonts w:ascii="Times New Roman;Times;serif" w:hAnsi="Times New Roman;Times;serif"/>
          <w:sz w:val="20"/>
        </w:rPr>
        <w:t xml:space="preserve"> subscribers are excluded from our calculation of our Wireless churn rate.</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currently operate three primary business segments: (1) Pay-TV; (2) Retail Wireless; and (3) 5G Network Deployment. Revenue and operating income (loss) by segment are shown in the table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Year</w:t>
      </w:r>
      <w:r>
        <w:rPr>
          <w:rFonts w:ascii="Times New Roman;Times;serif" w:hAnsi="Times New Roman;Times;serif"/>
          <w:sz w:val="20"/>
        </w:rPr>
        <w:t xml:space="preserve"> </w:t>
      </w:r>
      <w:r>
        <w:rPr>
          <w:rFonts w:ascii="Times New Roman;Times;serif" w:hAnsi="Times New Roman;Times;serif"/>
          <w:i/>
          <w:sz w:val="20"/>
        </w:rPr>
        <w:t>Ended December 31, 2023 Compared to the Year Ended December 31, 2022.</w:t>
      </w:r>
    </w:p>
    <w:p>
      <w:pPr>
        <w:pStyle w:val="TextBody"/>
        <w:bidi w:val="0"/>
        <w:spacing w:before="0" w:after="0"/>
        <w:ind w:left="0" w:right="0" w:hanging="0"/>
        <w:jc w:val="left"/>
        <w:rPr>
          <w:shd w:fill="FFFF00" w:val="clear"/>
        </w:rPr>
      </w:pPr>
      <w:r>
        <w:rPr>
          <w:shd w:fill="FFFF00" w:val="clear"/>
        </w:rPr>
        <w:t>​</w:t>
      </w:r>
    </w:p>
    <w:tbl>
      <w:tblPr>
        <w:tblW w:w="7229" w:type="dxa"/>
        <w:jc w:val="left"/>
        <w:tblInd w:w="0" w:type="dxa"/>
        <w:tblLayout w:type="fixed"/>
        <w:tblCellMar>
          <w:top w:w="0" w:type="dxa"/>
          <w:left w:w="0" w:type="dxa"/>
          <w:bottom w:w="0" w:type="dxa"/>
          <w:right w:w="0" w:type="dxa"/>
        </w:tblCellMar>
      </w:tblPr>
      <w:tblGrid>
        <w:gridCol w:w="2341"/>
        <w:gridCol w:w="109"/>
        <w:gridCol w:w="215"/>
        <w:gridCol w:w="1039"/>
        <w:gridCol w:w="358"/>
        <w:gridCol w:w="215"/>
        <w:gridCol w:w="1006"/>
        <w:gridCol w:w="109"/>
        <w:gridCol w:w="196"/>
        <w:gridCol w:w="946"/>
        <w:gridCol w:w="109"/>
        <w:gridCol w:w="58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86535" cy="175260"/>
                      <wp:effectExtent l="0" t="0" r="0" b="0"/>
                      <wp:wrapNone/>
                      <wp:docPr id="24" name="Frame24"/>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6525" cy="175260"/>
                      <wp:effectExtent l="0" t="0" r="0" b="0"/>
                      <wp:wrapNone/>
                      <wp:docPr id="26" name="Frame2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9765" cy="175260"/>
                      <wp:effectExtent l="0" t="0" r="0" b="0"/>
                      <wp:wrapNone/>
                      <wp:docPr id="27" name="Frame27"/>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7330" cy="175260"/>
                      <wp:effectExtent l="0" t="0" r="0" b="0"/>
                      <wp:wrapNone/>
                      <wp:docPr id="28" name="Frame28"/>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6525" cy="175260"/>
                      <wp:effectExtent l="0" t="0" r="0" b="0"/>
                      <wp:wrapNone/>
                      <wp:docPr id="29" name="Frame2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38810" cy="175260"/>
                      <wp:effectExtent l="0" t="0" r="0" b="0"/>
                      <wp:wrapNone/>
                      <wp:docPr id="30" name="Frame3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0710" cy="175260"/>
                      <wp:effectExtent l="0" t="0" r="0" b="0"/>
                      <wp:wrapNone/>
                      <wp:docPr id="33"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72110" cy="175260"/>
                      <wp:effectExtent l="0" t="0" r="0" b="0"/>
                      <wp:wrapNone/>
                      <wp:docPr id="35" name="Frame3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09" w:type="dxa"/>
            <w:tcBorders/>
            <w:vAlign w:val="center"/>
          </w:tcPr>
          <w:p>
            <w:pPr>
              <w:pStyle w:val="TableContents"/>
              <w:bidi w:val="0"/>
              <w:spacing w:before="0" w:after="0"/>
              <w:ind w:left="0" w:right="0" w:hanging="0"/>
              <w:jc w:val="center"/>
              <w:rPr/>
            </w:pPr>
            <w:r>
              <w:rPr/>
              <w:t>​</w:t>
            </w:r>
          </w:p>
        </w:tc>
        <w:tc>
          <w:tcPr>
            <w:tcW w:w="1837"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r>
      <w:tr>
        <w:trPr/>
        <w:tc>
          <w:tcPr>
            <w:tcW w:w="2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58" w:type="dxa"/>
            <w:tcBorders/>
            <w:vAlign w:val="center"/>
          </w:tcPr>
          <w:p>
            <w:pPr>
              <w:pStyle w:val="TableContents"/>
              <w:bidi w:val="0"/>
              <w:spacing w:before="0" w:after="0"/>
              <w:ind w:left="0" w:right="0" w:hanging="0"/>
              <w:jc w:val="left"/>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r>
      <w:tr>
        <w:trPr/>
        <w:tc>
          <w:tcPr>
            <w:tcW w:w="722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84"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11,571,159</w:t>
            </w:r>
          </w:p>
        </w:tc>
        <w:tc>
          <w:tcPr>
            <w:tcW w:w="358"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12,505,392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(934,233)</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wireless</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3,692,372</w:t>
            </w:r>
          </w:p>
        </w:tc>
        <w:tc>
          <w:tcPr>
            <w:tcW w:w="358"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4,135,129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(442,757)</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91,928</w:t>
            </w:r>
          </w:p>
        </w:tc>
        <w:tc>
          <w:tcPr>
            <w:tcW w:w="358"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26,160</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Eliminations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(60,371)</w:t>
            </w:r>
          </w:p>
        </w:tc>
        <w:tc>
          <w:tcPr>
            <w:tcW w:w="358"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(33,489)</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15,295,088</w:t>
            </w:r>
          </w:p>
        </w:tc>
        <w:tc>
          <w:tcPr>
            <w:tcW w:w="358"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16,679,407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(1,384,319)</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23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income (loss):</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2,699,810</w:t>
            </w:r>
          </w:p>
        </w:tc>
        <w:tc>
          <w:tcPr>
            <w:tcW w:w="358"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2,933,898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(234,088)</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wireless</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(643,184)</w:t>
            </w:r>
          </w:p>
        </w:tc>
        <w:tc>
          <w:tcPr>
            <w:tcW w:w="358"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(77,264)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(565,920)</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(1,881,369)</w:t>
            </w:r>
          </w:p>
        </w:tc>
        <w:tc>
          <w:tcPr>
            <w:tcW w:w="358"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(810,968)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(1,070,401)</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income (loss)</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175,257</w:t>
            </w:r>
          </w:p>
        </w:tc>
        <w:tc>
          <w:tcPr>
            <w:tcW w:w="358"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2,045,666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(1,870,409)</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r>
      <w:tr>
        <w:trPr/>
        <w:tc>
          <w:tcPr>
            <w:tcW w:w="2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Percentage is not meaningful.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Total revenue. </w:t>
      </w:r>
      <w:r>
        <w:rPr>
          <w:rFonts w:ascii="Times New Roman;Times;serif" w:hAnsi="Times New Roman;Times;serif"/>
          <w:sz w:val="20"/>
        </w:rPr>
        <w:t>Our consolidated revenue totaled $15.295 billion for the year ended December 31, 2023, a decrease of $1.384 billion or 8.3% compared to the same period in 2022. The net decrease primarily resulted from the decrease in revenue from our Pay-TV and Retail Wireless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Total operating income (loss). </w:t>
      </w:r>
      <w:r>
        <w:rPr>
          <w:rFonts w:ascii="Times New Roman;Times;serif" w:hAnsi="Times New Roman;Times;serif"/>
          <w:sz w:val="20"/>
        </w:rPr>
        <w:t>Our consolidated operating income totaled $175 million for the year ended December 31, 2023, a decrease of $1.870 billion or 91.4% compared to the same period in 2022. The net decrease primarily resulted from an increase in operating loss from our 5G Network Deployment and Retail Wireless segments and to a lesser extent a decrease in operating income (loss) from our Pay-TV segment. The year ended December 31, 2023 was adversely impacted by impairments of goodwill of: (1) $120 million from our 5G Network Deployment segment; (2) $99 million from our Retail Wireless segment; and (3) $6 million from our Pay-TV segment. See Note 2 to the Notes to our Consolidated Financial Statements in this Annual Report on Form 10-K for further information.</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Pay-TV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8" w:name="_Hlk513064427"/>
      <w:bookmarkEnd w:id="128"/>
      <w:r>
        <w:rPr>
          <w:rFonts w:ascii="Times New Roman;Times;serif" w:hAnsi="Times New Roman;Times;serif"/>
          <w:sz w:val="20"/>
        </w:rPr>
        <w:t xml:space="preserve">We offer Pay-TV services under the DISH brand and the SLING brand. As of December 31, 2023, we had 8.526 million Pay-TV subscribers in the United States, including 6.471 million DISH TV subscribers and 2.055 million SLING TV subscribers.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in our Pay-TV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and elsewhere in our public filings. These transactions may affect us adversely by, among other things, making it more difficult for us to obtain access to certain programming networks on nondiscriminatory and fair terms, or at all.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Programming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pStyle w:val="TextBody"/>
        <w:bidi w:val="0"/>
        <w:spacing w:before="0" w:after="0"/>
        <w:ind w:left="0" w:right="0" w:hanging="0"/>
        <w:jc w:val="left"/>
        <w:rPr/>
      </w:pPr>
      <w:bookmarkStart w:id="129" w:name="_Hlk520720681"/>
      <w:bookmarkEnd w:id="129"/>
      <w:r>
        <w:rPr/>
        <w:t>​</w:t>
      </w:r>
    </w:p>
    <w:p>
      <w:pPr>
        <w:pStyle w:val="TextBody"/>
        <w:bidi w:val="0"/>
        <w:spacing w:before="0" w:after="0"/>
        <w:ind w:left="0" w:right="0" w:hanging="0"/>
        <w:jc w:val="left"/>
        <w:rPr>
          <w:rFonts w:ascii="Times New Roman;Times;serif" w:hAnsi="Times New Roman;Times;serif"/>
          <w:sz w:val="20"/>
        </w:rPr>
      </w:pPr>
      <w:bookmarkStart w:id="130" w:name="_Hlk536798058"/>
      <w:bookmarkStart w:id="131" w:name="_Hlk528153571"/>
      <w:bookmarkStart w:id="132" w:name="_Hlk520203893"/>
      <w:bookmarkEnd w:id="130"/>
      <w:bookmarkEnd w:id="131"/>
      <w:bookmarkEnd w:id="132"/>
      <w:r>
        <w:rPr>
          <w:rFonts w:ascii="Times New Roman;Times;serif" w:hAnsi="Times New Roman;Times;serif"/>
          <w:sz w:val="20"/>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Developments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color w:val="222222"/>
          <w:sz w:val="20"/>
        </w:rPr>
      </w:pPr>
      <w:r>
        <w:rPr>
          <w:rFonts w:ascii="Times New Roman;Times;serif" w:hAnsi="Times New Roman;Times;serif"/>
          <w:b/>
          <w:i/>
          <w:color w:val="222222"/>
          <w:sz w:val="20"/>
        </w:rPr>
        <w:t>Adaptive Bitrate Streaming Patents</w:t>
      </w:r>
    </w:p>
    <w:p>
      <w:pPr>
        <w:pStyle w:val="TextBody"/>
        <w:shd w:fill="FFFFFF" w:val="clear"/>
        <w:bidi w:val="0"/>
        <w:spacing w:before="0" w:after="0"/>
        <w:ind w:left="0" w:right="0" w:hanging="0"/>
        <w:jc w:val="left"/>
        <w:rPr>
          <w:color w:val="222222"/>
        </w:rPr>
      </w:pPr>
      <w:r>
        <w:rPr>
          <w:color w:val="222222"/>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22222"/>
          <w:sz w:val="20"/>
        </w:rPr>
        <w:t>T</w:t>
      </w:r>
      <w:r>
        <w:rPr>
          <w:rFonts w:ascii="Times New Roman;Times;serif" w:hAnsi="Times New Roman;Times;serif"/>
          <w:sz w:val="20"/>
        </w:rPr>
        <w:t xml:space="preserve">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year ended December 31, 2023, we recorded the $75 million license agreement in “Equipment sales and other revenue” on our Consolidated Statements of Operations and Comprehensive Income (Loss). On March 6, 2024, we entered into a license agreement covering NordicTrack exercise equipment that resolves our litigation involving those products.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 Pay-TV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Year Ended December 31, 2023 Compared to the Year Ended December 31, 2022.</w:t>
      </w:r>
    </w:p>
    <w:p>
      <w:pPr>
        <w:pStyle w:val="TextBody"/>
        <w:bidi w:val="0"/>
        <w:spacing w:before="0" w:after="0"/>
        <w:ind w:left="0" w:right="0" w:hanging="0"/>
        <w:jc w:val="left"/>
        <w:rPr/>
      </w:pPr>
      <w:r>
        <w:rPr/>
        <w:t>​</w:t>
      </w:r>
    </w:p>
    <w:tbl>
      <w:tblPr>
        <w:tblW w:w="9780" w:type="dxa"/>
        <w:jc w:val="left"/>
        <w:tblInd w:w="0" w:type="dxa"/>
        <w:tblLayout w:type="fixed"/>
        <w:tblCellMar>
          <w:top w:w="0" w:type="dxa"/>
          <w:left w:w="0" w:type="dxa"/>
          <w:bottom w:w="0" w:type="dxa"/>
          <w:right w:w="0" w:type="dxa"/>
        </w:tblCellMar>
      </w:tblPr>
      <w:tblGrid>
        <w:gridCol w:w="4231"/>
        <w:gridCol w:w="326"/>
        <w:gridCol w:w="217"/>
        <w:gridCol w:w="1018"/>
        <w:gridCol w:w="362"/>
        <w:gridCol w:w="217"/>
        <w:gridCol w:w="1018"/>
        <w:gridCol w:w="326"/>
        <w:gridCol w:w="196"/>
        <w:gridCol w:w="811"/>
        <w:gridCol w:w="326"/>
        <w:gridCol w:w="541"/>
        <w:gridCol w:w="191"/>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686685" cy="175260"/>
                      <wp:effectExtent l="0" t="0" r="0" b="0"/>
                      <wp:wrapNone/>
                      <wp:docPr id="36" name="Frame36"/>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7795" cy="175260"/>
                      <wp:effectExtent l="0" t="0" r="0" b="0"/>
                      <wp:wrapNone/>
                      <wp:docPr id="38" name="Frame3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6430" cy="175260"/>
                      <wp:effectExtent l="0" t="0" r="0" b="0"/>
                      <wp:wrapNone/>
                      <wp:docPr id="39" name="Frame39"/>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29870" cy="175260"/>
                      <wp:effectExtent l="0" t="0" r="0" b="0"/>
                      <wp:wrapNone/>
                      <wp:docPr id="40" name="Frame4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795" cy="175260"/>
                      <wp:effectExtent l="0" t="0" r="0" b="0"/>
                      <wp:wrapNone/>
                      <wp:docPr id="41" name="Frame4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6430" cy="175260"/>
                      <wp:effectExtent l="0" t="0" r="0" b="0"/>
                      <wp:wrapNone/>
                      <wp:docPr id="42" name="Frame42"/>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14985" cy="175260"/>
                      <wp:effectExtent l="0" t="0" r="0" b="0"/>
                      <wp:wrapNone/>
                      <wp:docPr id="45" name="Frame4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43535" cy="175260"/>
                      <wp:effectExtent l="0" t="0" r="0" b="0"/>
                      <wp:wrapNone/>
                      <wp:docPr id="47" name="Frame4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1285" cy="175260"/>
                      <wp:effectExtent l="0" t="0" r="0" b="0"/>
                      <wp:wrapNone/>
                      <wp:docPr id="48" name="Frame4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62" w:type="dxa"/>
            <w:tcBorders/>
            <w:vAlign w:val="center"/>
          </w:tcPr>
          <w:p>
            <w:pPr>
              <w:pStyle w:val="TableContents"/>
              <w:bidi w:val="0"/>
              <w:spacing w:before="0" w:after="0"/>
              <w:ind w:left="0" w:right="0" w:hanging="0"/>
              <w:jc w:val="center"/>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191" w:type="dxa"/>
            <w:tcBorders/>
            <w:vAlign w:val="center"/>
          </w:tcPr>
          <w:p>
            <w:pPr>
              <w:pStyle w:val="TableContents"/>
              <w:bidi w:val="0"/>
              <w:spacing w:before="0" w:after="0"/>
              <w:ind w:left="0" w:right="0" w:hanging="0"/>
              <w:jc w:val="left"/>
              <w:rPr/>
            </w:pPr>
            <w:r>
              <w:rPr/>
              <w:t> </w:t>
            </w:r>
          </w:p>
        </w:tc>
      </w:tr>
      <w:tr>
        <w:trPr/>
        <w:tc>
          <w:tcPr>
            <w:tcW w:w="978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revenue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11,385,961</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12,360,601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(974,640)</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185,198</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40,407</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11,571,159</w:t>
            </w:r>
          </w:p>
        </w:tc>
        <w:tc>
          <w:tcPr>
            <w:tcW w:w="362"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12,505,392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(934,233)</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Costs and expenses: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6,977,628</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7,423,427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(445,799)</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of Service revenue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61.3</w:t>
            </w:r>
          </w:p>
        </w:tc>
        <w:tc>
          <w:tcPr>
            <w:tcW w:w="579"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018"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60.1</w:t>
            </w:r>
          </w:p>
        </w:tc>
        <w:tc>
          <w:tcPr>
            <w:tcW w:w="522"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sales - equipment and other </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91,164</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1,414,808</w:t>
            </w:r>
          </w:p>
        </w:tc>
        <w:tc>
          <w:tcPr>
            <w:tcW w:w="579" w:type="dxa"/>
            <w:gridSpan w:val="2"/>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1,622,281</w:t>
            </w:r>
          </w:p>
        </w:tc>
        <w:tc>
          <w:tcPr>
            <w:tcW w:w="522" w:type="dxa"/>
            <w:gridSpan w:val="2"/>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(207,473)</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12.2</w:t>
            </w:r>
          </w:p>
        </w:tc>
        <w:tc>
          <w:tcPr>
            <w:tcW w:w="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13.0</w:t>
            </w:r>
          </w:p>
        </w:tc>
        <w:tc>
          <w:tcPr>
            <w:tcW w:w="52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381,292</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428,471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(47,179)</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 and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6,457</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6,457</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costs and expenses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8,871,349</w:t>
            </w:r>
          </w:p>
        </w:tc>
        <w:tc>
          <w:tcPr>
            <w:tcW w:w="362"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9,571,494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(700,145)</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2,699,810</w:t>
            </w:r>
          </w:p>
        </w:tc>
        <w:tc>
          <w:tcPr>
            <w:tcW w:w="362"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2,933,898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(234,088)</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data:</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8.526</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TV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6.471</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(0.945)</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SLING 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(0.279)</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Pay-TV subscriber additions (losses), net (in millions) </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TV subscriber additions (losses), net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(0.945)</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(0.140)</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SLING TV subscriber additions (losses), net (in millions)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(0.279)</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 ARPU</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104.56</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TV subscriber additions, gross (in millions)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0.464</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(0.170)</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TV churn rate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57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c>
          <w:tcPr>
            <w:tcW w:w="52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TV SAC</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242,736</w:t>
            </w:r>
          </w:p>
        </w:tc>
        <w:tc>
          <w:tcPr>
            <w:tcW w:w="36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111,643</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OIBDA</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3,081,102</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3,362,369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(281,267)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191" w:type="dxa"/>
            <w:tcBorders/>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Percentage is not meaningful.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b/>
          <w:sz w:val="20"/>
        </w:rPr>
      </w:pPr>
      <w:bookmarkStart w:id="133" w:name="_Hlk540486"/>
      <w:bookmarkStart w:id="134" w:name="_Hlk165534"/>
      <w:bookmarkEnd w:id="133"/>
      <w:bookmarkEnd w:id="134"/>
      <w:r>
        <w:rPr>
          <w:rFonts w:ascii="Times New Roman;Times;serif" w:hAnsi="Times New Roman;Times;serif"/>
          <w:b/>
          <w:sz w:val="20"/>
        </w:rPr>
        <w:t>Pay-TV Subscribers</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DISH TV subscribers</w:t>
      </w:r>
      <w:r>
        <w:rPr>
          <w:rFonts w:ascii="Times New Roman;Times;serif" w:hAnsi="Times New Roman;Times;serif"/>
          <w:i/>
          <w:sz w:val="20"/>
        </w:rPr>
        <w:t>.</w:t>
      </w:r>
      <w:r>
        <w:rPr>
          <w:rFonts w:ascii="Times New Roman;Times;serif" w:hAnsi="Times New Roman;Times;serif"/>
          <w:sz w:val="20"/>
        </w:rPr>
        <w:t xml:space="preserve"> We lost approximately 945,000 net DISH TV subscribers during the year ended December 31, 2023 compared to the loss of approximately 805,000 net DISH TV subscribers during the same period in 2022. This increase in net DISH TV subscriber losses primarily resulted from lower gross new DISH TV subscriber activations and a higher DISH TV churn rate.</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SLING TV subscribers.</w:t>
      </w:r>
      <w:r>
        <w:rPr>
          <w:rFonts w:ascii="Times New Roman;Times;serif" w:hAnsi="Times New Roman;Times;serif"/>
          <w:sz w:val="20"/>
        </w:rPr>
        <w:t xml:space="preserve"> We lost approximately 279,000 net SLING TV subscribers during the year ended December 31, 2023 compared to the loss of approximately 152,000 net SLING TV subscribers during the same period in 2022. The increase in net SLING TV subscriber losses were primarily related to lower SLING TV subscriber activations, partially offset by lower SLING TV subscriber disconnects in 2023.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DISH TV subscribers, gross.</w:t>
      </w:r>
      <w:r>
        <w:rPr>
          <w:rFonts w:ascii="Times New Roman;Times;serif" w:hAnsi="Times New Roman;Times;serif"/>
          <w:sz w:val="20"/>
        </w:rPr>
        <w:t xml:space="preserve"> During the year ended December 31, 2023, we activated approximately 464,000 gross new DISH TV subscribers compared to approximately 634,000 gross new DISH TV subscribers during the same period in 2022, a decrease of 26.8%.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DISH TV churn rate</w:t>
      </w:r>
      <w:r>
        <w:rPr>
          <w:rFonts w:ascii="Times New Roman;Times;serif" w:hAnsi="Times New Roman;Times;serif"/>
          <w:i/>
          <w:sz w:val="20"/>
        </w:rPr>
        <w:t>.</w:t>
      </w:r>
      <w:r>
        <w:rPr>
          <w:rFonts w:ascii="Times New Roman;Times;serif" w:hAnsi="Times New Roman;Times;serif"/>
          <w:sz w:val="20"/>
        </w:rPr>
        <w:t xml:space="preserve"> Our DISH TV churn rate for the year ended December 31, 2023 was 1.69% compared to 1.54% for the same period in 2022. Our DISH TV churn rate for the year ended December 31, 2023 was briefly elevated due to the cyber-security incident.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continues to be positively impacted by our emphasis on acquiring and retaining higher quality subscribers. Our DISH TV churn rate is also impacted by internal factors, such as, among other things, our ability to consistently provide outstanding customer service, price increases, our ability to control piracy and other forms of fraud, and the level of our retention efforts.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Service revenue.</w:t>
      </w:r>
      <w:r>
        <w:rPr>
          <w:rFonts w:ascii="Times New Roman;Times;serif" w:hAnsi="Times New Roman;Times;serif"/>
          <w:sz w:val="20"/>
        </w:rPr>
        <w:t xml:space="preserve"> “Service revenue” totaled $11.386 billion for the year ended December 31, 2023, a decrease of $975 million or 7.9% compared to the same period in 2022. The decrease in “Service revenue” compared to the same period in 2022 was primarily related to lower average Pay-TV subscriber base, partially offset by an increase in Pay-TV ARPU, discussed below.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Equipment sales and other revenue.</w:t>
      </w:r>
      <w:r>
        <w:rPr>
          <w:rFonts w:ascii="Times New Roman;Times;serif" w:hAnsi="Times New Roman;Times;serif"/>
          <w:sz w:val="20"/>
        </w:rPr>
        <w:t xml:space="preserve"> “Equipment sales and other revenue” totaled $185 million for the year ended December 31, 2023, an increase of $40 million or 27.9% compared to the same period in 2022. The increase in “Equipment sales and other revenue” compared to the same period in 2022 was primarily related to a non-recurring $75 million license of our Adaptive Bitrate Streaming patents to Peloton covering certain Peloton products that resolves our litigation involving those products, partially offset by a decrease in equipment sales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Pay-TV ARPU.</w:t>
      </w:r>
      <w:r>
        <w:rPr>
          <w:rFonts w:ascii="Times New Roman;Times;serif" w:hAnsi="Times New Roman;Times;serif"/>
          <w:sz w:val="20"/>
        </w:rPr>
        <w:t xml:space="preserve"> Pay-TV ARPU was $104.56 during the year ended December 31, 2023 versus $101.20 during the same period in 2022. The $3.36 or 3.3% increase in Pay-TV ARPU was primarily attributable to the DISH TV and SLING TV programming price increases. The DISH TV and SLING TV programming package price increases were effective in the fourth quarter of 2022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services.</w:t>
      </w:r>
      <w:r>
        <w:rPr>
          <w:rFonts w:ascii="Times New Roman;Times;serif" w:hAnsi="Times New Roman;Times;serif"/>
          <w:sz w:val="20"/>
        </w:rPr>
        <w:t xml:space="preserve"> “Cost of services” totaled $6.978 billion during the year ended December 31, 2023, a decrease of $446 million or 6.0% compared to the same period in 2022. The decrease in “Cost of services” was primarily attributable to a lower average Pay-TV subscriber base, partially offset by higher programming costs per subscriber and higher variable and retention costs per subscriber. Programming costs per subscriber increased during the year ended December 31, 2023 due to rate increases in certain of our programming contracts, including the renewal of certain contracts at higher rates, particularly for local broadcast channels. In addition, variable and retention costs per subscriber increased during the year ended December 31, 2023 due to, among other things, </w:t>
      </w:r>
      <w:r>
        <w:rPr>
          <w:rFonts w:ascii="Times New Roman;Times;serif" w:hAnsi="Times New Roman;Times;serif"/>
          <w:sz w:val="20"/>
          <w:shd w:fill="FFFFFF" w:val="clear"/>
        </w:rPr>
        <w:t>approximately $30 million in cyber-security-related expenses</w:t>
      </w:r>
      <w:r>
        <w:rPr>
          <w:rFonts w:ascii="Times New Roman;Times;serif" w:hAnsi="Times New Roman;Times;serif"/>
          <w:sz w:val="20"/>
        </w:rPr>
        <w:t xml:space="preserve"> to remediate the incident and provide additional customer support. “Cost of services” represented 61.3% and 60.1% of “Service revenue” during the years ended December 31, 2023 and 2022,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 expenses.</w:t>
      </w:r>
      <w:r>
        <w:rPr>
          <w:rFonts w:ascii="Times New Roman;Times;serif" w:hAnsi="Times New Roman;Times;serif"/>
          <w:sz w:val="20"/>
        </w:rPr>
        <w:t xml:space="preserve"> “Selling, general and administrative expenses” totaled $1.415 billion during the year ended December 31, 2023, a $207 million or 12.8% decrease compared to the same period in 2022. This change was primarily driven by a decrease in subscriber acquisition costs resulting from lower marketing expenditures and lower gross new DISH TV subscriber activations, and a decrease in personnel costs, partially offset by Merger related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pacing w:val="-4"/>
          <w:sz w:val="20"/>
        </w:rPr>
        <w:t>Depreciation and amortization.</w:t>
      </w:r>
      <w:r>
        <w:rPr>
          <w:rFonts w:ascii="Times New Roman;Times;serif" w:hAnsi="Times New Roman;Times;serif"/>
          <w:spacing w:val="-4"/>
          <w:sz w:val="20"/>
        </w:rPr>
        <w:t xml:space="preserve"> “Depreciation and amortization” expense totaled $381 million during the year ended December 31, 2023, a $47 million or 11.0% decrease compared to the same period in 2022. This change was primarily driven by a decrease in depreciation expense from equipment leased to new and existing DISH TV subscribers and the EchoStar XI satellite which became fully depreciated during the second quarter of 2023.</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Impairment of long-lived assets and goodwill.</w:t>
      </w:r>
      <w:r>
        <w:rPr>
          <w:rFonts w:ascii="Times New Roman;Times;serif" w:hAnsi="Times New Roman;Times;serif"/>
          <w:sz w:val="20"/>
        </w:rPr>
        <w:t xml:space="preserve"> “Impairment of long-lived assets and goodwill” totaled $6 million for the year ended December 31, 2023. This impairment represents a noncash impairment charge for goodwill. See Note 2 to the Notes to our Consolidated Financial Statements in this Annual Report on Form 10-K for further information.</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DISH TV SAC.</w:t>
      </w:r>
      <w:r>
        <w:rPr>
          <w:rFonts w:ascii="Times New Roman;Times;serif" w:hAnsi="Times New Roman;Times;serif"/>
          <w:sz w:val="20"/>
        </w:rPr>
        <w:t>  DISH TV SAC was $1,118 during the year ended December 31, 2023 compared to $1,044 during the same period in 2022, an increase of $74 or 7.1%.  This change was primarily attributable to an increase in advertising costs per subscriber, higher installation costs due to an increase in labor and other installation costs, and a lower percentage of remanufactured receivers being activated on new subscriber accounts.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and 2022, the amount of equipment capitalized under our lease program for new DISH TV subscribers totaled $54 million and $55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“DISH TV SAC” may materially increase in the future to the extent that we, among other things, transition to newer technologies, introduce more aggressive promotions, or provide greater equipment subsidies.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Retail Wireless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offer nationwide prepaid and postpaid Retail Wireless services to subscribers primarily under our Boost Mobile, Boost postpaid and Gen Mobile brands, as well as a competitive portfolio of wireless devices. Prepaid wireless subscribers generally pay in advance for </w:t>
      </w:r>
      <w:r>
        <w:rPr>
          <w:rFonts w:ascii="Times New Roman;Times;serif" w:hAnsi="Times New Roman;Times;serif"/>
          <w:sz w:val="20"/>
          <w:shd w:fill="FFFFFF" w:val="clear"/>
        </w:rPr>
        <w:t xml:space="preserve">monthly access to wireless talk, text, and data services. </w:t>
      </w:r>
      <w:r>
        <w:rPr>
          <w:rFonts w:ascii="Times New Roman;Times;serif" w:hAnsi="Times New Roman;Times;serif"/>
          <w:sz w:val="20"/>
        </w:rPr>
        <w:t xml:space="preserve">Postpaid wireless subscribers are qualified to pay after receiving </w:t>
      </w:r>
      <w:r>
        <w:rPr>
          <w:rFonts w:ascii="Times New Roman;Times;serif" w:hAnsi="Times New Roman;Times;serif"/>
          <w:sz w:val="20"/>
          <w:shd w:fill="FFFFFF" w:val="clear"/>
        </w:rPr>
        <w:t xml:space="preserve">wireless talk, text, and data services, and may also qualify for financing arrangements for wireless devices.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Boost postpaid.</w:t>
      </w:r>
      <w:r>
        <w:rPr>
          <w:rFonts w:ascii="Times New Roman;Times;serif" w:hAnsi="Times New Roman;Times;serif"/>
          <w:sz w:val="20"/>
        </w:rPr>
        <w:t xml:space="preserve"> In the fourth quarter of 2022, we launched our Boost postpaid wireless service, to a limited number of customers who had signed up for early registration. During 2023, we launched our nationwide expansion of our Boost postpaid wireless service, and at the end of the third quarter of 2023, we began offering the iPhone 15 on our 5G Network and expanded our Boost postpaid offering through a distribution partnership with Amazon.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currently operating our Retail Wireless segment primarily as an MVNO as we continue our 5G Network Deployment and commercialize and grow customer traffic on our 5G Network. We are transitioning our Retail Wireless segment to an MNO as our 5G Network becomes commercially available. We are currently activating Boost Mobile and Boost postpaid subscribers with compatible devices onto our 5G Network in markets where we have launched 5G voice services. Within our MVNO operations, today we depend on T-Mobile and AT&amp;T to provide us with network services under the MNSA and NSA, respectively. Under the NSA, we expect AT&amp;T will become our primary network services provider.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5" w:name="_DV_M6"/>
      <w:bookmarkStart w:id="136" w:name="_DV_C7"/>
      <w:bookmarkStart w:id="137" w:name="_DV_M4"/>
      <w:bookmarkStart w:id="138" w:name="_DV_C6"/>
      <w:bookmarkStart w:id="139" w:name="_DV_M3"/>
      <w:bookmarkEnd w:id="135"/>
      <w:bookmarkEnd w:id="136"/>
      <w:bookmarkEnd w:id="137"/>
      <w:bookmarkEnd w:id="138"/>
      <w:bookmarkEnd w:id="139"/>
      <w:r>
        <w:rPr>
          <w:rFonts w:ascii="Times New Roman;Times;serif" w:hAnsi="Times New Roman;Times;serif"/>
          <w:sz w:val="20"/>
        </w:rPr>
        <w:t xml:space="preserve">Historically, a portion of our Wireless subscribers received services through T-Mobile’s CDMA Network. However, T-Mobile previously provided notice that it intended to shutdown the CDMA Network on March 31, 2022. The shutdown began on March 31, 2022 and was completed during the second quarter of 2022. While we worked to mitigate the harms of this shutdown, we incurred significant costs to migrate subscribers on this timeline. We implemented targeted efforts and promotions directed at impacted customers, which resulted in the successful migration of the vast majority of our CDMA subscribers. The CDMA shutdown negatively impacted our gross new Wireless subscriber activations, our Wireless churn rate, and our results of operations during the first and second quarters of 2022. During the second quarter of 2022, we removed approximately 126,000 subscribers from our ending Wireless subscriber count representing Wireless subscribers who did not migrate off the CDMA network prior to the shutdown.  The effect of the removal of the 126,000 subscribers was excluded from the calculation of our net Wireless subscriber additions/losses and Wireless churn rate.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On June 21, 2022, we and T-Mobile signed an amendment to the MNSA. In connection with this amendment, </w:t>
      </w:r>
      <w:r>
        <w:rPr>
          <w:rFonts w:ascii="Times New Roman;Times;serif" w:hAnsi="Times New Roman;Times;serif"/>
          <w:sz w:val="20"/>
        </w:rPr>
        <w:t>T-Mobile agreed to transfer to us (subject to required regulatory approvals) all Boost branded customers of former Sprint affiliates, Shentel and Swiftel, as well as Boost branded customers who were previously part of the California Public Utilities Commission CARE program (the “Boost Affiliate Subscribers”).  We received regulatory approvals and on September 1, 2022 closed the transfer, upon which we received approximately 139,000 Boost Affiliate Subscribers.</w:t>
      </w:r>
      <w:r>
        <w:rPr>
          <w:rFonts w:ascii="Times New Roman;Times;serif" w:hAnsi="Times New Roman;Times;serif"/>
          <w:sz w:val="20"/>
          <w:shd w:fill="FFFFFF" w:val="clear"/>
        </w:rPr>
        <w:t xml:space="preserve"> In addition, this amendment, among other things, settled all open disputes, including CDMA matters, with terms providing improved pricing and enhanced roaming solutions for our consumers. Prior to the signing of this agreement, the first and second quarters of 2022 were adversely impacted by, among other things, </w:t>
      </w:r>
      <w:r>
        <w:rPr>
          <w:rFonts w:ascii="Times New Roman;Times;serif" w:hAnsi="Times New Roman;Times;serif"/>
          <w:sz w:val="20"/>
        </w:rPr>
        <w:t>our CDMA migration costs and</w:t>
      </w:r>
      <w:r>
        <w:rPr>
          <w:rFonts w:ascii="Times New Roman;Times;serif" w:hAnsi="Times New Roman;Times;serif"/>
          <w:sz w:val="20"/>
          <w:shd w:fill="FFFFFF" w:val="clear"/>
        </w:rPr>
        <w:t xml:space="preserve"> our ability to launch more competitive service plans in the marketplace</w:t>
      </w:r>
      <w:r>
        <w:rPr>
          <w:rFonts w:ascii="Times New Roman;Times;serif" w:hAnsi="Times New Roman;Times;serif"/>
          <w:sz w:val="20"/>
        </w:rPr>
        <w:t>. As a result, during the first and second quarters of 2022, we experienced lower</w:t>
      </w:r>
      <w:r>
        <w:rPr>
          <w:rFonts w:ascii="Times New Roman;Times;serif" w:hAnsi="Times New Roman;Times;serif"/>
          <w:sz w:val="20"/>
          <w:shd w:fill="FFFFFF" w:val="clear"/>
        </w:rPr>
        <w:t xml:space="preserve"> gross new Wireless subscriber activations and higher Wireless churn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 As of December 31, 2023, we had 7.378 million Wireless subscribers. Currently, we offer Wireless subscribers competitive consumer plans with no annual service contracts and </w:t>
      </w:r>
      <w:r>
        <w:rPr>
          <w:rFonts w:ascii="Times New Roman;Times;serif" w:hAnsi="Times New Roman;Times;serif"/>
          <w:sz w:val="20"/>
          <w:shd w:fill="FFFFFF" w:val="clear"/>
        </w:rPr>
        <w:t>monthly service plans including high-speed data and unlimited talk and text, and financing arrangements for wireless devices for certain qualified subscribers.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ACP Subscribers. </w:t>
      </w:r>
      <w:r>
        <w:rPr>
          <w:rFonts w:ascii="Times New Roman;Times;serif" w:hAnsi="Times New Roman;Times;serif"/>
          <w:sz w:val="20"/>
        </w:rPr>
        <w:t xml:space="preserve">A portion of our subscriber base and revenue is comprised of subscribers who receive benefits under ACP. The ACP program </w:t>
      </w:r>
      <w:r>
        <w:rPr>
          <w:rFonts w:ascii="Times New Roman;Times;serif" w:hAnsi="Times New Roman;Times;serif"/>
          <w:sz w:val="20"/>
          <w:shd w:fill="FFFFFF" w:val="clear"/>
        </w:rPr>
        <w:t xml:space="preserve">is expected to end unless Congress appropriates additional funding. As a result, the FCC has begun taking steps to wind down the ACP and has announced that ACP stopped accepting new applications and enrollments on February 7, 2024. The FCC projects that households enrolled in the ACP will continue to receive the benefit on their service through April 2024. This date is an estimate and may change. Without additional funding from Congress, the FCC anticipates that the current ACP funding is projected to run out in April 2024. </w:t>
      </w:r>
      <w:r>
        <w:rPr>
          <w:rFonts w:ascii="Times New Roman;Times;serif" w:hAnsi="Times New Roman;Times;serif"/>
          <w:sz w:val="20"/>
        </w:rPr>
        <w:t>Discontinuation, amendment or repeal of ACP, or replacement of ACP with one having different eligibility requirements and/or funding levels could negatively impact, among other things, our net Wireless subscriber activations and results of operations or impose additional costs on our business. If ACP funding is ultimately restored or replaced, there can be no assurance that the timing of the restoration or replacement will not lead to service interruptions and negatively impact, among other things, our net Wireless subscriber activations and results of operations. Generally, ACP subscribers have lower Wireless ARPU than other Wireless subscribers.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Developments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regularly evaluate ways to enhance our business. As part of this process, we are in regular dialogue with interested parties who may assist us in accomplishing our goals, including ongoing conversations with CONX Corp. (an entity partially owned by Charles W. Ergen, our Chairman) regarding a transaction involving our Retail Wireless segment. There can be no assurance that these discussions will lead to a transaction nor as to the structure or terms of any such transaction.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Retail wireless is a mature market with moderate year-over-year organic growth. Competitors include, among others, providers who offer similar communication services, such as talk, text and data. Competitive factors within the wireless communications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Primary competitors to our Retail Wireless segment include, but are not limited to, Metro PCS (owned by T-Mobile), Cricket Wireless (owned by AT&amp;T), Visible (owned by Verizon), Tracfone Wireless (owned by Verizon), and other MVNOs such as Consumer Cellular, Mint Mobile (T-Mobile has reached an agreement to acquire) and Xfinity Mobile.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 Retail Wireless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Year Ended December 31, 2023 Compared to the Year Ended December 31, 2022.</w:t>
      </w:r>
    </w:p>
    <w:p>
      <w:pPr>
        <w:pStyle w:val="TextBody"/>
        <w:bidi w:val="0"/>
        <w:spacing w:before="0" w:after="0"/>
        <w:ind w:left="0" w:right="0" w:hanging="0"/>
        <w:jc w:val="left"/>
        <w:rPr/>
      </w:pPr>
      <w:r>
        <w:rPr/>
        <w:t>​</w:t>
      </w:r>
    </w:p>
    <w:tbl>
      <w:tblPr>
        <w:tblW w:w="9850" w:type="dxa"/>
        <w:jc w:val="left"/>
        <w:tblInd w:w="0" w:type="dxa"/>
        <w:tblLayout w:type="fixed"/>
        <w:tblCellMar>
          <w:top w:w="0" w:type="dxa"/>
          <w:left w:w="0" w:type="dxa"/>
          <w:bottom w:w="0" w:type="dxa"/>
          <w:right w:w="0" w:type="dxa"/>
        </w:tblCellMar>
      </w:tblPr>
      <w:tblGrid>
        <w:gridCol w:w="4336"/>
        <w:gridCol w:w="326"/>
        <w:gridCol w:w="234"/>
        <w:gridCol w:w="988"/>
        <w:gridCol w:w="390"/>
        <w:gridCol w:w="234"/>
        <w:gridCol w:w="988"/>
        <w:gridCol w:w="326"/>
        <w:gridCol w:w="196"/>
        <w:gridCol w:w="811"/>
        <w:gridCol w:w="326"/>
        <w:gridCol w:w="541"/>
        <w:gridCol w:w="154"/>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753360" cy="175260"/>
                      <wp:effectExtent l="0" t="0" r="0" b="0"/>
                      <wp:wrapNone/>
                      <wp:docPr id="49" name="Frame4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8590" cy="175260"/>
                      <wp:effectExtent l="0" t="0" r="0" b="0"/>
                      <wp:wrapNone/>
                      <wp:docPr id="51" name="Frame5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27380" cy="175260"/>
                      <wp:effectExtent l="0" t="0" r="0" b="0"/>
                      <wp:wrapNone/>
                      <wp:docPr id="52" name="Frame52"/>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47650" cy="175260"/>
                      <wp:effectExtent l="0" t="0" r="0" b="0"/>
                      <wp:wrapNone/>
                      <wp:docPr id="53" name="Frame5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8590" cy="175260"/>
                      <wp:effectExtent l="0" t="0" r="0" b="0"/>
                      <wp:wrapNone/>
                      <wp:docPr id="54" name="Frame5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27380" cy="175260"/>
                      <wp:effectExtent l="0" t="0" r="0" b="0"/>
                      <wp:wrapNone/>
                      <wp:docPr id="55" name="Frame55"/>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14985" cy="175260"/>
                      <wp:effectExtent l="0" t="0" r="0" b="0"/>
                      <wp:wrapNone/>
                      <wp:docPr id="58" name="Frame5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43535" cy="175260"/>
                      <wp:effectExtent l="0" t="0" r="0" b="0"/>
                      <wp:wrapNone/>
                      <wp:docPr id="60" name="Frame6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7790" cy="175260"/>
                      <wp:effectExtent l="0" t="0" r="0" b="0"/>
                      <wp:wrapNone/>
                      <wp:docPr id="61" name="Frame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c>
          <w:tcPr>
            <w:tcW w:w="154" w:type="dxa"/>
            <w:tcBorders/>
            <w:vAlign w:val="center"/>
          </w:tcPr>
          <w:p>
            <w:pPr>
              <w:pStyle w:val="TableContents"/>
              <w:bidi w:val="0"/>
              <w:spacing w:before="0" w:after="0"/>
              <w:ind w:left="0" w:right="0" w:hanging="0"/>
              <w:jc w:val="center"/>
              <w:rPr/>
            </w:pPr>
            <w:r>
              <w:rPr/>
              <w:t>​</w:t>
            </w:r>
          </w:p>
        </w:tc>
      </w:tr>
      <w:tr>
        <w:trPr/>
        <w:tc>
          <w:tcPr>
            <w:tcW w:w="4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2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90" w:type="dxa"/>
            <w:tcBorders/>
            <w:vAlign w:val="center"/>
          </w:tcPr>
          <w:p>
            <w:pPr>
              <w:pStyle w:val="TableContents"/>
              <w:bidi w:val="0"/>
              <w:spacing w:before="0" w:after="0"/>
              <w:ind w:left="0" w:right="0" w:hanging="0"/>
              <w:jc w:val="center"/>
              <w:rPr/>
            </w:pPr>
            <w:r>
              <w:rPr/>
              <w:t>    </w:t>
            </w:r>
          </w:p>
        </w:tc>
        <w:tc>
          <w:tcPr>
            <w:tcW w:w="12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154" w:type="dxa"/>
            <w:tcBorders/>
            <w:vAlign w:val="center"/>
          </w:tcPr>
          <w:p>
            <w:pPr>
              <w:pStyle w:val="TableContents"/>
              <w:bidi w:val="0"/>
              <w:spacing w:before="0" w:after="0"/>
              <w:ind w:left="0" w:right="0" w:hanging="0"/>
              <w:jc w:val="center"/>
              <w:rPr/>
            </w:pPr>
            <w:r>
              <w:rPr/>
              <w:t>​</w:t>
            </w:r>
          </w:p>
        </w:tc>
      </w:tr>
      <w:tr>
        <w:trPr/>
        <w:tc>
          <w:tcPr>
            <w:tcW w:w="985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7"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revenue</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3,337,240</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3,653,909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(316,669)</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355,132</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481,220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(126,088)</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3,692,372</w:t>
            </w:r>
          </w:p>
        </w:tc>
        <w:tc>
          <w:tcPr>
            <w:tcW w:w="390"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4,135,129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(442,757)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Costs and expenses:</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2,022,443</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2,135,074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(112,631)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of Service revenue</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60.6</w:t>
            </w:r>
          </w:p>
        </w:tc>
        <w:tc>
          <w:tcPr>
            <w:tcW w:w="624"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988"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58.4</w:t>
            </w:r>
          </w:p>
        </w:tc>
        <w:tc>
          <w:tcPr>
            <w:tcW w:w="522"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sales - equipment and other </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1,133,377</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1,193,645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(60,268)</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859,111</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705,760</w:t>
            </w:r>
          </w:p>
        </w:tc>
        <w:tc>
          <w:tcPr>
            <w:tcW w:w="522" w:type="dxa"/>
            <w:gridSpan w:val="2"/>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153,351</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23.3</w:t>
            </w:r>
          </w:p>
        </w:tc>
        <w:tc>
          <w:tcPr>
            <w:tcW w:w="62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17.1</w:t>
            </w:r>
          </w:p>
        </w:tc>
        <w:tc>
          <w:tcPr>
            <w:tcW w:w="52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221,968</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177,914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44,054</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 and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98,657</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98,657</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costs and expenses</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4,335,556</w:t>
            </w:r>
          </w:p>
        </w:tc>
        <w:tc>
          <w:tcPr>
            <w:tcW w:w="390"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4,212,393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123,163</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(643,184)</w:t>
            </w:r>
          </w:p>
        </w:tc>
        <w:tc>
          <w:tcPr>
            <w:tcW w:w="390"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(565,920)</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data:</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Wireless subscribers, as of period end (in millions) **</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7.378</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(0.605)</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Wireless subscriber additions, gross (in millions)</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2.743</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(0.675)</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Wireless subscriber additions (losses), net (in millions) ***</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(0.617)</w:t>
            </w:r>
          </w:p>
        </w:tc>
        <w:tc>
          <w:tcPr>
            <w:tcW w:w="39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(0.041)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Wireless ARPU</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36.15</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Wireless churn rate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62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w:t>
            </w:r>
          </w:p>
        </w:tc>
        <w:tc>
          <w:tcPr>
            <w:tcW w:w="52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OIBDA</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(421,216)</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(521,866)</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right"/>
              <w:rPr/>
            </w:pPr>
            <w:r>
              <w:rPr/>
              <w:t>​</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Percentage is not meaningful.</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**During the second quarter of 2022, we removed approximately 126,000 subscribers from our ending Wireless subscriber count representing Wireless subscribers who did not migrate off the CDMA network prior to the shutdown.  The effect of the removal of the 126,000 Wireless subscribers was excluded from the calculation of our net Wireless subscriber additions/losses and Wireless churn rate.  See “Retail Wireless Segment” for further information on the CDMA shutdown. In addition, during the third quarter of 2022, approximately 139,000 Boost Affiliate Subscribers were transferred to us and are included in our ending Wireless subscriber count and excluded from our gross new Wireless subscriber activations. See “Retail Wireless Segment” for further information on the amended MNSA.</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***Includes </w:t>
      </w:r>
      <w:r>
        <w:rPr>
          <w:rFonts w:ascii="Times New Roman;Times;serif" w:hAnsi="Times New Roman;Times;serif"/>
          <w:sz w:val="20"/>
          <w:shd w:fill="FFFFFF" w:val="clear"/>
        </w:rPr>
        <w:t>ACP/Gen Mobile</w:t>
      </w:r>
      <w:r>
        <w:rPr>
          <w:rFonts w:ascii="Times New Roman;Times;serif" w:hAnsi="Times New Roman;Times;serif"/>
          <w:sz w:val="20"/>
        </w:rPr>
        <w:t xml:space="preserve">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Wireless subscribers.</w:t>
      </w:r>
      <w:r>
        <w:rPr>
          <w:rFonts w:ascii="Times New Roman;Times;serif" w:hAnsi="Times New Roman;Times;serif"/>
          <w:sz w:val="20"/>
        </w:rPr>
        <w:t xml:space="preserve"> We lost approximately 617,000 net Wireless subscribers during the year ended December 31, 2023 compared to the loss of approximately 576,000 net Wireless subscribers during the same period in 2022. This increase in net Wireless subscriber losses primarily resulted from lower gross new Wireless subscriber activations, partially offset by an increase in net ACP/Gen Mobile subscriber additions and a lower Wireless churn 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Wireless subscribers, gross</w:t>
      </w:r>
      <w:r>
        <w:rPr>
          <w:rFonts w:ascii="Times New Roman;Times;serif" w:hAnsi="Times New Roman;Times;serif"/>
          <w:i/>
          <w:sz w:val="20"/>
        </w:rPr>
        <w:t>.</w:t>
      </w:r>
      <w:r>
        <w:rPr>
          <w:rFonts w:ascii="Times New Roman;Times;serif" w:hAnsi="Times New Roman;Times;serif"/>
          <w:sz w:val="20"/>
        </w:rPr>
        <w:t xml:space="preserve"> During the year ended December 31, 2023, we activated approximately 2.743 million gross new Wireless subscribers compared to approximately 3.418 million gross new Wireless subscribers during the same period in 2022, a decrease of 19.7%. This decrease in our gross new Wireless subscriber activations was primarily related to increased competitive pressures, including aggressive competitor marketing, discounted service plans and deeper wireless device subsidies. In addition, our gross new Wireless subscribers for the year ended December 31, 2023 was negatively impacted by our emphasis on acquiring and retaining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Wireless churn rate.</w:t>
      </w:r>
      <w:r>
        <w:rPr>
          <w:rFonts w:ascii="Times New Roman;Times;serif" w:hAnsi="Times New Roman;Times;serif"/>
          <w:sz w:val="20"/>
        </w:rPr>
        <w:t xml:space="preserve"> Our Wireless churn rate for the year ended December 31, 2023 was 4.17% compared to 4.46% for the same period in 2022. Our Wireless churn rate for the year ended December 31, 2023 was positively impacted by our emphasis on acquiring and retaining higher quality subscribers, partially offset by competitive pressures, including deeper wireless device subsidies. In addition, our Wireless churn rate for the year ended December 31, 2023 was negatively impacted by migrating subscribers off the TSA with T-Mobile and onto our new billing and operational support systems. Furthermore, our Wireless churn rate for the year ended December 31, 2022 was negatively impacted by the shutdown of the CDMA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Service revenue.</w:t>
      </w:r>
      <w:r>
        <w:rPr>
          <w:rFonts w:ascii="Times New Roman;Times;serif" w:hAnsi="Times New Roman;Times;serif"/>
          <w:sz w:val="20"/>
        </w:rPr>
        <w:t xml:space="preserve"> “Service revenue” totaled $3.337 billion for the year ended December 31, 2023, a decrease of $317 million or 8.7% compared to the same period in 2022. The decrease in “Service revenue” compared to the same period in 2022 was primarily related to a lower average Wireless subscriber base and a decrease in Wireless ARPU, discussed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Wireless ARPU.</w:t>
      </w:r>
      <w:r>
        <w:rPr>
          <w:rFonts w:ascii="Times New Roman;Times;serif" w:hAnsi="Times New Roman;Times;serif"/>
          <w:sz w:val="20"/>
        </w:rPr>
        <w:t xml:space="preserve"> Wireless ARPU was $36.15 during the year ended December 31, 2023 versus $37.72 during the same period in 2022. The $1.57 or 4.2% decrease in Wireless ARPU was primarily attributable to, among other things, a shift in subscriber plan mix to lower priced service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Equipment sales and other revenue.</w:t>
      </w:r>
      <w:r>
        <w:rPr>
          <w:rFonts w:ascii="Times New Roman;Times;serif" w:hAnsi="Times New Roman;Times;serif"/>
          <w:sz w:val="20"/>
        </w:rPr>
        <w:t xml:space="preserve"> “Equipment sales and other revenue” totaled $355 million for the year ended December 31, 2023, a decrease of $126 million or 26.2% compared to the same period in 2022. The decrease in “Equipment sales and other revenue” compared to the same period in 2022 was primarily related to a decrease in units shipped and higher promotional subsidies, partially offset by higher revenue per unit shipped due to unit mix. During the year ended December 31, 2023, we shipped a higher percentage of devices that are compatible with our 5G Network and other devices that have a higher revenue per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services.</w:t>
      </w:r>
      <w:r>
        <w:rPr>
          <w:rFonts w:ascii="Times New Roman;Times;serif" w:hAnsi="Times New Roman;Times;serif"/>
          <w:sz w:val="20"/>
        </w:rPr>
        <w:t xml:space="preserve"> “Cost of services” totaled $2.022 billion for the year ended December 31, 2023, a decrease of $113 million or 5.3% compared to the same period in 2022. The decrease in “Cost of services” was primarily attributable to a lower average Wireless subscriber base, partially offset by higher monthly dealer incentive costs. During the year ended December 31, 2023, we realigned our commission structure with current business objectives to acquire higher quality, long-term subscribers, which resulted in elevated costs during the transition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sales – equipment and other.</w:t>
      </w:r>
      <w:r>
        <w:rPr>
          <w:rFonts w:ascii="Times New Roman;Times;serif" w:hAnsi="Times New Roman;Times;serif"/>
          <w:sz w:val="20"/>
        </w:rPr>
        <w:t xml:space="preserve"> “Cost of sales – equipment and other” totaled $1.133 billion for the year ended December 31, 2023, a decrease of $60 million or 5.0% compared to the same period in 2022. The decrease in “Cost of sales – equipment and other” compared to the same period in 2022 was primarily related to a decrease in units shipped</w:t>
      </w:r>
      <w:r>
        <w:rPr>
          <w:rFonts w:ascii="Times New Roman;Times;serif" w:hAnsi="Times New Roman;Times;serif"/>
          <w:sz w:val="20"/>
          <w:shd w:fill="FFFFFF" w:val="clear"/>
        </w:rPr>
        <w:t>, partially offset by h</w:t>
      </w:r>
      <w:r>
        <w:rPr>
          <w:rFonts w:ascii="Times New Roman;Times;serif" w:hAnsi="Times New Roman;Times;serif"/>
          <w:sz w:val="20"/>
        </w:rPr>
        <w:t>igher costs per unit shipped due to unit mix. During the year ended December 31, 2023, we shipped a higher percentage of devices that are compatible with our 5G Network and other devices that have a higher cost per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 expenses.</w:t>
      </w:r>
      <w:r>
        <w:rPr>
          <w:rFonts w:ascii="Times New Roman;Times;serif" w:hAnsi="Times New Roman;Times;serif"/>
          <w:sz w:val="20"/>
        </w:rPr>
        <w:t xml:space="preserve"> “Selling, general and administrative expenses” totaled $859 million during the year ended December 31, 2023, a $153 million or 21.7% increase compared to the same period in 2022. This change was primarily driven by higher marketing expenditures mainly related to the third quarter of 2023 nationwide expansion of our Boost postpaid wireless service and offering of the iPhone 15 on our 5G Network, partially offset by a decrease in costs to support the Retail Wireless segment. The year ended December 31, 2022 was negatively impacted by costs related to the development of our own billing and operational support systems as we prepared to migrate subscribers off the TSA with T-Mobile.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Impairment of long-lived assets and goodwill. </w:t>
      </w:r>
      <w:r>
        <w:rPr>
          <w:rFonts w:ascii="Times New Roman;Times;serif" w:hAnsi="Times New Roman;Times;serif"/>
          <w:sz w:val="20"/>
        </w:rPr>
        <w:t>“Impairment of long-lived assets and goodwill” totaled $99 million for the year ended December 31, 2023. This impairment represents a noncash impairment charge for goodwill. See Note 2 to the Notes to our Consolidated Financial Statements in this Annual Report on Form 10-K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5G Network Deployment Segment</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13 in the Notes to our Consolidated Financial Statements in this Annual Report on Form 10-K for further information.</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 See Note 13 in the Notes to our Consolidated Financial Statements in this Annual Report on Form 10-K for further information.</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DISH Network Spectrum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invested a total of over $30 billion to acquire certain Wireless spectrum licenses. These Wireless spectrum licenses are subject to certain interim and final build-out requirements, as well as certain renewal requirements. We plan to commercialize our Wireless spectrum licenses through our 5G Network Deployment. We have committed to deploy our 5G Network capable of serving increasingly larger portions of the U.S. population at different deadlines, including 20% of the U.S. population by 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confirmed using the drive test methodology agreed to and approved by the FCC and overseen by an independent monitor.</w:t>
      </w:r>
      <w:r>
        <w:rPr>
          <w:rFonts w:ascii="Times New Roman;Times;serif" w:hAnsi="Times New Roman;Times;serif"/>
          <w:sz w:val="20"/>
          <w:shd w:fill="FEFEFE" w:val="clear"/>
        </w:rPr>
        <w:t xml:space="preserve"> We now have the largest commercial deployment of 5G VoNR in the world reaching approximately 200 million Americans, and 5G broadband service reaching approximately 250 million Americans. </w:t>
      </w:r>
      <w:r>
        <w:rPr>
          <w:rFonts w:ascii="Times New Roman;Times;serif" w:hAnsi="Times New Roman;Times;serif"/>
          <w:sz w:val="20"/>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w:t>
      </w:r>
      <w:r>
        <w:rPr>
          <w:rFonts w:ascii="Times New Roman;Times;serif" w:hAnsi="Times New Roman;Times;serif"/>
          <w:sz w:val="24"/>
        </w:rPr>
        <w:t>-</w:t>
      </w:r>
      <w:r>
        <w:rPr>
          <w:rFonts w:ascii="Times New Roman;Times;serif" w:hAnsi="Times New Roman;Times;serif"/>
          <w:sz w:val="20"/>
        </w:rPr>
        <w:t>4 Licenses and at least 75% of the population in each Economic Area for the H Block Licenses.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13 in the Notes to our Consolidated Financial Statements in this Annual Report on Form 10-K for further information.</w:t>
      </w:r>
    </w:p>
    <w:p>
      <w:pPr>
        <w:pStyle w:val="TextBody"/>
        <w:bidi w:val="0"/>
        <w:spacing w:before="0" w:after="12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DISH Network Noncontrolling Investments in the Northstar Entities and the SNR Entities Related to AWS-3 Wireless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2015, through our wholly-owned subsidiaries American AWS</w:t>
      </w:r>
      <w:r>
        <w:rPr>
          <w:rFonts w:ascii="Times New Roman;Times;serif" w:hAnsi="Times New Roman;Times;serif"/>
          <w:sz w:val="24"/>
        </w:rPr>
        <w:t>-</w:t>
      </w:r>
      <w:r>
        <w:rPr>
          <w:rFonts w:ascii="Times New Roman;Times;serif" w:hAnsi="Times New Roman;Times;serif"/>
          <w:sz w:val="20"/>
        </w:rPr>
        <w:t>3 Wireless II L.L.C. (“American II”) and American AWS-3 Wireless III L.L.C. (“American III”), we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w:t>
      </w:r>
      <w:r>
        <w:rPr>
          <w:rFonts w:ascii="Times New Roman;Times;serif" w:hAnsi="Times New Roman;Times;serif"/>
          <w:sz w:val="24"/>
        </w:rPr>
        <w:t>-</w:t>
      </w:r>
      <w:r>
        <w:rPr>
          <w:rFonts w:ascii="Times New Roman;Times;serif" w:hAnsi="Times New Roman;Times;serif"/>
          <w:sz w:val="20"/>
        </w:rPr>
        <w:t xml:space="preserve">3 Licenses”) to Northstar Wireless and to SNR Wireless, respectively, which are recorded in “Regulatory authorizations, net” on our Consolidated Balance Sheets. Under the applicable accounting guidance in Accounting Standards Codification 810, </w:t>
      </w:r>
      <w:r>
        <w:rPr>
          <w:rFonts w:ascii="Times New Roman;Times;serif" w:hAnsi="Times New Roman;Times;serif"/>
          <w:i/>
          <w:sz w:val="20"/>
        </w:rPr>
        <w:t>Consolidation</w:t>
      </w:r>
      <w:r>
        <w:rPr>
          <w:rFonts w:ascii="Times New Roman;Times;serif" w:hAnsi="Times New Roman;Times;serif"/>
          <w:sz w:val="20"/>
        </w:rPr>
        <w:t xml:space="preserve"> (“ASC 810”), Northstar Spectrum and SNR HoldCo are considered VIEs and, based on the characteristics of the structure of these entities and in accordance with the applicable accounting guidance, we consolidate these entities into our financial statements.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Management’s ownership interests in SNR HoldCo, which was purchased by our parent’s direct wholly-owned subsidiary EchoStar SNR HoldCo L.L.C. for a total of approximately $442 million on February 16, 2024. This purchase resulted in the conversion of our outstanding redeemable noncontrolling interest as it relates to SNR HoldCo to noncontrolling interest, which is now held by our parent, EchoStar, as of the purchase date. See Note 2 in the Notes to our Consolidated Financial Statements in this Annual Report on Form 10-K for further information.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 5G Network Deployment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Year Ended December 31, 2023 Compared to the Year Ended December 31, 2022.</w:t>
      </w:r>
    </w:p>
    <w:p>
      <w:pPr>
        <w:pStyle w:val="TextBody"/>
        <w:bidi w:val="0"/>
        <w:spacing w:before="0" w:after="0"/>
        <w:ind w:left="0" w:right="0" w:hanging="0"/>
        <w:jc w:val="left"/>
        <w:rPr/>
      </w:pPr>
      <w:r>
        <w:rPr/>
        <w:t>​</w:t>
      </w:r>
    </w:p>
    <w:tbl>
      <w:tblPr>
        <w:tblW w:w="8980" w:type="dxa"/>
        <w:jc w:val="left"/>
        <w:tblInd w:w="0" w:type="dxa"/>
        <w:tblLayout w:type="fixed"/>
        <w:tblCellMar>
          <w:top w:w="0" w:type="dxa"/>
          <w:left w:w="0" w:type="dxa"/>
          <w:bottom w:w="0" w:type="dxa"/>
          <w:right w:w="0" w:type="dxa"/>
        </w:tblCellMar>
      </w:tblPr>
      <w:tblGrid>
        <w:gridCol w:w="3331"/>
        <w:gridCol w:w="326"/>
        <w:gridCol w:w="223"/>
        <w:gridCol w:w="1077"/>
        <w:gridCol w:w="371"/>
        <w:gridCol w:w="223"/>
        <w:gridCol w:w="940"/>
        <w:gridCol w:w="326"/>
        <w:gridCol w:w="196"/>
        <w:gridCol w:w="946"/>
        <w:gridCol w:w="326"/>
        <w:gridCol w:w="541"/>
        <w:gridCol w:w="154"/>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15185" cy="175260"/>
                      <wp:effectExtent l="0" t="0" r="0" b="0"/>
                      <wp:wrapNone/>
                      <wp:docPr id="62" name="Frame6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1605" cy="175260"/>
                      <wp:effectExtent l="0" t="0" r="0" b="0"/>
                      <wp:wrapNone/>
                      <wp:docPr id="64" name="Frame6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83895" cy="175260"/>
                      <wp:effectExtent l="0" t="0" r="0" b="0"/>
                      <wp:wrapNone/>
                      <wp:docPr id="65" name="Frame65"/>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35585" cy="175260"/>
                      <wp:effectExtent l="0" t="0" r="0" b="0"/>
                      <wp:wrapNone/>
                      <wp:docPr id="66" name="Frame6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1605" cy="175260"/>
                      <wp:effectExtent l="0" t="0" r="0" b="0"/>
                      <wp:wrapNone/>
                      <wp:docPr id="67" name="Frame6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6900" cy="175260"/>
                      <wp:effectExtent l="0" t="0" r="0" b="0"/>
                      <wp:wrapNone/>
                      <wp:docPr id="68" name="Frame68"/>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00710" cy="175260"/>
                      <wp:effectExtent l="0" t="0" r="0" b="0"/>
                      <wp:wrapNone/>
                      <wp:docPr id="71" name="Frame7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43535" cy="175260"/>
                      <wp:effectExtent l="0" t="0" r="0" b="0"/>
                      <wp:wrapNone/>
                      <wp:docPr id="73" name="Frame7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7790" cy="175260"/>
                      <wp:effectExtent l="0" t="0" r="0" b="0"/>
                      <wp:wrapNone/>
                      <wp:docPr id="74" name="Frame7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326" w:type="dxa"/>
            <w:tcBorders/>
            <w:vAlign w:val="center"/>
          </w:tcPr>
          <w:p>
            <w:pPr>
              <w:pStyle w:val="TableContents"/>
              <w:bidi w:val="0"/>
              <w:spacing w:before="0" w:after="0"/>
              <w:ind w:left="0" w:right="0" w:hanging="0"/>
              <w:jc w:val="left"/>
              <w:rPr/>
            </w:pPr>
            <w:r>
              <w:rPr/>
              <w:t>​</w:t>
            </w:r>
          </w:p>
        </w:tc>
        <w:tc>
          <w:tcPr>
            <w:tcW w:w="200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71" w:type="dxa"/>
            <w:tcBorders/>
            <w:vAlign w:val="center"/>
          </w:tcPr>
          <w:p>
            <w:pPr>
              <w:pStyle w:val="TableContents"/>
              <w:bidi w:val="0"/>
              <w:spacing w:before="0" w:after="0"/>
              <w:ind w:left="0" w:right="0" w:hanging="0"/>
              <w:jc w:val="center"/>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154" w:type="dxa"/>
            <w:tcBorders/>
            <w:vAlign w:val="center"/>
          </w:tcPr>
          <w:p>
            <w:pPr>
              <w:pStyle w:val="TableContents"/>
              <w:bidi w:val="0"/>
              <w:spacing w:before="0" w:after="0"/>
              <w:ind w:left="0" w:right="0" w:hanging="0"/>
              <w:jc w:val="left"/>
              <w:rPr/>
            </w:pPr>
            <w:r>
              <w:rPr/>
              <w:t>​</w:t>
            </w:r>
          </w:p>
        </w:tc>
      </w:tr>
      <w:tr>
        <w:trPr/>
        <w:tc>
          <w:tcPr>
            <w:tcW w:w="898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02"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sales and other revenue</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91,928</w:t>
            </w:r>
          </w:p>
        </w:tc>
        <w:tc>
          <w:tcPr>
            <w:tcW w:w="371"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26,160</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91,928</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26,160</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sales - equipment and other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977,329</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521,631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455,698</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255,380</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223,539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31,841</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620,685</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489,119</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 and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119,903</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119,903</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costs and expenses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1,973,297</w:t>
            </w:r>
          </w:p>
        </w:tc>
        <w:tc>
          <w:tcPr>
            <w:tcW w:w="371"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876,736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1,096,561</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(1,881,369)</w:t>
            </w:r>
          </w:p>
        </w:tc>
        <w:tc>
          <w:tcPr>
            <w:tcW w:w="371"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(810,968)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(1,070,401)</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data:</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2,586,151</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2,596,209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(10,058)</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OIBDA</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(1,260,684)</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(679,402)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(581,282)</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w:t>
            </w:r>
          </w:p>
        </w:tc>
        <w:tc>
          <w:tcPr>
            <w:tcW w:w="154" w:type="dxa"/>
            <w:tcBorders/>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Percentage is not meaningful.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sales – equipment and other.</w:t>
      </w:r>
      <w:r>
        <w:rPr>
          <w:rFonts w:ascii="Times New Roman;Times;serif" w:hAnsi="Times New Roman;Times;serif"/>
          <w:sz w:val="20"/>
        </w:rPr>
        <w:t xml:space="preserve"> “Cost of sales – equipment and other” totaled $977 million during the year ended December 31, 2023, an increase of $456 million compared to the same period in 2022. The increase primarily resulted from an increase in lease expense on communication towers, transport, cloud services, and other costs </w:t>
      </w:r>
      <w:r>
        <w:rPr>
          <w:rFonts w:ascii="Times New Roman;Times;serif" w:hAnsi="Times New Roman;Times;serif"/>
          <w:spacing w:val="-4"/>
          <w:sz w:val="20"/>
        </w:rPr>
        <w:t xml:space="preserve">related to our </w:t>
      </w:r>
      <w:r>
        <w:rPr>
          <w:rFonts w:ascii="Times New Roman;Times;serif" w:hAnsi="Times New Roman;Times;serif"/>
          <w:sz w:val="20"/>
        </w:rPr>
        <w:t>5G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 expenses.</w:t>
      </w:r>
      <w:r>
        <w:rPr>
          <w:rFonts w:ascii="Times New Roman;Times;serif" w:hAnsi="Times New Roman;Times;serif"/>
          <w:sz w:val="20"/>
        </w:rPr>
        <w:t xml:space="preserve"> “Selling, general and administrative expenses” totaled $255 million during the year ended December 31, 2023, a $32 million increase compared to the same period in 2022. This change was primarily driven by </w:t>
      </w:r>
      <w:r>
        <w:rPr>
          <w:rFonts w:ascii="Times New Roman;Times;serif" w:hAnsi="Times New Roman;Times;serif"/>
          <w:spacing w:val="-4"/>
          <w:sz w:val="20"/>
        </w:rPr>
        <w:t xml:space="preserve">an increase in costs to support our </w:t>
      </w:r>
      <w:r>
        <w:rPr>
          <w:rFonts w:ascii="Times New Roman;Times;serif" w:hAnsi="Times New Roman;Times;serif"/>
          <w:sz w:val="20"/>
        </w:rPr>
        <w:t>5G Network Deployment</w:t>
      </w:r>
      <w:r>
        <w:rPr>
          <w:rFonts w:ascii="Times New Roman;Times;serif" w:hAnsi="Times New Roman;Times;serif"/>
          <w:spacing w:val="-4"/>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pacing w:val="-4"/>
          <w:sz w:val="20"/>
        </w:rPr>
        <w:t>Depreciation and amortization.</w:t>
      </w:r>
      <w:r>
        <w:rPr>
          <w:rFonts w:ascii="Times New Roman;Times;serif" w:hAnsi="Times New Roman;Times;serif"/>
          <w:spacing w:val="-4"/>
          <w:sz w:val="20"/>
        </w:rPr>
        <w:t xml:space="preserve"> “Depreciation and amortization” expense totaled $621 million </w:t>
      </w:r>
      <w:r>
        <w:rPr>
          <w:rFonts w:ascii="Times New Roman;Times;serif" w:hAnsi="Times New Roman;Times;serif"/>
          <w:sz w:val="20"/>
        </w:rPr>
        <w:t>during the year ended December 31, 2023</w:t>
      </w:r>
      <w:r>
        <w:rPr>
          <w:rFonts w:ascii="Times New Roman;Times;serif" w:hAnsi="Times New Roman;Times;serif"/>
          <w:spacing w:val="-4"/>
          <w:sz w:val="20"/>
        </w:rPr>
        <w:t xml:space="preserve">, a $489 million increase compared to the same period in 2022. </w:t>
      </w:r>
      <w:r>
        <w:rPr>
          <w:rFonts w:ascii="Times New Roman;Times;serif" w:hAnsi="Times New Roman;Times;serif"/>
          <w:sz w:val="20"/>
        </w:rPr>
        <w:t xml:space="preserve">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 </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Impairment of long-lived assets and goodwill.</w:t>
      </w:r>
      <w:r>
        <w:rPr>
          <w:rFonts w:ascii="Times New Roman;Times;serif" w:hAnsi="Times New Roman;Times;serif"/>
          <w:sz w:val="20"/>
        </w:rPr>
        <w:t xml:space="preserve"> “Impairment of long-lived assets and goodwill” totaled $120 million for the year ended December 31, 2023. This impairment represents a noncash impairment charge for goodwill. See Note 2 to the Notes to our Consolidated Financial Statements in this Annual Report on Form 10-K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CONSOLIDATED RESULTS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Year Ended December 31, 2023 Compared to the Year Ended December 31,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37"/>
        <w:gridCol w:w="326"/>
        <w:gridCol w:w="216"/>
        <w:gridCol w:w="1033"/>
        <w:gridCol w:w="360"/>
        <w:gridCol w:w="216"/>
        <w:gridCol w:w="914"/>
        <w:gridCol w:w="326"/>
        <w:gridCol w:w="196"/>
        <w:gridCol w:w="932"/>
        <w:gridCol w:w="326"/>
        <w:gridCol w:w="527"/>
        <w:gridCol w:w="196"/>
      </w:tblGrid>
      <w:tr>
        <w:trPr/>
        <w:tc>
          <w:tcPr>
            <w:tcW w:w="4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944495" cy="175260"/>
                      <wp:effectExtent l="0" t="0" r="0" b="0"/>
                      <wp:wrapNone/>
                      <wp:docPr id="75" name="Frame75"/>
                      <a:graphic xmlns:a="http://schemas.openxmlformats.org/drawingml/2006/main">
                        <a:graphicData uri="http://schemas.microsoft.com/office/word/2010/wordprocessingShape">
                          <wps:wsp>
                            <wps:cNvSpPr txBox="1"/>
                            <wps:spPr>
                              <a:xfrm>
                                <a:off x="0" y="0"/>
                                <a:ext cx="294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7160" cy="175260"/>
                      <wp:effectExtent l="0" t="0" r="0" b="0"/>
                      <wp:wrapNone/>
                      <wp:docPr id="77" name="Frame7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55955" cy="175260"/>
                      <wp:effectExtent l="0" t="0" r="0" b="0"/>
                      <wp:wrapNone/>
                      <wp:docPr id="78" name="Frame78"/>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8600" cy="175260"/>
                      <wp:effectExtent l="0" t="0" r="0" b="0"/>
                      <wp:wrapNone/>
                      <wp:docPr id="79" name="Frame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7160" cy="175260"/>
                      <wp:effectExtent l="0" t="0" r="0" b="0"/>
                      <wp:wrapNone/>
                      <wp:docPr id="80" name="Frame8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80390" cy="175260"/>
                      <wp:effectExtent l="0" t="0" r="0" b="0"/>
                      <wp:wrapNone/>
                      <wp:docPr id="81" name="Frame81"/>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1820" cy="175260"/>
                      <wp:effectExtent l="0" t="0" r="0" b="0"/>
                      <wp:wrapNone/>
                      <wp:docPr id="84" name="Frame8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34645" cy="175260"/>
                      <wp:effectExtent l="0" t="0" r="0" b="0"/>
                      <wp:wrapNone/>
                      <wp:docPr id="86" name="Frame86"/>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326" w:type="dxa"/>
            <w:tcBorders/>
            <w:vAlign w:val="center"/>
          </w:tcPr>
          <w:p>
            <w:pPr>
              <w:pStyle w:val="TableContents"/>
              <w:bidi w:val="0"/>
              <w:spacing w:before="0" w:after="0"/>
              <w:ind w:left="0" w:right="0" w:hanging="0"/>
              <w:jc w:val="left"/>
              <w:rPr/>
            </w:pPr>
            <w:r>
              <w:rPr/>
              <w:t>​</w:t>
            </w:r>
          </w:p>
        </w:tc>
        <w:tc>
          <w:tcPr>
            <w:tcW w:w="1981"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60" w:type="dxa"/>
            <w:tcBorders/>
            <w:vAlign w:val="center"/>
          </w:tcPr>
          <w:p>
            <w:pPr>
              <w:pStyle w:val="TableContents"/>
              <w:bidi w:val="0"/>
              <w:spacing w:before="0" w:after="0"/>
              <w:ind w:left="0" w:right="0" w:hanging="0"/>
              <w:jc w:val="center"/>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9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527"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175,257</w:t>
            </w:r>
          </w:p>
        </w:tc>
        <w:tc>
          <w:tcPr>
            <w:tcW w:w="360"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2,045,666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(1,870,409)</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105,416</w:t>
            </w:r>
          </w:p>
        </w:tc>
        <w:tc>
          <w:tcPr>
            <w:tcW w:w="360"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62,640</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(38,881)</w:t>
            </w:r>
          </w:p>
        </w:tc>
        <w:tc>
          <w:tcPr>
            <w:tcW w:w="360"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(16,100)</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(70.7)</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(1,741,876)</w:t>
            </w:r>
          </w:p>
        </w:tc>
        <w:tc>
          <w:tcPr>
            <w:tcW w:w="360"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1,038,982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(2,780,858)</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(1,675,341)</w:t>
            </w:r>
          </w:p>
        </w:tc>
        <w:tc>
          <w:tcPr>
            <w:tcW w:w="360"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1,058,977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(2,734,318)</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(1,500,084)</w:t>
            </w:r>
          </w:p>
        </w:tc>
        <w:tc>
          <w:tcPr>
            <w:tcW w:w="360"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3,104,643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(4,604,727)</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371,662</w:t>
            </w:r>
          </w:p>
        </w:tc>
        <w:tc>
          <w:tcPr>
            <w:tcW w:w="360"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(731,736)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1,103,398</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24.8</w:t>
            </w:r>
          </w:p>
        </w:tc>
        <w:tc>
          <w:tcPr>
            <w:tcW w:w="576"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23.6</w:t>
            </w:r>
          </w:p>
        </w:tc>
        <w:tc>
          <w:tcPr>
            <w:tcW w:w="52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(1,128,422)</w:t>
            </w:r>
          </w:p>
        </w:tc>
        <w:tc>
          <w:tcPr>
            <w:tcW w:w="360"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2,372,907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(3,501,329)</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Net income (loss) attributable to noncontrolling interests,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83,801</w:t>
            </w:r>
          </w:p>
        </w:tc>
        <w:tc>
          <w:tcPr>
            <w:tcW w:w="360"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14,127</w:t>
            </w:r>
          </w:p>
        </w:tc>
        <w:tc>
          <w:tcPr>
            <w:tcW w:w="32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96" w:type="dxa"/>
            <w:tcBorders/>
            <w:shd w:fill="CCEEFF" w:val="clear"/>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DISH Network</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(1,212,223)</w:t>
            </w:r>
          </w:p>
        </w:tc>
        <w:tc>
          <w:tcPr>
            <w:tcW w:w="360"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2,303,233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(3,515,456)</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r>
      <w:tr>
        <w:trPr/>
        <w:tc>
          <w:tcPr>
            <w:tcW w:w="4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Percentage is not meaningful.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totaled $105 million during the year ended December 31, 2023, an increase of $63 million compared to the same period in 2022. This increase primarily resulted from higher percentage returns earned on our cash and marketable investment securities, partially offset by lower average cash and marketable investment securities balances during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Other, net. </w:t>
      </w:r>
      <w:r>
        <w:rPr>
          <w:rFonts w:ascii="Times New Roman;Times;serif" w:hAnsi="Times New Roman;Times;serif"/>
          <w:sz w:val="20"/>
        </w:rPr>
        <w:t xml:space="preserve">“Other, net” expense totaled $1.742 billion during the year ended December 31, 2023, compared to income of $1.039 billion during the same period in 2022. This change primarily resulted from </w:t>
      </w:r>
      <w:r>
        <w:rPr>
          <w:rFonts w:ascii="Times New Roman;Times;serif" w:hAnsi="Times New Roman;Times;serif"/>
          <w:color w:val="222222"/>
          <w:sz w:val="20"/>
          <w:shd w:fill="FFFFFF" w:val="clear"/>
        </w:rPr>
        <w:t xml:space="preserve">a </w:t>
      </w:r>
      <w:r>
        <w:rPr>
          <w:rFonts w:ascii="Times New Roman;Times;serif" w:hAnsi="Times New Roman;Times;serif"/>
          <w:sz w:val="20"/>
          <w:shd w:fill="FFFFFF" w:val="clear"/>
        </w:rPr>
        <w:t xml:space="preserve">loss of approximately $1.793 billion (including the $100 million prepayment previously made to T-Mobile) as the probability weighted </w:t>
      </w:r>
      <w:r>
        <w:rPr>
          <w:rFonts w:ascii="Times New Roman;Times;serif" w:hAnsi="Times New Roman;Times;serif"/>
          <w:sz w:val="20"/>
        </w:rPr>
        <w:t>fair value of our option to purchase certain of T-Mobile’s 800 MHz spectrum licenses was reduced to zero compared to a $1.015 billion increase during the year ended December 31, 2022. In addition, the year ended December 31, 2023 was negatively impacted by a $22 million net decrease in gains on marketable and non-marketable investment securities. Furthermore, the year ended December 31, 2023 was positively impacted by $73 million in gains from the repurchases of our 3 3/8% Convertible Notes due 2026 (the “Convertible Notes due 2026”), our 2 3/8% Convertible Notes due 2024 (the “Convertible Notes due 2024”) and 0% Convertible Notes due 2025 (the “Convertible Notes due 2025,” and collectively with the Convertible Notes due 2026 and the Convertible Notes due 2024, the “Convertible Notes”) and our 5 7/8% Senior Notes due 2024. See Note 5 and 9 in the Notes to our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Income tax (provision) benefit, net.</w:t>
      </w:r>
      <w:r>
        <w:rPr>
          <w:rFonts w:ascii="Times New Roman;Times;serif" w:hAnsi="Times New Roman;Times;serif"/>
          <w:sz w:val="20"/>
        </w:rPr>
        <w:t xml:space="preserve"> Our income tax benefit was $372 million during the year ended December 31, 2023 compared to a provision of $732 million during the same period in 2022. The change was primarily related to a decrease in “Income (loss) before income taxes,” partially offset by an increase in our effective tax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Non-GAAP Performance Measures and Reconciliation</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is management’s intent to provide non-GAAP financial information to enhance the understanding of our financial information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Consolidated EBITDA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EBITDA is not a measure determined in accordance with GAAP and should not be considered a substitute for operating income, net income or any other measure determined in accordance with GAAP. Consolidated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pStyle w:val="TextBody"/>
        <w:bidi w:val="0"/>
        <w:spacing w:before="0" w:after="0"/>
        <w:ind w:left="0" w:right="0" w:hanging="0"/>
        <w:jc w:val="left"/>
        <w:rPr/>
      </w:pPr>
      <w:r>
        <w:rPr/>
        <w:t>​</w:t>
      </w:r>
    </w:p>
    <w:tbl>
      <w:tblPr>
        <w:tblW w:w="7147" w:type="dxa"/>
        <w:jc w:val="left"/>
        <w:tblInd w:w="0" w:type="dxa"/>
        <w:tblLayout w:type="fixed"/>
        <w:tblCellMar>
          <w:top w:w="0" w:type="dxa"/>
          <w:left w:w="0" w:type="dxa"/>
          <w:bottom w:w="0" w:type="dxa"/>
          <w:right w:w="0" w:type="dxa"/>
        </w:tblCellMar>
      </w:tblPr>
      <w:tblGrid>
        <w:gridCol w:w="3796"/>
        <w:gridCol w:w="326"/>
        <w:gridCol w:w="223"/>
        <w:gridCol w:w="1077"/>
        <w:gridCol w:w="371"/>
        <w:gridCol w:w="223"/>
        <w:gridCol w:w="940"/>
        <w:gridCol w:w="191"/>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410460" cy="175260"/>
                      <wp:effectExtent l="0" t="0" r="0" b="0"/>
                      <wp:wrapNone/>
                      <wp:docPr id="88" name="Frame88"/>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1605" cy="175260"/>
                      <wp:effectExtent l="0" t="0" r="0" b="0"/>
                      <wp:wrapNone/>
                      <wp:docPr id="90" name="Frame9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83895" cy="175260"/>
                      <wp:effectExtent l="0" t="0" r="0" b="0"/>
                      <wp:wrapNone/>
                      <wp:docPr id="91" name="Frame91"/>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5585" cy="175260"/>
                      <wp:effectExtent l="0" t="0" r="0" b="0"/>
                      <wp:wrapNone/>
                      <wp:docPr id="92" name="Frame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1605" cy="175260"/>
                      <wp:effectExtent l="0" t="0" r="0" b="0"/>
                      <wp:wrapNone/>
                      <wp:docPr id="93" name="Frame9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96900" cy="175260"/>
                      <wp:effectExtent l="0" t="0" r="0" b="0"/>
                      <wp:wrapNone/>
                      <wp:docPr id="94" name="Frame94"/>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1285" cy="175260"/>
                      <wp:effectExtent l="0" t="0" r="0" b="0"/>
                      <wp:wrapNone/>
                      <wp:docPr id="95" name="Frame9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71" w:type="dxa"/>
            <w:tcBorders/>
            <w:vAlign w:val="center"/>
          </w:tcPr>
          <w:p>
            <w:pPr>
              <w:pStyle w:val="TableContents"/>
              <w:bidi w:val="0"/>
              <w:spacing w:before="0" w:after="0"/>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714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4"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 attributable to DISH Network</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(1,212,223)</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2,303,233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net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(66,535)</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(19,995)</w:t>
            </w:r>
          </w:p>
        </w:tc>
        <w:tc>
          <w:tcPr>
            <w:tcW w:w="19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 (benefit),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(371,662)</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731,736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1,181,921</w:t>
            </w:r>
          </w:p>
        </w:tc>
        <w:tc>
          <w:tcPr>
            <w:tcW w:w="371"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717,073</w:t>
            </w:r>
          </w:p>
        </w:tc>
        <w:tc>
          <w:tcPr>
            <w:tcW w:w="19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(468,499)</w:t>
            </w:r>
          </w:p>
        </w:tc>
        <w:tc>
          <w:tcPr>
            <w:tcW w:w="371"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3,732,047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changes in Consolidated EBITDA during the year ended December 31, 2023, compared to the same period in 2022, were primarily a result of the factors described in connection with operating revenues and operating expenses, including the impact from changes in the probability weighted fair value of our option to purchase certain of T-Mobile’s 800 MHz spectrum licenses resulting in </w:t>
      </w:r>
      <w:r>
        <w:rPr>
          <w:rFonts w:ascii="Times New Roman;Times;serif" w:hAnsi="Times New Roman;Times;serif"/>
          <w:sz w:val="20"/>
          <w:shd w:fill="FFFFFF" w:val="clear"/>
        </w:rPr>
        <w:t>a loss of approximately $1.793 billion (including the $100 million prepayment previously made to T-Mobile)</w:t>
      </w:r>
      <w:r>
        <w:rPr>
          <w:rFonts w:ascii="Times New Roman;Times;serif" w:hAnsi="Times New Roman;Times;serif"/>
          <w:sz w:val="20"/>
        </w:rPr>
        <w:t xml:space="preserve"> and the “Impairment of long-lived assets and goodwill” of $225 million.</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OIBDA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14 to the Notes to our Consolidated Financial Statements in this Annual Report on Form 10-K for further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98"/>
        <w:gridCol w:w="109"/>
        <w:gridCol w:w="196"/>
        <w:gridCol w:w="826"/>
        <w:gridCol w:w="109"/>
        <w:gridCol w:w="196"/>
        <w:gridCol w:w="1079"/>
        <w:gridCol w:w="109"/>
        <w:gridCol w:w="196"/>
        <w:gridCol w:w="1693"/>
        <w:gridCol w:w="109"/>
        <w:gridCol w:w="196"/>
        <w:gridCol w:w="927"/>
        <w:gridCol w:w="154"/>
        <w:gridCol w:w="196"/>
        <w:gridCol w:w="1155"/>
        <w:gridCol w:w="157"/>
      </w:tblGrid>
      <w:tr>
        <w:trPr/>
        <w:tc>
          <w:tcPr>
            <w:tcW w:w="2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76730" cy="175260"/>
                      <wp:effectExtent l="0" t="0" r="0" b="0"/>
                      <wp:wrapNone/>
                      <wp:docPr id="96" name="Frame96"/>
                      <a:graphic xmlns:a="http://schemas.openxmlformats.org/drawingml/2006/main">
                        <a:graphicData uri="http://schemas.microsoft.com/office/word/2010/wordprocessingShape">
                          <wps:wsp>
                            <wps:cNvSpPr txBox="1"/>
                            <wps:spPr>
                              <a:xfrm>
                                <a:off x="0" y="0"/>
                                <a:ext cx="177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8"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4510" cy="175260"/>
                      <wp:effectExtent l="0" t="0" r="0" b="0"/>
                      <wp:wrapNone/>
                      <wp:docPr id="99" name="Frame9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101"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85165" cy="175260"/>
                      <wp:effectExtent l="0" t="0" r="0" b="0"/>
                      <wp:wrapNone/>
                      <wp:docPr id="102" name="Frame102"/>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75055" cy="175260"/>
                      <wp:effectExtent l="0" t="0" r="0" b="0"/>
                      <wp:wrapNone/>
                      <wp:docPr id="105" name="Frame105"/>
                      <a:graphic xmlns:a="http://schemas.openxmlformats.org/drawingml/2006/main">
                        <a:graphicData uri="http://schemas.microsoft.com/office/word/2010/wordprocessingShape">
                          <wps:wsp>
                            <wps:cNvSpPr txBox="1"/>
                            <wps:spPr>
                              <a:xfrm>
                                <a:off x="0" y="0"/>
                                <a:ext cx="1075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88645" cy="175260"/>
                      <wp:effectExtent l="0" t="0" r="0" b="0"/>
                      <wp:wrapNone/>
                      <wp:docPr id="108" name="Frame108"/>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7790" cy="175260"/>
                      <wp:effectExtent l="0" t="0" r="0" b="0"/>
                      <wp:wrapNone/>
                      <wp:docPr id="109" name="Frame1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33425" cy="175260"/>
                      <wp:effectExtent l="0" t="0" r="0" b="0"/>
                      <wp:wrapNone/>
                      <wp:docPr id="111" name="Frame111"/>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9695" cy="175260"/>
                      <wp:effectExtent l="0" t="0" r="0" b="0"/>
                      <wp:wrapNone/>
                      <wp:docPr id="112" name="Frame112"/>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For the Year Ended December 31, 2023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Pay-TV</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Retail Wireless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5G Network Deployment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r>
              <w:rPr>
                <w:rFonts w:ascii="Times New Roman;Times;serif" w:hAnsi="Times New Roman;Times;serif"/>
                <w:b/>
                <w:sz w:val="18"/>
              </w:rPr>
              <w:br/>
              <w:t>Eliminations</w:t>
            </w:r>
          </w:p>
        </w:tc>
        <w:tc>
          <w:tcPr>
            <w:tcW w:w="196" w:type="dxa"/>
            <w:tcBorders/>
            <w:vAlign w:val="center"/>
          </w:tcPr>
          <w:p>
            <w:pPr>
              <w:pStyle w:val="TableContents"/>
              <w:bidi w:val="0"/>
              <w:spacing w:before="0" w:after="1"/>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Consolidated </w:t>
            </w:r>
          </w:p>
        </w:tc>
        <w:tc>
          <w:tcPr>
            <w:tcW w:w="157" w:type="dxa"/>
            <w:tcBorders/>
            <w:vAlign w:val="center"/>
          </w:tcPr>
          <w:p>
            <w:pPr>
              <w:pStyle w:val="TableContents"/>
              <w:bidi w:val="0"/>
              <w:spacing w:before="0" w:after="1"/>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7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41" w:type="dxa"/>
            <w:gridSpan w:val="14"/>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7" w:type="dxa"/>
            <w:tcBorders/>
            <w:vAlign w:val="center"/>
          </w:tcPr>
          <w:p>
            <w:pPr>
              <w:pStyle w:val="TableContents"/>
              <w:bidi w:val="0"/>
              <w:spacing w:before="0" w:after="1"/>
              <w:ind w:left="0" w:right="0" w:hanging="0"/>
              <w:jc w:val="lef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2,699,810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(643,184)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(1,881,369)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175,257</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381,292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221,968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620,685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(42,024)</w:t>
            </w:r>
          </w:p>
        </w:tc>
        <w:tc>
          <w:tcPr>
            <w:tcW w:w="154"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1,181,921</w:t>
            </w:r>
          </w:p>
        </w:tc>
        <w:tc>
          <w:tcPr>
            <w:tcW w:w="157" w:type="dxa"/>
            <w:tcBorders/>
            <w:vAlign w:val="center"/>
          </w:tcPr>
          <w:p>
            <w:pPr>
              <w:pStyle w:val="TableContents"/>
              <w:bidi w:val="0"/>
              <w:spacing w:before="0" w:after="1"/>
              <w:ind w:left="0" w:right="0" w:hanging="0"/>
              <w:jc w:val="lef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OIBDA</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3,081,102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(421,216)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(1,260,684)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(42,024)</w:t>
            </w:r>
          </w:p>
        </w:tc>
        <w:tc>
          <w:tcPr>
            <w:tcW w:w="154"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1,357,178</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27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For the Year Ended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69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2,933,898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(77,264)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(810,968)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2,045,666</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428,471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177,914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131,566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(20,878)</w:t>
            </w:r>
          </w:p>
        </w:tc>
        <w:tc>
          <w:tcPr>
            <w:tcW w:w="154"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717,073</w:t>
            </w:r>
          </w:p>
        </w:tc>
        <w:tc>
          <w:tcPr>
            <w:tcW w:w="157" w:type="dxa"/>
            <w:tcBorders/>
            <w:vAlign w:val="center"/>
          </w:tcPr>
          <w:p>
            <w:pPr>
              <w:pStyle w:val="TableContents"/>
              <w:bidi w:val="0"/>
              <w:spacing w:before="0" w:after="1"/>
              <w:ind w:left="0" w:right="0" w:hanging="0"/>
              <w:jc w:val="left"/>
              <w:rPr/>
            </w:pPr>
            <w:r>
              <w:rPr/>
              <w:t>​</w:t>
            </w:r>
          </w:p>
        </w:tc>
      </w:tr>
      <w:tr>
        <w:trPr/>
        <w:tc>
          <w:tcPr>
            <w:tcW w:w="2798"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OIBDA</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3,362,369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100,650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(679,402)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(20,878)</w:t>
            </w:r>
          </w:p>
        </w:tc>
        <w:tc>
          <w:tcPr>
            <w:tcW w:w="154"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2,762,739</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27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changes in OIBDA during the year ended December 31, 2023, compared to the same period in 2022, were primarily a result of the factors described in connection with operating revenues and operating expenses and the “Impairment of long-lived assets and goodwill” of: (1) $120 million from our 5G Network Deployment segment; (2) $99 million from our Retail Wireless segment; and (3) $6 million from our Pay-TV segment. </w:t>
      </w:r>
    </w:p>
    <w:p>
      <w:pPr>
        <w:pStyle w:val="TextBody"/>
        <w:bidi w:val="0"/>
        <w:spacing w:before="0" w:after="120"/>
        <w:ind w:left="0" w:right="0" w:hanging="0"/>
        <w:jc w:val="left"/>
        <w:rPr/>
      </w:pPr>
      <w:r>
        <w:rPr/>
        <w:t>​</w:t>
      </w:r>
    </w:p>
    <w:p>
      <w:pPr>
        <w:pStyle w:val="TextBody"/>
        <w:bidi w:val="0"/>
        <w:spacing w:before="0" w:after="0"/>
        <w:ind w:left="0" w:right="0" w:hanging="0"/>
        <w:jc w:val="left"/>
        <w:rPr/>
      </w:pPr>
      <w:bookmarkStart w:id="140" w:name="_69e0a1de_cde0_4c4a_b8dc_eeb478a0c2f5"/>
      <w:bookmarkEnd w:id="140"/>
      <w:r>
        <w:rPr/>
        <w:t>​</w:t>
      </w:r>
    </w:p>
    <w:p>
      <w:pPr>
        <w:pStyle w:val="TextBody"/>
        <w:bidi w:val="0"/>
        <w:spacing w:before="0" w:after="0"/>
        <w:ind w:left="0" w:right="0" w:hanging="0"/>
        <w:jc w:val="left"/>
        <w:rPr>
          <w:rFonts w:ascii="Times New Roman;Times;serif" w:hAnsi="Times New Roman;Times;serif"/>
          <w:b/>
          <w:sz w:val="20"/>
        </w:rPr>
      </w:pPr>
      <w:bookmarkStart w:id="141" w:name="Item7AQUANTITATIVEANDQUALITATIVEDISCLOSU"/>
      <w:bookmarkEnd w:id="141"/>
      <w:r>
        <w:rPr>
          <w:rFonts w:ascii="Times New Roman;Times;serif" w:hAnsi="Times New Roman;Times;serif"/>
          <w:b/>
          <w:sz w:val="20"/>
        </w:rPr>
        <w:t>Item 7A.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 Risks Associated with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investments and debt are exposed to market risks,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Cash Equivalents and Current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our cash, cash equivalents and current marketable investment securities had a fair value of $382 million. Of that amount, a total of $374 million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change in interest rates would affect the fair value of our cash, cash equivalents and current marketable investment securities portfolio; however, we normally hold these investments to maturity. Based on our December 31, 2023 current non-strategic investment portfolio of $374 million, a hypothetical 10% change in average interest rates would not have a material impact on the fair value due to the limited duration of our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cash, cash equivalents and current marketable investment securities had an average annual rate of return for the year ended December 31, 2023 of 5.0%. A change in interest rates would affect our future annual interest income from this portfolio, since funds would be re-invested at different rates as the instruments mature. A hypothetical 10% decrease in average interest rates during 2023 would result in a decrease of approximately $10 million in annual interest income.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Strategic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we held investments in the publicly traded securities of several companies with a fair value of $8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2023 would have resulted in a decrease of $1 million in the fair value of these investments.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Restricted Cash, Cash Equivalents and Marketable Investment Securities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we had $109 million of restricted cash and marketable investment securities invested in: (a) cash; (b) money market funds; (c) debt instruments of the United States Government and its agencies; and/or (d) instruments with similar risk, duration and credit quality characteristics to commercial paper. Based on our December 31, 2023 investment portfolio, a hypothetical 10% increase in average interest rates would not have a material impact on the fair value of our restricted cash and marketable investment securities.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December 31, 2023, we had long-term debt of $21.163 billion, excluding finance lease obligations and unamortized deferred financing costs and debt discounts, on our Consolidated Balance Sheets. We estimated the fair value of this debt to be approximately $16.540 billion using quoted market prices. The fair value of our debt is affected by fluctuations in interest rates. A hypothetical 10% decrease in assumed interest rates would increase the fair value of our debt by approximately $648 million. To the extent interest rates increase, our future costs of financing would increase at the time of any future financings. As of December 31, 2023, all of our long-term debt consisted of fixed rate indebtedness.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Derivative Financial Instruments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invest in speculative financial instruments, including derivatives. As of December 31, 2023, we did not hold any material derivative financial instruments other than the option to purchase certain T-Mobile’s 800 MHz spectrum licenses under the Spectrum Purchase Agreement and certain contracts written on the equity of EchoStar. See Note 5 and Note 9 in the Notes to our Consolidated Financial Statements in this Annual Report on Form 10-K for further information.</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42" w:name="Item8FINANCIALSTATEMENTSANDSUPPLEMENTARY"/>
      <w:bookmarkStart w:id="143" w:name="_2040f030_1dd0_4548_add1_47822786d7be"/>
      <w:bookmarkEnd w:id="142"/>
      <w:bookmarkEnd w:id="143"/>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consolidated financial statements are included in this Annual Report on Form 10-K beginning on page F-1.</w:t>
      </w:r>
    </w:p>
    <w:p>
      <w:pPr>
        <w:pStyle w:val="TextBody"/>
        <w:bidi w:val="0"/>
        <w:spacing w:before="0" w:after="0"/>
        <w:ind w:left="0" w:right="0" w:hanging="0"/>
        <w:jc w:val="left"/>
        <w:rPr/>
      </w:pPr>
      <w:r>
        <w:rPr/>
        <w:t>​</w:t>
      </w:r>
    </w:p>
    <w:p>
      <w:pPr>
        <w:pStyle w:val="TextBody"/>
        <w:pBdr/>
        <w:bidi w:val="0"/>
        <w:spacing w:before="0" w:after="0"/>
        <w:ind w:left="0" w:right="0" w:hanging="749"/>
        <w:jc w:val="left"/>
        <w:rPr>
          <w:rFonts w:ascii="Times New Roman;Times;serif" w:hAnsi="Times New Roman;Times;serif"/>
          <w:sz w:val="20"/>
        </w:rPr>
      </w:pPr>
      <w:bookmarkStart w:id="144" w:name="Item9CHANGESINANDDISAGREEMENTSWITHACCOUN"/>
      <w:bookmarkStart w:id="145" w:name="_ef40410f_00bc_4471_a42d_b7ad95609efb"/>
      <w:bookmarkEnd w:id="144"/>
      <w:bookmarkEnd w:id="145"/>
      <w:r>
        <w:rPr>
          <w:rFonts w:ascii="Times New Roman;Times;serif" w:hAnsi="Times New Roman;Times;serif"/>
          <w:b/>
          <w:sz w:val="20"/>
        </w:rPr>
        <w:t>Item 9. 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pBdr/>
        <w:bidi w:val="0"/>
        <w:spacing w:before="0" w:after="0"/>
        <w:ind w:left="0" w:right="0" w:hanging="90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bookmarkStart w:id="146" w:name="_d273991d_f3af_41a2_8d36_16f448a2c024"/>
      <w:bookmarkEnd w:id="146"/>
      <w:r>
        <w:rPr/>
        <w:t>​</w:t>
      </w:r>
    </w:p>
    <w:p>
      <w:pPr>
        <w:pStyle w:val="TextBody"/>
        <w:bidi w:val="0"/>
        <w:spacing w:before="0" w:after="0"/>
        <w:ind w:left="0" w:right="0" w:hanging="0"/>
        <w:jc w:val="left"/>
        <w:rPr>
          <w:rFonts w:ascii="Times New Roman;Times;serif" w:hAnsi="Times New Roman;Times;serif"/>
          <w:b/>
          <w:sz w:val="20"/>
        </w:rPr>
      </w:pPr>
      <w:bookmarkStart w:id="147" w:name="Item9ACONTROLSANDPROCEDURES_915764"/>
      <w:bookmarkEnd w:id="147"/>
      <w:r>
        <w:rPr>
          <w:rFonts w:ascii="Times New Roman;Times;serif" w:hAnsi="Times New Roman;Times;serif"/>
          <w:b/>
          <w:sz w:val="20"/>
        </w:rPr>
        <w:t>Item 9A.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internal control over financial reporting includes those policies and procedures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2"/>
        <w:gridCol w:w="109"/>
        <w:gridCol w:w="9804"/>
      </w:tblGrid>
      <w:tr>
        <w:trPr/>
        <w:tc>
          <w:tcPr>
            <w:tcW w:w="29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our transactions and dispositions of our assets;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321"/>
        <w:gridCol w:w="109"/>
        <w:gridCol w:w="9775"/>
      </w:tblGrid>
      <w:tr>
        <w:trPr/>
        <w:tc>
          <w:tcPr>
            <w:tcW w:w="32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w:t>
            </w:r>
          </w:p>
        </w:tc>
        <w:tc>
          <w:tcPr>
            <w:tcW w:w="109" w:type="dxa"/>
            <w:tcBorders/>
            <w:vAlign w:val="center"/>
          </w:tcPr>
          <w:p>
            <w:pPr>
              <w:pStyle w:val="TableContents"/>
              <w:bidi w:val="0"/>
              <w:spacing w:before="0" w:after="283"/>
              <w:jc w:val="left"/>
              <w:rPr>
                <w:sz w:val="4"/>
                <w:szCs w:val="4"/>
              </w:rPr>
            </w:pPr>
            <w:r>
              <w:rPr>
                <w:sz w:val="4"/>
                <w:szCs w:val="4"/>
              </w:rPr>
            </w:r>
          </w:p>
        </w:tc>
        <w:tc>
          <w:tcPr>
            <w:tcW w:w="9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396"/>
        <w:gridCol w:w="109"/>
        <w:gridCol w:w="9700"/>
      </w:tblGrid>
      <w:tr>
        <w:trPr/>
        <w:tc>
          <w:tcPr>
            <w:tcW w:w="3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(iii)</w:t>
            </w:r>
          </w:p>
        </w:tc>
        <w:tc>
          <w:tcPr>
            <w:tcW w:w="109" w:type="dxa"/>
            <w:tcBorders/>
            <w:vAlign w:val="center"/>
          </w:tcPr>
          <w:p>
            <w:pPr>
              <w:pStyle w:val="TableContents"/>
              <w:bidi w:val="0"/>
              <w:spacing w:before="0" w:after="283"/>
              <w:jc w:val="left"/>
              <w:rPr>
                <w:sz w:val="4"/>
                <w:szCs w:val="4"/>
              </w:rPr>
            </w:pPr>
            <w:r>
              <w:rPr>
                <w:sz w:val="4"/>
                <w:szCs w:val="4"/>
              </w:rPr>
            </w:r>
          </w:p>
        </w:tc>
        <w:tc>
          <w:tcPr>
            <w:tcW w:w="9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our 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conducted an evaluation of the effectiveness of our internal control over financial reporting based on the framework in Internal Control – Integrated Framework (2013) issued by the Committee of Sponsoring Organizations of the Treadway Commission (COSO). Based on this evaluation, our management concluded that our internal control over financial reporting was effective as of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8" w:name="Item9BOTHERINFORMATION_119141"/>
      <w:bookmarkStart w:id="149" w:name="_d374fa9b_0e1a_40b0_a50c_0fcb93addf17"/>
      <w:bookmarkEnd w:id="148"/>
      <w:bookmarkEnd w:id="149"/>
      <w:r>
        <w:rPr>
          <w:rFonts w:ascii="Times New Roman;Times;serif" w:hAnsi="Times New Roman;Times;serif"/>
          <w:b/>
          <w:sz w:val="20"/>
        </w:rPr>
        <w:t>Item 9B.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10b5-1 Trading Arrangements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None of the Company’s directors or Section 16 officers adopted, modified</w:t>
      </w:r>
      <w:r>
        <w:rPr>
          <w:rFonts w:ascii="Times New Roman;Times;serif" w:hAnsi="Times New Roman;Times;serif"/>
          <w:sz w:val="24"/>
        </w:rPr>
        <w:t xml:space="preserve"> </w:t>
      </w:r>
      <w:r>
        <w:rPr>
          <w:rFonts w:ascii="Times New Roman;Times;serif" w:hAnsi="Times New Roman;Times;serif"/>
          <w:sz w:val="20"/>
        </w:rPr>
        <w:t>or terminated</w:t>
      </w:r>
      <w:r>
        <w:rPr>
          <w:rFonts w:ascii="Times New Roman;Times;serif" w:hAnsi="Times New Roman;Times;serif"/>
          <w:sz w:val="24"/>
        </w:rPr>
        <w:t xml:space="preserve"> </w:t>
      </w:r>
      <w:r>
        <w:rPr>
          <w:rFonts w:ascii="Times New Roman;Times;serif" w:hAnsi="Times New Roman;Times;serif"/>
          <w:sz w:val="20"/>
        </w:rPr>
        <w:t xml:space="preserve">a Rule 10b5-1 trading arrangement or a non-Rule 10b5-1 trading arrangement during the Company’s fiscal quarter ended December 31, 2023, as such terms are defined under Item 408(a) of Regulation S-K. </w:t>
      </w:r>
      <w:r>
        <w:rPr>
          <w:rFonts w:ascii="Times New Roman;Times;serif" w:hAnsi="Times New Roman;Times;serif"/>
          <w:color w:val="222222"/>
          <w:sz w:val="20"/>
          <w:shd w:fill="FFFFFF" w:val="clear"/>
        </w:rPr>
        <w:t>As a result of the Merger, DISH Network’s stock is no longer traded and all the Company’s directors or Section 16 officers’ 10b5-1 Trading plans were terminated in accordance with the terms and conditions of such plans.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0" w:name="ITEM9C"/>
      <w:bookmarkStart w:id="151" w:name="_4067f68c_70ec_44aa_aaaa_34f20409a6b0"/>
      <w:bookmarkEnd w:id="150"/>
      <w:bookmarkEnd w:id="151"/>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idi w:val="0"/>
        <w:spacing w:before="0" w:after="0"/>
        <w:ind w:left="0" w:right="0" w:hanging="900"/>
        <w:jc w:val="center"/>
        <w:rPr>
          <w:rFonts w:ascii="Times New Roman;Times;serif" w:hAnsi="Times New Roman;Times;serif"/>
          <w:b/>
          <w:sz w:val="20"/>
        </w:rPr>
      </w:pPr>
      <w:bookmarkStart w:id="152" w:name="PARTIII_725865"/>
      <w:bookmarkStart w:id="153" w:name="_1e2f177d_4396_4506_9c78_e4fa726eefa4"/>
      <w:bookmarkEnd w:id="152"/>
      <w:bookmarkEnd w:id="153"/>
      <w:r>
        <w:rPr>
          <w:rFonts w:ascii="Times New Roman;Times;serif" w:hAnsi="Times New Roman;Times;serif"/>
          <w:b/>
          <w:sz w:val="20"/>
        </w:rPr>
        <w:t>PART III</w:t>
      </w:r>
    </w:p>
    <w:p>
      <w:pPr>
        <w:pStyle w:val="TextBody"/>
        <w:pBdr/>
        <w:bidi w:val="0"/>
        <w:spacing w:before="0" w:after="0"/>
        <w:ind w:left="0" w:right="0" w:hanging="900"/>
        <w:jc w:val="left"/>
        <w:rPr/>
      </w:pPr>
      <w:r>
        <w:rPr/>
        <w:t>​</w:t>
      </w:r>
    </w:p>
    <w:p>
      <w:pPr>
        <w:pStyle w:val="TextBody"/>
        <w:pBdr/>
        <w:bidi w:val="0"/>
        <w:spacing w:before="0" w:after="0"/>
        <w:ind w:left="0" w:right="0" w:hanging="900"/>
        <w:jc w:val="left"/>
        <w:rPr>
          <w:rFonts w:ascii="Times New Roman;Times;serif" w:hAnsi="Times New Roman;Times;serif"/>
          <w:b/>
          <w:sz w:val="20"/>
        </w:rPr>
      </w:pPr>
      <w:bookmarkStart w:id="154" w:name="Item14PRINCIPALACCOUNTINGFEESANDSERVICES"/>
      <w:bookmarkEnd w:id="154"/>
      <w:r>
        <w:rPr>
          <w:rFonts w:ascii="Times New Roman;Times;serif" w:hAnsi="Times New Roman;Times;serif"/>
          <w:b/>
          <w:sz w:val="20"/>
        </w:rPr>
        <w:t>Item 14. PRINCIPAL ACCOUNTING FEES AND SERVICES</w:t>
      </w:r>
    </w:p>
    <w:p>
      <w:pPr>
        <w:pStyle w:val="TextBody"/>
        <w:pBdr/>
        <w:bidi w:val="0"/>
        <w:spacing w:before="0" w:after="0"/>
        <w:ind w:left="0" w:right="0" w:hanging="90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Appointment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Appointment of Independent Registered Public Accounting Firm for 2023</w:t>
      </w:r>
      <w:r>
        <w:rPr>
          <w:rFonts w:ascii="Times New Roman;Times;serif" w:hAnsi="Times New Roman;Times;serif"/>
          <w:i/>
          <w:sz w:val="20"/>
        </w:rPr>
        <w:t xml:space="preserve">. </w:t>
      </w:r>
      <w:r>
        <w:rPr>
          <w:rFonts w:ascii="Times New Roman;Times;serif" w:hAnsi="Times New Roman;Times;serif"/>
          <w:sz w:val="20"/>
        </w:rPr>
        <w:t>KPMG LLP served as our independent registered public accounting firm for the fiscal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20"/>
        </w:rPr>
      </w:pPr>
      <w:r>
        <w:rPr>
          <w:rFonts w:ascii="Times New Roman;Times;serif" w:hAnsi="Times New Roman;Times;serif"/>
          <w:spacing w:val="-2"/>
          <w:sz w:val="20"/>
        </w:rPr>
        <w:t>DISH Network’s Board of Directors, in its discretion, may direct the appointment of a different independent registered public accounting firm at any time during the year if the Board of Directors believes that a change would be in its best interests.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Fees Paid to KPMG LLP for 2023 and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presents fees for the aggregate professional audit services rendered by KPMG LLP for the audit of our annual financial statements for the years ended December 31, 2023 and 2022, and fees billed for other services rendered by KPMG LLP to us during those periods. </w:t>
      </w:r>
    </w:p>
    <w:tbl>
      <w:tblPr>
        <w:tblW w:w="5400" w:type="dxa"/>
        <w:jc w:val="left"/>
        <w:tblInd w:w="0" w:type="dxa"/>
        <w:tblLayout w:type="fixed"/>
        <w:tblCellMar>
          <w:top w:w="0" w:type="dxa"/>
          <w:left w:w="0" w:type="dxa"/>
          <w:bottom w:w="0" w:type="dxa"/>
          <w:right w:w="0" w:type="dxa"/>
        </w:tblCellMar>
      </w:tblPr>
      <w:tblGrid>
        <w:gridCol w:w="1876"/>
        <w:gridCol w:w="326"/>
        <w:gridCol w:w="246"/>
        <w:gridCol w:w="1086"/>
        <w:gridCol w:w="380"/>
        <w:gridCol w:w="246"/>
        <w:gridCol w:w="1086"/>
        <w:gridCol w:w="154"/>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191260" cy="175260"/>
                      <wp:effectExtent l="0" t="0" r="0" b="0"/>
                      <wp:wrapNone/>
                      <wp:docPr id="113" name="Frame113"/>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6210" cy="175260"/>
                      <wp:effectExtent l="0" t="0" r="0" b="0"/>
                      <wp:wrapNone/>
                      <wp:docPr id="115" name="Frame11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89610" cy="175260"/>
                      <wp:effectExtent l="0" t="0" r="0" b="0"/>
                      <wp:wrapNone/>
                      <wp:docPr id="116" name="Frame116"/>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1300" cy="175260"/>
                      <wp:effectExtent l="0" t="0" r="0" b="0"/>
                      <wp:wrapNone/>
                      <wp:docPr id="117" name="Frame11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6210" cy="175260"/>
                      <wp:effectExtent l="0" t="0" r="0" b="0"/>
                      <wp:wrapNone/>
                      <wp:docPr id="118" name="Frame11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89610" cy="175260"/>
                      <wp:effectExtent l="0" t="0" r="0" b="0"/>
                      <wp:wrapNone/>
                      <wp:docPr id="119" name="Frame119"/>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7790" cy="175260"/>
                      <wp:effectExtent l="0" t="0" r="0" b="0"/>
                      <wp:wrapNone/>
                      <wp:docPr id="120" name="Frame1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w:t>
            </w:r>
          </w:p>
        </w:tc>
        <w:tc>
          <w:tcPr>
            <w:tcW w:w="154" w:type="dxa"/>
            <w:tcBorders/>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80" w:type="dxa"/>
            <w:tcBorders/>
            <w:vAlign w:val="center"/>
          </w:tcPr>
          <w:p>
            <w:pPr>
              <w:pStyle w:val="TableContents"/>
              <w:bidi w:val="0"/>
              <w:spacing w:before="0" w:after="0"/>
              <w:ind w:left="0" w:right="0" w:hanging="0"/>
              <w:jc w:val="left"/>
              <w:rPr/>
            </w:pPr>
            <w:r>
              <w:rPr/>
              <w:t>    </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54" w:type="dxa"/>
            <w:tcBorders/>
            <w:vAlign w:val="center"/>
          </w:tcPr>
          <w:p>
            <w:pPr>
              <w:pStyle w:val="TableContents"/>
              <w:bidi w:val="0"/>
              <w:spacing w:before="0" w:after="0"/>
              <w:ind w:left="0" w:right="0" w:hanging="0"/>
              <w:jc w:val="center"/>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 (1)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5,774,758</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742,603</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945,000</w:t>
            </w:r>
          </w:p>
        </w:tc>
        <w:tc>
          <w:tcPr>
            <w:tcW w:w="154"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Compliance Fees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452,061</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 (2)</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115,000</w:t>
            </w:r>
          </w:p>
        </w:tc>
        <w:tc>
          <w:tcPr>
            <w:tcW w:w="380"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133,161</w:t>
            </w:r>
          </w:p>
        </w:tc>
        <w:tc>
          <w:tcPr>
            <w:tcW w:w="154"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Fees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7,084,422</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5,791,356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fees paid by us for the audit of our consolidated financial statements included in our Annual Reports on Form 10-K, review of our unaudited financial statements included in our Quarterly Reports on Form 10-Q and fees in connection with the audit of our internal control over financial reporting.</w:t>
            </w:r>
          </w:p>
        </w:tc>
      </w:tr>
    </w:tbl>
    <w:tbl>
      <w:tblPr>
        <w:tblW w:w="6062" w:type="dxa"/>
        <w:jc w:val="left"/>
        <w:tblInd w:w="0" w:type="dxa"/>
        <w:tblLayout w:type="fixed"/>
        <w:tblCellMar>
          <w:top w:w="0" w:type="dxa"/>
          <w:left w:w="0" w:type="dxa"/>
          <w:bottom w:w="0" w:type="dxa"/>
          <w:right w:w="0" w:type="dxa"/>
        </w:tblCellMar>
      </w:tblPr>
      <w:tblGrid>
        <w:gridCol w:w="346"/>
        <w:gridCol w:w="57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fees for services related to review of contract compliance.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Policy on Audit Committee Pre-Approval of Audit and Permissible Non-Audit Services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Network’s Board of Directors delegated to DISH Network’s Audit Committee the responsibility for appointing, setting compensation, retaining, and overseeing the work of its independent registered public accounting firm until December 31, 2023. Effective with the closing of the merger, this responsibility was delegated to EchoStar’s Audit Committee. EchoStar’s Audit Committee has established a process regarding pre-approval of all audit and permissible non-audit services provided by the independent registered public accounting firm.</w:t>
      </w:r>
    </w:p>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Requests are submitted to the Audit Committee of EchoStar in one of the following ways:</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for approval of services at a meeting of the Audit Committee; or</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Request for approval of services by members of the Audit Committee acting by written consent.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request may be made with respect to either specific services or a type of service for predictable or recurring services. 100% of the fees paid to KPMG LLP for services rendered in 2023 and 2022 were pre-approved by DISH Network’s Audit Committee.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155" w:name="_0458dcf4_cc22_4e1b_958f_27d96685e0dc"/>
      <w:bookmarkEnd w:id="155"/>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56" w:name="PARTIV_794332"/>
      <w:bookmarkEnd w:id="156"/>
      <w:r>
        <w:rPr>
          <w:rFonts w:ascii="Times New Roman;Times;serif" w:hAnsi="Times New Roman;Times;serif"/>
          <w:b/>
          <w:sz w:val="20"/>
        </w:rPr>
        <w:t>PART IV</w:t>
      </w:r>
    </w:p>
    <w:p>
      <w:pPr>
        <w:pStyle w:val="TextBody"/>
        <w:bidi w:val="0"/>
        <w:spacing w:before="0" w:after="0"/>
        <w:ind w:left="0" w:right="0" w:hanging="0"/>
        <w:jc w:val="center"/>
        <w:rPr/>
      </w:pPr>
      <w:r>
        <w:rPr/>
        <w:t>​</w:t>
      </w:r>
    </w:p>
    <w:p>
      <w:pPr>
        <w:pStyle w:val="TextBody"/>
        <w:pBdr/>
        <w:bidi w:val="0"/>
        <w:spacing w:before="0" w:after="0"/>
        <w:ind w:left="0" w:right="0" w:hanging="900"/>
        <w:jc w:val="left"/>
        <w:rPr>
          <w:rFonts w:ascii="Times New Roman;Times;serif" w:hAnsi="Times New Roman;Times;serif"/>
          <w:b/>
          <w:sz w:val="20"/>
        </w:rPr>
      </w:pPr>
      <w:bookmarkStart w:id="157" w:name="Item15EXHIBITSFINANCIALSTATEMENTSCHEDULE"/>
      <w:bookmarkEnd w:id="157"/>
      <w:r>
        <w:rPr>
          <w:rFonts w:ascii="Times New Roman;Times;serif" w:hAnsi="Times New Roman;Times;serif"/>
          <w:b/>
          <w:sz w:val="20"/>
        </w:rPr>
        <w:t>Item 15. EXHIBITS, FINANCIAL STATEMENT SCHEDULES</w:t>
      </w:r>
    </w:p>
    <w:p>
      <w:pPr>
        <w:pStyle w:val="TextBody"/>
        <w:pBdr/>
        <w:bidi w:val="0"/>
        <w:spacing w:before="0" w:after="0"/>
        <w:ind w:left="0" w:right="0" w:hanging="900"/>
        <w:jc w:val="left"/>
        <w:rPr/>
      </w:pPr>
      <w:r>
        <w:rPr/>
        <w:t>​</w:t>
      </w:r>
    </w:p>
    <w:tbl>
      <w:tblPr>
        <w:tblW w:w="5091" w:type="dxa"/>
        <w:jc w:val="left"/>
        <w:tblInd w:w="0" w:type="dxa"/>
        <w:tblLayout w:type="fixed"/>
        <w:tblCellMar>
          <w:top w:w="0" w:type="dxa"/>
          <w:left w:w="0" w:type="dxa"/>
          <w:bottom w:w="0" w:type="dxa"/>
          <w:right w:w="0" w:type="dxa"/>
        </w:tblCellMar>
      </w:tblPr>
      <w:tblGrid>
        <w:gridCol w:w="124"/>
        <w:gridCol w:w="31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46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following documents are filed as part of this report:</w:t>
            </w:r>
          </w:p>
        </w:tc>
      </w:tr>
    </w:tbl>
    <w:p>
      <w:pPr>
        <w:pStyle w:val="TextBody"/>
        <w:pBdr/>
        <w:bidi w:val="0"/>
        <w:spacing w:before="0" w:after="0"/>
        <w:ind w:left="180" w:right="0" w:hanging="360"/>
        <w:jc w:val="left"/>
        <w:rPr/>
      </w:pPr>
      <w:r>
        <w:rPr/>
        <w:t>​</w:t>
      </w:r>
    </w:p>
    <w:tbl>
      <w:tblPr>
        <w:tblW w:w="2346" w:type="dxa"/>
        <w:jc w:val="left"/>
        <w:tblInd w:w="0" w:type="dxa"/>
        <w:tblLayout w:type="fixed"/>
        <w:tblCellMar>
          <w:top w:w="28" w:type="dxa"/>
          <w:left w:w="28" w:type="dxa"/>
          <w:bottom w:w="28" w:type="dxa"/>
          <w:right w:w="28" w:type="dxa"/>
        </w:tblCellMar>
      </w:tblPr>
      <w:tblGrid>
        <w:gridCol w:w="124"/>
        <w:gridCol w:w="331"/>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Financial Statements</w:t>
            </w:r>
          </w:p>
        </w:tc>
      </w:tr>
    </w:tbl>
    <w:tbl>
      <w:tblPr>
        <w:tblW w:w="6782" w:type="dxa"/>
        <w:jc w:val="left"/>
        <w:tblInd w:w="0" w:type="dxa"/>
        <w:tblLayout w:type="fixed"/>
        <w:tblCellMar>
          <w:top w:w="0" w:type="dxa"/>
          <w:left w:w="0" w:type="dxa"/>
          <w:bottom w:w="0" w:type="dxa"/>
          <w:right w:w="0" w:type="dxa"/>
        </w:tblCellMar>
      </w:tblPr>
      <w:tblGrid>
        <w:gridCol w:w="6181"/>
        <w:gridCol w:w="601"/>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924935" cy="175260"/>
                      <wp:effectExtent l="0" t="0" r="0" b="0"/>
                      <wp:wrapNone/>
                      <wp:docPr id="121" name="Frame121"/>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81635" cy="175260"/>
                      <wp:effectExtent l="0" t="0" r="0" b="0"/>
                      <wp:wrapNone/>
                      <wp:docPr id="122" name="Frame12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Bold" w:hAnsi="Times New Roman Bold"/>
                <w:b/>
                <w:sz w:val="16"/>
              </w:rPr>
            </w:pPr>
            <w:r>
              <w:rPr>
                <w:rFonts w:ascii="Times New Roman Bold" w:hAnsi="Times New Roman Bold"/>
                <w:b/>
                <w:sz w:val="16"/>
              </w:rPr>
              <w:t>Page</w:t>
            </w:r>
          </w:p>
        </w:tc>
      </w:tr>
      <w:tr>
        <w:trPr/>
        <w:tc>
          <w:tcPr>
            <w:tcW w:w="6181"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6181"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KPMG LLP, Independent Registered Public Accounting Firm</w:t>
              </w:r>
            </w:hyperlink>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6181" w:type="dxa"/>
            <w:tcBorders/>
            <w:vAlign w:val="center"/>
          </w:tcPr>
          <w:p>
            <w:pPr>
              <w:pStyle w:val="TableContents"/>
              <w:bidi w:val="0"/>
              <w:spacing w:before="0" w:after="0"/>
              <w:ind w:left="0" w:right="0" w:hanging="0"/>
              <w:jc w:val="left"/>
              <w:rPr/>
            </w:pPr>
            <w:hyperlink w:anchor="CONSOLIDATEDBALANCESHEETS_951354">
              <w:r>
                <w:rPr>
                  <w:rStyle w:val="InternetLink"/>
                  <w:rFonts w:ascii="Times New Roman;Times;serif" w:hAnsi="Times New Roman;Times;serif"/>
                  <w:b w:val="false"/>
                  <w:i w:val="false"/>
                  <w:caps w:val="false"/>
                  <w:smallCaps w:val="false"/>
                  <w:sz w:val="20"/>
                </w:rPr>
                <w:t xml:space="preserve">Consolidated Balance Sheets </w:t>
              </w:r>
            </w:hyperlink>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6181" w:type="dxa"/>
            <w:tcBorders/>
            <w:vAlign w:val="center"/>
          </w:tcPr>
          <w:p>
            <w:pPr>
              <w:pStyle w:val="TableContents"/>
              <w:pBdr/>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 xml:space="preserve">Consolidated Statements of Operations and Comprehensive Income (Loss) </w:t>
              </w:r>
            </w:hyperlink>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6181" w:type="dxa"/>
            <w:tcBorders/>
            <w:vAlign w:val="center"/>
          </w:tcPr>
          <w:p>
            <w:pPr>
              <w:pStyle w:val="TableContents"/>
              <w:pBdr/>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 xml:space="preserve">Consolidated Statements of Changes in Stockholder’s Equity (Deficit) </w:t>
              </w:r>
            </w:hyperlink>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6181" w:type="dxa"/>
            <w:tcBorders/>
            <w:vAlign w:val="center"/>
          </w:tcPr>
          <w:p>
            <w:pPr>
              <w:pStyle w:val="TableContents"/>
              <w:bidi w:val="0"/>
              <w:spacing w:before="0" w:after="0"/>
              <w:ind w:left="0" w:right="0" w:hanging="0"/>
              <w:jc w:val="left"/>
              <w:rPr/>
            </w:pPr>
            <w:hyperlink w:anchor="CONSOLIDATEDSTATEMENTSOFCASHFLOWS_743887">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6181" w:type="dxa"/>
            <w:tcBorders/>
            <w:vAlign w:val="center"/>
          </w:tcPr>
          <w:p>
            <w:pPr>
              <w:pStyle w:val="TableContents"/>
              <w:bidi w:val="0"/>
              <w:spacing w:before="0" w:after="0"/>
              <w:ind w:left="0" w:right="0" w:hanging="0"/>
              <w:jc w:val="left"/>
              <w:rPr/>
            </w:pPr>
            <w:hyperlink w:anchor="a1OrganizationandBusinessActivities_1393">
              <w:r>
                <w:rPr>
                  <w:rStyle w:val="InternetLink"/>
                  <w:rFonts w:ascii="Times New Roman;Times;serif" w:hAnsi="Times New Roman;Times;serif"/>
                  <w:b w:val="false"/>
                  <w:i w:val="false"/>
                  <w:caps w:val="false"/>
                  <w:smallCaps w:val="false"/>
                  <w:sz w:val="20"/>
                </w:rPr>
                <w:t>Notes to Consolidated Financial Statements</w:t>
              </w:r>
            </w:hyperlink>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tbl>
      <w:tblPr>
        <w:tblW w:w="3141" w:type="dxa"/>
        <w:jc w:val="left"/>
        <w:tblInd w:w="0" w:type="dxa"/>
        <w:tblLayout w:type="fixed"/>
        <w:tblCellMar>
          <w:top w:w="0" w:type="dxa"/>
          <w:left w:w="0" w:type="dxa"/>
          <w:bottom w:w="0" w:type="dxa"/>
          <w:right w:w="0" w:type="dxa"/>
        </w:tblCellMar>
      </w:tblPr>
      <w:tblGrid>
        <w:gridCol w:w="124"/>
        <w:gridCol w:w="331"/>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268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Financial Statement Schedules</w:t>
            </w:r>
          </w:p>
        </w:tc>
      </w:tr>
    </w:tbl>
    <w:p>
      <w:pPr>
        <w:pStyle w:val="TextBody"/>
        <w:pBdr/>
        <w:bidi w:val="0"/>
        <w:spacing w:before="0" w:after="0"/>
        <w:ind w:left="540" w:right="0" w:hanging="360"/>
        <w:jc w:val="left"/>
        <w:rPr/>
      </w:pPr>
      <w:r>
        <w:rPr/>
        <w:t>​</w:t>
      </w:r>
    </w:p>
    <w:p>
      <w:pPr>
        <w:pStyle w:val="TextBody"/>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None. All schedules have been included in the consolidated financial statements or notes thereto.</w:t>
      </w:r>
    </w:p>
    <w:p>
      <w:pPr>
        <w:pStyle w:val="TextBody"/>
        <w:bidi w:val="0"/>
        <w:spacing w:before="0" w:after="0"/>
        <w:ind w:left="900" w:right="0" w:hanging="0"/>
        <w:jc w:val="left"/>
        <w:rPr/>
      </w:pPr>
      <w:r>
        <w:rPr/>
        <w:t>​</w:t>
      </w:r>
    </w:p>
    <w:tbl>
      <w:tblPr>
        <w:tblW w:w="1281" w:type="dxa"/>
        <w:jc w:val="left"/>
        <w:tblInd w:w="0" w:type="dxa"/>
        <w:tblLayout w:type="fixed"/>
        <w:tblCellMar>
          <w:top w:w="0" w:type="dxa"/>
          <w:left w:w="0" w:type="dxa"/>
          <w:bottom w:w="0" w:type="dxa"/>
          <w:right w:w="0" w:type="dxa"/>
        </w:tblCellMar>
      </w:tblPr>
      <w:tblGrid>
        <w:gridCol w:w="124"/>
        <w:gridCol w:w="331"/>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82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Exhibits</w:t>
            </w:r>
          </w:p>
        </w:tc>
      </w:tr>
    </w:tbl>
    <w:p>
      <w:pPr>
        <w:pStyle w:val="TextBody"/>
        <w:pBdr/>
        <w:bidi w:val="0"/>
        <w:spacing w:before="0" w:after="0"/>
        <w:ind w:left="54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401"/>
        <w:gridCol w:w="32"/>
        <w:gridCol w:w="77"/>
        <w:gridCol w:w="6665"/>
        <w:gridCol w:w="2873"/>
        <w:gridCol w:w="157"/>
      </w:tblGrid>
      <w:tr>
        <w:trPr/>
        <w:tc>
          <w:tcPr>
            <w:tcW w:w="433" w:type="dxa"/>
            <w:gridSpan w:val="2"/>
            <w:tcBorders/>
            <w:vAlign w:val="center"/>
          </w:tcPr>
          <w:p>
            <w:pPr>
              <w:pStyle w:val="TableContents"/>
              <w:bidi w:val="0"/>
              <w:spacing w:before="0" w:after="0"/>
              <w:ind w:left="0" w:right="0" w:hanging="0"/>
              <w:jc w:val="left"/>
              <w:rPr/>
            </w:pPr>
            <w:r>
              <w:rPr/>
              <w:t>​</w:t>
            </w:r>
          </w:p>
        </w:tc>
        <w:tc>
          <w:tcPr>
            <w:tcW w:w="67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81170" cy="175260"/>
                      <wp:effectExtent l="0" t="0" r="0" b="0"/>
                      <wp:wrapNone/>
                      <wp:docPr id="123" name="Frame123"/>
                      <a:graphic xmlns:a="http://schemas.openxmlformats.org/drawingml/2006/main">
                        <a:graphicData uri="http://schemas.microsoft.com/office/word/2010/wordprocessingShape">
                          <wps:wsp>
                            <wps:cNvSpPr txBox="1"/>
                            <wps:spPr>
                              <a:xfrm>
                                <a:off x="0" y="0"/>
                                <a:ext cx="428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0" w:type="dxa"/>
            <w:gridSpan w:val="2"/>
            <w:tcBorders/>
            <w:vAlign w:val="center"/>
          </w:tcPr>
          <w:p>
            <w:pPr>
              <w:pStyle w:val="TableContents"/>
              <w:bidi w:val="0"/>
              <w:spacing w:before="0" w:after="0"/>
              <w:ind w:left="0" w:right="0" w:hanging="0"/>
              <w:jc w:val="left"/>
              <w:rPr/>
            </w:pPr>
            <w:r>
              <w:rPr/>
              <w:t>​</w:t>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056630" cy="175260"/>
                      <wp:effectExtent l="0" t="0" r="0" b="0"/>
                      <wp:wrapNone/>
                      <wp:docPr id="124" name="Frame124"/>
                      <a:graphic xmlns:a="http://schemas.openxmlformats.org/drawingml/2006/main">
                        <a:graphicData uri="http://schemas.microsoft.com/office/word/2010/wordprocessingShape">
                          <wps:wsp>
                            <wps:cNvSpPr txBox="1"/>
                            <wps:spPr>
                              <a:xfrm>
                                <a:off x="0" y="0"/>
                                <a:ext cx="6056630" cy="175260"/>
                              </a:xfrm>
                              <a:prstGeom prst="rect"/>
                              <a:solidFill>
                                <a:srgbClr val="FFFFFF"/>
                              </a:solidFill>
                            </wps:spPr>
                            <wps:txbx>
                              <w:txbxContent>
                                <w:p>
                                  <w:pPr>
                                    <w:pStyle w:val="TableContents"/>
                                    <w:bidi w:val="0"/>
                                    <w:spacing w:lineRule="auto" w:line="3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0" w:before="0" w:after="0"/>
                              <w:ind w:left="0" w:right="0" w:hanging="0"/>
                              <w:jc w:val="left"/>
                              <w:rPr/>
                            </w:pPr>
                            <w:r>
                              <w:rPr/>
                              <w:t>​</w:t>
                            </w:r>
                          </w:p>
                        </w:txbxContent>
                      </v:textbox>
                      <w10:wrap type="none"/>
                    </v:rect>
                  </w:pict>
                </mc:Fallback>
              </mc:AlternateConten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2">
              <w:r>
                <w:rPr>
                  <w:rStyle w:val="InternetLink"/>
                  <w:rFonts w:ascii="Times New Roman;Times;serif" w:hAnsi="Times New Roman;Times;serif"/>
                  <w:b w:val="false"/>
                  <w:i w:val="false"/>
                  <w:caps w:val="false"/>
                  <w:smallCaps w:val="false"/>
                  <w:sz w:val="24"/>
                </w:rPr>
                <w:t>Asset Purchase Agreement, dated as of July 26, 2019, by and among T-Mobile US, Inc., Sprint Corporation and DISH Network Corporation (incorporated by reference from Exhibit 2.2 to the Quarterly Report on Form 10-Q of DISH Network Corporation filed July 29, 2019).</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3">
              <w:r>
                <w:rPr>
                  <w:rStyle w:val="InternetLink"/>
                  <w:rFonts w:ascii="Times New Roman;Times;serif" w:hAnsi="Times New Roman;Times;serif"/>
                  <w:b w:val="false"/>
                  <w:i w:val="false"/>
                  <w:caps w:val="false"/>
                  <w:smallCaps w:val="false"/>
                  <w:sz w:val="24"/>
                </w:rPr>
                <w:t>First Amendment to the Asset Purchase Agreement, dated June 17, 2020, by and between DISH Network and NTM (incorporated by reference from Exhibit 99.1 of the Current Report on Form 8-K of DISH Network Corporation filed June 17, 2020).</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109" w:type="dxa"/>
            <w:gridSpan w:val="2"/>
            <w:tcBorders/>
            <w:vAlign w:val="center"/>
          </w:tcPr>
          <w:p>
            <w:pPr>
              <w:pStyle w:val="TableContents"/>
              <w:pBdr/>
              <w:bidi w:val="0"/>
              <w:spacing w:lineRule="auto" w:line="300" w:before="0" w:after="0"/>
              <w:ind w:left="0" w:right="0" w:hanging="0"/>
              <w:jc w:val="center"/>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4">
              <w:r>
                <w:rPr>
                  <w:rStyle w:val="InternetLink"/>
                  <w:rFonts w:ascii="Times New Roman;Times;serif" w:hAnsi="Times New Roman;Times;serif"/>
                  <w:b w:val="false"/>
                  <w:i w:val="false"/>
                  <w:caps w:val="false"/>
                  <w:smallCaps w:val="false"/>
                  <w:sz w:val="24"/>
                </w:rPr>
                <w:t>Amended and Restated Agreement and Plan of Merger, dated as of October 2, 2023, by and among EchoStar Corporation, DISH Network Corporation and EAV Corp. (incorporated by reference from Exhibit 2.1 to EchoStar’s Current Report on Form 8-K filed on October 3, 2023).*</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center"/>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gridSpan w:val="2"/>
            <w:tcBorders/>
            <w:vAlign w:val="center"/>
          </w:tcPr>
          <w:p>
            <w:pPr>
              <w:pStyle w:val="TableContents"/>
              <w:bidi w:val="0"/>
              <w:spacing w:lineRule="auto" w:line="300" w:before="0" w:after="0"/>
              <w:ind w:left="0" w:right="0" w:hanging="0"/>
              <w:jc w:val="center"/>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5">
              <w:r>
                <w:rPr>
                  <w:rStyle w:val="InternetLink"/>
                  <w:rFonts w:ascii="Times New Roman;Times;serif" w:hAnsi="Times New Roman;Times;serif"/>
                  <w:b w:val="false"/>
                  <w:i w:val="false"/>
                  <w:caps w:val="false"/>
                  <w:smallCaps w:val="false"/>
                  <w:sz w:val="24"/>
                </w:rPr>
                <w:t xml:space="preserve">Amended and Restated Articles of Incorporation of DISH Network Corporation (incorporated by reference from Exhibit 3.1 to DISH Network’s Current Report on Form 8-K filed on January 2, 2024). </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center"/>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6">
              <w:r>
                <w:rPr>
                  <w:rStyle w:val="InternetLink"/>
                  <w:rFonts w:ascii="Times New Roman;Times;serif" w:hAnsi="Times New Roman;Times;serif"/>
                  <w:b w:val="false"/>
                  <w:i w:val="false"/>
                  <w:caps w:val="false"/>
                  <w:smallCaps w:val="false"/>
                  <w:sz w:val="24"/>
                </w:rPr>
                <w:t>Amended and Restated Bylaws of DISH Network Corporation (incorporated by reference from Exhibit 3.2 to DISH Network’s Current Report on Form 8-K filed on January 2, 2024).</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7">
              <w:r>
                <w:rPr>
                  <w:rStyle w:val="InternetLink"/>
                  <w:rFonts w:ascii="Times New Roman;Times;serif" w:hAnsi="Times New Roman;Times;serif"/>
                  <w:b w:val="false"/>
                  <w:i w:val="false"/>
                  <w:caps w:val="false"/>
                  <w:smallCaps w:val="false"/>
                  <w:sz w:val="24"/>
                </w:rPr>
                <w:t>Indenture, relating to the 5 7/8% Senior Notes due 2024, dated as of November 20, 2014 among DISH DBS Corporation, the guarantors named on the signature pages thereto and U.S. Bank National Association, as Trustee (incorporated by reference from Exhibit 4.1 to the Current Report on Form 8-K of DISH Network Corporation filed November 21, 2014).</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8">
              <w:r>
                <w:rPr>
                  <w:rStyle w:val="InternetLink"/>
                  <w:rFonts w:ascii="Times New Roman;Times;serif" w:hAnsi="Times New Roman;Times;serif"/>
                  <w:b w:val="false"/>
                  <w:i w:val="false"/>
                  <w:caps w:val="false"/>
                  <w:smallCaps w:val="false"/>
                  <w:sz w:val="24"/>
                </w:rPr>
                <w:t>Indenture, relating to the 7 3/4% Senior Notes due 2026, dated as of June 13, 2016, among DISH DBS Corporation, the guarantors named on the signature pages thereto and U.S. Bank National Association, as Trustee (incorporated by reference from Exhibit 4.1 to the Current Report on Form 8-K of DISH Network Corporation filed June 13, 2016).</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hyperlink r:id="rId9">
              <w:r>
                <w:rPr>
                  <w:rStyle w:val="InternetLink"/>
                  <w:rFonts w:ascii="Times New Roman;Times;serif" w:hAnsi="Times New Roman;Times;serif"/>
                  <w:b w:val="false"/>
                  <w:i w:val="false"/>
                  <w:caps w:val="false"/>
                  <w:smallCaps w:val="false"/>
                  <w:sz w:val="24"/>
                </w:rPr>
                <w:t>Indenture, relating to the 3 3/8% Convertible Notes due 2026, dated as of August 8, 2016, by and between DISH Network Corporation and U.S. Bank National Association, as Trustee (incorporated by reference from Exhibit 4.1 to the Current Report on Form 8-K of DISH Network Corporation filed August 8, 2016).</w:t>
              </w:r>
            </w:hyperlink>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pBdr/>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538" w:type="dxa"/>
            <w:gridSpan w:val="2"/>
            <w:tcBorders/>
            <w:vAlign w:val="center"/>
          </w:tcPr>
          <w:p>
            <w:pPr>
              <w:pStyle w:val="TableContents"/>
              <w:bidi w:val="0"/>
              <w:spacing w:lineRule="auto" w:line="300"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2"/>
        <w:gridCol w:w="109"/>
        <w:gridCol w:w="9594"/>
      </w:tblGrid>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0">
              <w:r>
                <w:rPr>
                  <w:rStyle w:val="InternetLink"/>
                  <w:rFonts w:ascii="Times New Roman;Times;serif" w:hAnsi="Times New Roman;Times;serif"/>
                  <w:b w:val="false"/>
                  <w:i w:val="false"/>
                  <w:caps w:val="false"/>
                  <w:smallCaps w:val="false"/>
                  <w:sz w:val="24"/>
                </w:rPr>
                <w:t>Indenture, relating to the 2 3/8% Convertible Notes due 2024, dated as of March 17, 2017, by and between DISH Network Corporation and U.S. Bank National Association, as Trustee (incorporated by reference from Exhibit 4.1 to the Current Report on Form 8 K of DISH Network Corporation filed March 20, 2017).</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1">
              <w:r>
                <w:rPr>
                  <w:rStyle w:val="InternetLink"/>
                  <w:rFonts w:ascii="Times New Roman;Times;serif" w:hAnsi="Times New Roman;Times;serif"/>
                  <w:b w:val="false"/>
                  <w:i w:val="false"/>
                  <w:caps w:val="false"/>
                  <w:smallCaps w:val="false"/>
                  <w:sz w:val="24"/>
                </w:rPr>
                <w:t>Supplemental Indenture relating to the 5 7/8% Senior Notes due 2024 (incorporated by reference from Exhibit 4.15 to the Annual Report on Form 10-K of DISH DBS Corporation filed March 29, 2018).</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2">
              <w:r>
                <w:rPr>
                  <w:rStyle w:val="InternetLink"/>
                  <w:rFonts w:ascii="Times New Roman;Times;serif" w:hAnsi="Times New Roman;Times;serif"/>
                  <w:b w:val="false"/>
                  <w:i w:val="false"/>
                  <w:caps w:val="false"/>
                  <w:smallCaps w:val="false"/>
                  <w:sz w:val="24"/>
                </w:rPr>
                <w:t>Supplemental Indenture relating to the 7 3/4% Senior Notes due 2026 (incorporated by reference from Exhibit 4.16 to the Annual Report on Form 10-K of DISH DBS Corporation filed March 29, 2018).</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3">
              <w:r>
                <w:rPr>
                  <w:rStyle w:val="InternetLink"/>
                  <w:rFonts w:ascii="Times New Roman;Times;serif" w:hAnsi="Times New Roman;Times;serif"/>
                  <w:b w:val="false"/>
                  <w:i w:val="false"/>
                  <w:caps w:val="false"/>
                  <w:smallCaps w:val="false"/>
                  <w:sz w:val="24"/>
                </w:rPr>
                <w:t>Indenture, relating to the 7 3/8% Senior Notes due 2028, dated as of July 1, 2020, among DISH DBS Corporation, the guarantors named on the signature pages thereto and U.S. Bank National Association, as Trustee (incorporated by reference from Exhibit 4.1 to the Current Report on Form 8-K of DISH Network Corporation filed July 1, 2020).</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4">
              <w:r>
                <w:rPr>
                  <w:rStyle w:val="InternetLink"/>
                  <w:rFonts w:ascii="Times New Roman;Times;serif" w:hAnsi="Times New Roman;Times;serif"/>
                  <w:b w:val="false"/>
                  <w:i w:val="false"/>
                  <w:caps w:val="false"/>
                  <w:smallCaps w:val="false"/>
                  <w:sz w:val="20"/>
                </w:rPr>
                <w:t>Indenture, relating to the 0% Convertible Notes due 2025, dated as of December 21, 2020, by and between DISH Network Corporation and U.S. Bank National Association, as Trustee (incorporated by reference from Exhibit 4.1 to the Current Report on Form 8-K of DISH Network Corporation filed December 22, 2020).</w:t>
              </w:r>
            </w:hyperlink>
            <w:r>
              <w:rPr>
                <w:rFonts w:ascii="Times New Roman;Times;serif" w:hAnsi="Times New Roman;Times;serif"/>
                <w:sz w:val="20"/>
              </w:rPr>
              <w:t xml:space="preserve"> </w:t>
            </w:r>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5">
              <w:r>
                <w:rPr>
                  <w:rStyle w:val="InternetLink"/>
                  <w:rFonts w:ascii="Times New Roman;Times;serif" w:hAnsi="Times New Roman;Times;serif"/>
                  <w:b w:val="false"/>
                  <w:i w:val="false"/>
                  <w:caps w:val="false"/>
                  <w:smallCaps w:val="false"/>
                  <w:sz w:val="24"/>
                </w:rPr>
                <w:t>First Supplemental Indenture, relating to the DISH 3.375% Convertible Notes due 2026, dated as of December 29, 2023, among DISH Network Corporation, EchoStar Corporation and U.S. Bank Trust Company, National Association (as successor to U.S. Bank National Association), as Trustee (incorporated by reference from Exhibit 4.2 to the Current Report on Form 8-K of EchoStar Corporation filed January 2, 2024).</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6">
              <w:r>
                <w:rPr>
                  <w:rStyle w:val="InternetLink"/>
                  <w:rFonts w:ascii="Times New Roman;Times;serif" w:hAnsi="Times New Roman;Times;serif"/>
                  <w:b w:val="false"/>
                  <w:i w:val="false"/>
                  <w:caps w:val="false"/>
                  <w:smallCaps w:val="false"/>
                  <w:sz w:val="24"/>
                </w:rPr>
                <w:t>First Supplemental Indenture, relating to the DISH 2.375% Convertible Notes due 2024, dated as of December 29, 2023, among DISH Network Corporation, EchoStar Corporation and U.S. Bank Trust Company, National Association (as successor to U.S. Bank National Association), as Trustee (incorporated by reference from Exhibit 4.4 to the Current Report on Form 8-K of EchoStar Corporation filed January 2, 2024).</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7">
              <w:r>
                <w:rPr>
                  <w:rStyle w:val="InternetLink"/>
                  <w:rFonts w:ascii="Times New Roman;Times;serif" w:hAnsi="Times New Roman;Times;serif"/>
                  <w:b w:val="false"/>
                  <w:i w:val="false"/>
                  <w:caps w:val="false"/>
                  <w:smallCaps w:val="false"/>
                  <w:sz w:val="24"/>
                </w:rPr>
                <w:t>First Supplemental Indenture, relating to the DISH 0% Convertible Notes due 2025, dated as of December 29, 2023, among DISH Network Corporation, EchoStar Corporation and U.S. Bank Trust Company, National Association (as successor to U.S. Bank National Association), as Trustee (incorporated by reference from Exhibit 4.6 to the Current Report on Form 8-K of EchoStar Corporation filed January 2, 2024).</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8">
              <w:r>
                <w:rPr>
                  <w:rStyle w:val="InternetLink"/>
                  <w:rFonts w:ascii="Times New Roman;Times;serif" w:hAnsi="Times New Roman;Times;serif"/>
                  <w:b w:val="false"/>
                  <w:i w:val="false"/>
                  <w:caps w:val="false"/>
                  <w:smallCaps w:val="false"/>
                  <w:sz w:val="24"/>
                </w:rPr>
                <w:t>Indenture, relating to the 5 1/8% Senior Notes due 2029, dated as of May 24, 2021 among DISH DBS Corporation, the guarantors named on the signature pages thereto and U.S. Bank, National Association, as Trustee (incorporated by reference from Exhibit 4.1 to the Current Report on Form 8-K of DISH Network Corporation filed May 24, 2021).</w:t>
              </w:r>
            </w:hyperlink>
          </w:p>
        </w:tc>
      </w:tr>
      <w:tr>
        <w:trPr/>
        <w:tc>
          <w:tcPr>
            <w:tcW w:w="502"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19">
              <w:r>
                <w:rPr>
                  <w:rStyle w:val="InternetLink"/>
                  <w:rFonts w:ascii="Times New Roman;Times;serif" w:hAnsi="Times New Roman;Times;serif"/>
                  <w:b w:val="false"/>
                  <w:i w:val="false"/>
                  <w:caps w:val="false"/>
                  <w:smallCaps w:val="false"/>
                  <w:sz w:val="20"/>
                </w:rPr>
                <w:t>Indenture, relating to the 5 1/4% Senior Secured Notes due 2026 and the 5 3/4% Senior Secured Notes due 2028, dated as of November 26, 2021, among DISH DBS Corporation, the guarantors named on the signature pages thereto and U.S. Bank National Association, as Trustee and Collateral Agent (incorporated by reference from Exhibit 4.1 to the Current Report on Form 8-K of DISH Network Corporation filed November 26, 2021).</w:t>
              </w:r>
            </w:hyperlink>
            <w:r>
              <w:rPr>
                <w:rFonts w:ascii="Times New Roman;Times;serif" w:hAnsi="Times New Roman;Times;serif"/>
                <w:sz w:val="20"/>
              </w:rPr>
              <w:t> </w:t>
            </w:r>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r>
        <w:trPr/>
        <w:tc>
          <w:tcPr>
            <w:tcW w:w="502"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hyperlink r:id="rId20">
              <w:r>
                <w:rPr>
                  <w:rStyle w:val="InternetLink"/>
                  <w:rFonts w:ascii="Times New Roman;Times;serif" w:hAnsi="Times New Roman;Times;serif"/>
                  <w:b w:val="false"/>
                  <w:i w:val="false"/>
                  <w:caps w:val="false"/>
                  <w:smallCaps w:val="false"/>
                  <w:sz w:val="24"/>
                </w:rPr>
                <w:t>Security Agreement, dated as of November 26, 2021, among DISH DBS Corporation, the guarantors named on the signature pages thereto and U.S. Bank National Association, as Collateral Agent (incorporated by reference from Exhibit 4.2 to the Current Report on Form 8-K of DISH Network Corporation filed November 26, 2021).</w:t>
              </w:r>
            </w:hyperlink>
          </w:p>
        </w:tc>
      </w:tr>
      <w:tr>
        <w:trPr/>
        <w:tc>
          <w:tcPr>
            <w:tcW w:w="502"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594" w:type="dxa"/>
            <w:tcBorders/>
            <w:vAlign w:val="center"/>
          </w:tcPr>
          <w:p>
            <w:pPr>
              <w:pStyle w:val="TableContents"/>
              <w:bidi w:val="0"/>
              <w:spacing w:lineRule="auto" w:line="300"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1"/>
        <w:gridCol w:w="109"/>
        <w:gridCol w:w="9485"/>
      </w:tblGrid>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4.15*</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1">
              <w:r>
                <w:rPr>
                  <w:rStyle w:val="InternetLink"/>
                  <w:rFonts w:ascii="Times New Roman;Times;serif" w:hAnsi="Times New Roman;Times;serif"/>
                  <w:b w:val="false"/>
                  <w:i w:val="false"/>
                  <w:caps w:val="false"/>
                  <w:smallCaps w:val="false"/>
                  <w:sz w:val="24"/>
                </w:rPr>
                <w:t>Loan and Security Agreement, dated as of November 26, 2021, between DISH DBS Corporation and DISH Network Corporation (incorporated by reference from Exhibit 4.3 to the Current Report on Form 8-K of DISH Network Corporation filed November 26, 2021).</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2">
              <w:r>
                <w:rPr>
                  <w:rStyle w:val="InternetLink"/>
                  <w:rFonts w:ascii="Times New Roman;Times;serif" w:hAnsi="Times New Roman;Times;serif"/>
                  <w:b w:val="false"/>
                  <w:i w:val="false"/>
                  <w:caps w:val="false"/>
                  <w:smallCaps w:val="false"/>
                  <w:sz w:val="20"/>
                </w:rPr>
                <w:t>Secured Indenture, relating to the 11.75% Senior Secured Notes due 2027, dated as of November 15, 2022, among DISH Network Corporation, the guarantors named on the signature pages thereto and U.S. Bank Trust Company, National Association, as trustee and collateral agent (incorporated by reference from Exhibit 4.1 to the Current Report on Form 8-K of DISH Network Corporation filed January 26, 2023).</w:t>
              </w:r>
            </w:hyperlink>
            <w:r>
              <w:rPr>
                <w:rFonts w:ascii="Times New Roman;Times;serif" w:hAnsi="Times New Roman;Times;serif"/>
                <w:sz w:val="20"/>
              </w:rPr>
              <w:t xml:space="preserve"> </w:t>
            </w:r>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3">
              <w:r>
                <w:rPr>
                  <w:rStyle w:val="InternetLink"/>
                  <w:rFonts w:ascii="Times New Roman;Times;serif" w:hAnsi="Times New Roman;Times;serif"/>
                  <w:b w:val="false"/>
                  <w:i w:val="false"/>
                  <w:caps w:val="false"/>
                  <w:smallCaps w:val="false"/>
                  <w:sz w:val="24"/>
                </w:rPr>
                <w:t>Security Agreement, dated as of November 15, 2022, among the secured guarantors named on the signature pages thereto and U.S. Bank Trust Company, National Association, as collateral agent (incorporated by reference from Exhibit 4.2 to the Current Report on Form 8-K of DISH Network Corporation filed November 15, 2022).</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4">
              <w:r>
                <w:rPr>
                  <w:rStyle w:val="InternetLink"/>
                  <w:rFonts w:ascii="Times New Roman;Times;serif" w:hAnsi="Times New Roman;Times;serif"/>
                  <w:b w:val="false"/>
                  <w:i w:val="false"/>
                  <w:caps w:val="false"/>
                  <w:smallCaps w:val="false"/>
                  <w:sz w:val="24"/>
                </w:rPr>
                <w:t>2002 Class B CEO Stock Option Plan (incorporated by reference from Appendix A to DISH Network Corporation’s Definitive Proxy Statement on Schedule 14A dated April 9, 2002). **</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5">
              <w:r>
                <w:rPr>
                  <w:rStyle w:val="InternetLink"/>
                  <w:rFonts w:ascii="Times New Roman;Times;serif" w:hAnsi="Times New Roman;Times;serif"/>
                  <w:b w:val="false"/>
                  <w:i w:val="false"/>
                  <w:caps w:val="false"/>
                  <w:smallCaps w:val="false"/>
                  <w:sz w:val="24"/>
                  <w:shd w:fill="FFFFFF" w:val="clear"/>
                </w:rPr>
                <w:t>Nonemployee Director Stock Option Agreement (incorporated by reference to Exhibit 99.6 to the Current Report on Form 8-K of DISH Network Corporation filed July 7, 2005). **</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6">
              <w:r>
                <w:rPr>
                  <w:rStyle w:val="InternetLink"/>
                  <w:rFonts w:ascii="Times New Roman;Times;serif" w:hAnsi="Times New Roman;Times;serif"/>
                  <w:b w:val="false"/>
                  <w:i w:val="false"/>
                  <w:caps w:val="false"/>
                  <w:smallCaps w:val="false"/>
                  <w:sz w:val="24"/>
                  <w:shd w:fill="FFFFFF" w:val="clear"/>
                </w:rPr>
                <w:t>DISH Network Corporation 2009 Stock Incentive Plan (incorporated by reference to Appendix A to DISH Network Corporation’s Definitive Proxy Statement on Form 14A filed September 19, 2014). **</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7">
              <w:r>
                <w:rPr>
                  <w:rStyle w:val="InternetLink"/>
                  <w:rFonts w:ascii="Times New Roman;Times;serif" w:hAnsi="Times New Roman;Times;serif"/>
                  <w:b w:val="false"/>
                  <w:i w:val="false"/>
                  <w:caps w:val="false"/>
                  <w:smallCaps w:val="false"/>
                  <w:sz w:val="24"/>
                  <w:shd w:fill="FFFFFF" w:val="clear"/>
                </w:rPr>
                <w:t>Amended and Restated DISH Network Corporation 2001 Nonemployee Director Stock Option Plan (incorporated by reference to Appendix B to DISH Network Corporation’s Definitive Proxy Statement on Form 14A filed March 31, 2009). **</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28">
              <w:r>
                <w:rPr>
                  <w:rStyle w:val="InternetLink"/>
                  <w:rFonts w:ascii="Times New Roman;Times;serif" w:hAnsi="Times New Roman;Times;serif"/>
                  <w:b w:val="false"/>
                  <w:i w:val="false"/>
                  <w:caps w:val="false"/>
                  <w:smallCaps w:val="false"/>
                  <w:sz w:val="24"/>
                  <w:shd w:fill="FFFFFF" w:val="clear"/>
                </w:rPr>
                <w:t>Amended and Restated DISH Network Corporation 1999 Stock Incentive Plan (incorporated by reference to Appendix C to DISH Network Corporation’s Definitive Proxy Statement on Form 14A filed March 31, 2009). **</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4" w:before="0" w:after="0"/>
              <w:ind w:left="0" w:right="0" w:hanging="0"/>
              <w:jc w:val="left"/>
              <w:rPr/>
            </w:pPr>
            <w:hyperlink r:id="rId29">
              <w:r>
                <w:rPr>
                  <w:rStyle w:val="InternetLink"/>
                  <w:rFonts w:ascii="Times New Roman;Times;serif" w:hAnsi="Times New Roman;Times;serif"/>
                  <w:b w:val="false"/>
                  <w:i w:val="false"/>
                  <w:caps w:val="false"/>
                  <w:smallCaps w:val="false"/>
                  <w:sz w:val="24"/>
                </w:rPr>
                <w:t>Guaranty of Certain Obligations to FCC, dated as of October 1, 2015, made by DISH Network Corporation in favor of the Federal Communications Commission (Northstar Wireless) (incorporated by reference from Exhibit 10.2 to the Current Report on Form 8-K of DISH Network Corporation filed October 2, 2015).</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4"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30">
              <w:r>
                <w:rPr>
                  <w:rStyle w:val="InternetLink"/>
                  <w:rFonts w:ascii="Times New Roman;Times;serif" w:hAnsi="Times New Roman;Times;serif"/>
                  <w:b w:val="false"/>
                  <w:i w:val="false"/>
                  <w:caps w:val="false"/>
                  <w:smallCaps w:val="false"/>
                  <w:sz w:val="24"/>
                  <w:shd w:fill="FFFFFF" w:val="clear"/>
                </w:rPr>
                <w:t>Guaranty of Certain Obligations to FCC, dated as of October 1, 2015, made by DISH Network Corporation in favor of the Federal Communications Commission (SNR Wireless) (incorporated by reference from Exhibit 10.4 to the Current Report on Form 8-K of DISH Network Corporation filed October 2, 2015).</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31">
              <w:r>
                <w:rPr>
                  <w:rStyle w:val="InternetLink"/>
                  <w:rFonts w:ascii="Times New Roman;Times;serif" w:hAnsi="Times New Roman;Times;serif"/>
                  <w:b w:val="false"/>
                  <w:i w:val="false"/>
                  <w:caps w:val="false"/>
                  <w:smallCaps w:val="false"/>
                  <w:sz w:val="24"/>
                </w:rPr>
                <w:t>Form of Base/Additional Note Hedge Transaction Confirmation (incorporated by reference from Exhibit 10.1 to the Current Report on Form 8-K of DISH Network Corporation filed August 8, 2016).</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32">
              <w:r>
                <w:rPr>
                  <w:rStyle w:val="InternetLink"/>
                  <w:rFonts w:ascii="Times New Roman;Times;serif" w:hAnsi="Times New Roman;Times;serif"/>
                  <w:b w:val="false"/>
                  <w:i w:val="false"/>
                  <w:caps w:val="false"/>
                  <w:smallCaps w:val="false"/>
                  <w:sz w:val="24"/>
                </w:rPr>
                <w:t>Form of Base/Additional Warrant Transaction Confirmation (incorporated by reference from Exhibit 10.2 to the Current Report on Form 8-K of DISH Network Corporation filed August 8, 2016).</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33">
              <w:r>
                <w:rPr>
                  <w:rStyle w:val="InternetLink"/>
                  <w:rFonts w:ascii="Times New Roman;Times;serif" w:hAnsi="Times New Roman;Times;serif"/>
                  <w:b w:val="false"/>
                  <w:i w:val="false"/>
                  <w:caps w:val="false"/>
                  <w:smallCaps w:val="false"/>
                  <w:sz w:val="24"/>
                  <w:shd w:fill="FFFFFF" w:val="clear"/>
                </w:rPr>
                <w:t>Description of the 2017 Long-Term Incentive Plan dated December 2, 2016 (incorporated by reference from the Current Report on Form 8-K of DISH Network Corporation filed December 8, 2016). **</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hyperlink r:id="rId34">
              <w:r>
                <w:rPr>
                  <w:rStyle w:val="InternetLink"/>
                  <w:rFonts w:ascii="Times New Roman;Times;serif" w:hAnsi="Times New Roman;Times;serif"/>
                  <w:b w:val="false"/>
                  <w:i w:val="false"/>
                  <w:caps w:val="false"/>
                  <w:smallCaps w:val="false"/>
                  <w:sz w:val="24"/>
                </w:rPr>
                <w:t>Description of the 2019 Long-Term Incentive Plan dated August 17, 2018 (incorporated by reference from the Current Report on Form 8-K of DISH Network Corporation filed August 23, 2018). **</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485" w:type="dxa"/>
            <w:tcBorders/>
            <w:vAlign w:val="center"/>
          </w:tcPr>
          <w:p>
            <w:pPr>
              <w:pStyle w:val="TableContents"/>
              <w:bidi w:val="0"/>
              <w:spacing w:lineRule="auto" w:line="300"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1"/>
        <w:gridCol w:w="54"/>
        <w:gridCol w:w="55"/>
        <w:gridCol w:w="1168"/>
        <w:gridCol w:w="1077"/>
        <w:gridCol w:w="7240"/>
      </w:tblGrid>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35">
              <w:r>
                <w:rPr>
                  <w:rStyle w:val="InternetLink"/>
                  <w:rFonts w:ascii="Times New Roman;Times;serif" w:hAnsi="Times New Roman;Times;serif"/>
                  <w:b w:val="false"/>
                  <w:i w:val="false"/>
                  <w:caps w:val="false"/>
                  <w:smallCaps w:val="false"/>
                  <w:sz w:val="24"/>
                </w:rPr>
                <w:t>Incentive Stock Option Agreement (incorporated by reference from Exhibit 10.1 to the Quarterly Report on Form 10-Q of DISH Network Corporation filed November 6, 2020). **</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36">
              <w:r>
                <w:rPr>
                  <w:rStyle w:val="InternetLink"/>
                  <w:rFonts w:ascii="Times New Roman;Times;serif" w:hAnsi="Times New Roman;Times;serif"/>
                  <w:b w:val="false"/>
                  <w:i w:val="false"/>
                  <w:caps w:val="false"/>
                  <w:smallCaps w:val="false"/>
                  <w:sz w:val="24"/>
                </w:rPr>
                <w:t>Non-Qualified Stock Option Agreement (incorporated by reference from Exhibit 10.2 to the Quarterly Report on Form 10-Q of DISH Network Corporation filed November 6, 2020). **</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37">
              <w:r>
                <w:rPr>
                  <w:rStyle w:val="InternetLink"/>
                  <w:rFonts w:ascii="Times New Roman;Times;serif" w:hAnsi="Times New Roman;Times;serif"/>
                  <w:b w:val="false"/>
                  <w:i w:val="false"/>
                  <w:caps w:val="false"/>
                  <w:smallCaps w:val="false"/>
                  <w:sz w:val="24"/>
                </w:rPr>
                <w:t>Restricted Stock Unit Agreement (incorporated by reference from Exhibit 10.3 to the Quarterly Report on Form 10-Q of DISH Network Corporation filed November 6, 2020). **</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38">
              <w:r>
                <w:rPr>
                  <w:rStyle w:val="InternetLink"/>
                  <w:rFonts w:ascii="Times New Roman;Times;serif" w:hAnsi="Times New Roman;Times;serif"/>
                  <w:b w:val="false"/>
                  <w:i w:val="false"/>
                  <w:caps w:val="false"/>
                  <w:smallCaps w:val="false"/>
                  <w:sz w:val="24"/>
                </w:rPr>
                <w:t>Master Network Service Agreement, dated as of July 1, 2020, by and among DISH Network Corporation, DISH Purchasing Corporation, and T-Mobile USA, Inc. (incorporated by reference from Exhibit 10.4 to the Quarterly Report on Form 10-Q of DISH Network Corporation filed November 6, 2020).</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39">
              <w:r>
                <w:rPr>
                  <w:rStyle w:val="InternetLink"/>
                  <w:rFonts w:ascii="Times New Roman;Times;serif" w:hAnsi="Times New Roman;Times;serif"/>
                  <w:b w:val="false"/>
                  <w:i w:val="false"/>
                  <w:caps w:val="false"/>
                  <w:smallCaps w:val="false"/>
                  <w:sz w:val="24"/>
                </w:rPr>
                <w:t>License Purchase Agreement, dated as of July 1, 2020, by and among DISH Network Corporation and T-Mobile USA, Inc. (incorporated by reference from Exhibit 10.5 to the Quarterly Report on Form 10-Q of DISH Network Corporation filed November 6, 2020).</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40">
              <w:r>
                <w:rPr>
                  <w:rStyle w:val="InternetLink"/>
                  <w:rFonts w:ascii="Times New Roman;Times;serif" w:hAnsi="Times New Roman;Times;serif"/>
                  <w:b w:val="false"/>
                  <w:i w:val="false"/>
                  <w:caps w:val="false"/>
                  <w:smallCaps w:val="false"/>
                  <w:sz w:val="24"/>
                </w:rPr>
                <w:t>Network Services Agreement, dated as of July 14, 2021, by and among DISH Wireless L.L.C. and AT&amp;T Mobility LLC (incorporated by reference from Exhibit 10.1 to the Quarterly Report on Form 10-Q of DISH Network Corporation filed November 4, 2021).***</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10.18*</w:t>
            </w:r>
          </w:p>
        </w:tc>
        <w:tc>
          <w:tcPr>
            <w:tcW w:w="109" w:type="dxa"/>
            <w:gridSpan w:val="2"/>
            <w:tcBorders/>
            <w:vAlign w:val="center"/>
          </w:tcPr>
          <w:p>
            <w:pPr>
              <w:pStyle w:val="TableContents"/>
              <w:pBdr/>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fldChar w:fldCharType="begin"/>
            </w:r>
            <w:r>
              <w:rPr>
                <w:rStyle w:val="InternetLink"/>
                <w:smallCaps w:val="false"/>
                <w:caps w:val="false"/>
                <w:sz w:val="24"/>
                <w:i w:val="false"/>
                <w:b w:val="false"/>
                <w:rFonts w:ascii="Times New Roman;Times;serif" w:hAnsi="Times New Roman;Times;serif"/>
              </w:rPr>
              <w:instrText xml:space="preserve"> HYPERLINK "https://www.sec.gov/Archives/edgar/data/1415404/000110465923106157/tm2327406-1_s4.htm" \l "tANXB"</w:instrText>
            </w:r>
            <w:r>
              <w:rPr>
                <w:rStyle w:val="InternetLink"/>
                <w:smallCaps w:val="false"/>
                <w:caps w:val="false"/>
                <w:sz w:val="24"/>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4"/>
              </w:rPr>
              <w:t>Amended and Restated Support Agreement, dated as of October 2, 2023, by and among DISH Network, EchoStar and the Ergen Stockholders (attached to the prospectus which forms a part of this registration statement as Annex B) (incorporated by reference from Exhibit 10.1 to the Amendment No. 1 on Form S-4 of EchoStar filed on November 6, 2023).</w:t>
            </w:r>
            <w:r>
              <w:rPr>
                <w:rStyle w:val="InternetLink"/>
                <w:smallCaps w:val="false"/>
                <w:caps w:val="false"/>
                <w:sz w:val="24"/>
                <w:i w:val="false"/>
                <w:b w:val="false"/>
                <w:rFonts w:ascii="Times New Roman;Times;serif" w:hAnsi="Times New Roman;Times;serif"/>
              </w:rPr>
              <w:fldChar w:fldCharType="end"/>
            </w:r>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center"/>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41">
              <w:r>
                <w:rPr>
                  <w:rStyle w:val="InternetLink"/>
                  <w:rFonts w:ascii="Times New Roman;Times;serif" w:hAnsi="Times New Roman;Times;serif"/>
                  <w:b w:val="false"/>
                  <w:i w:val="false"/>
                  <w:caps w:val="false"/>
                  <w:smallCaps w:val="false"/>
                  <w:sz w:val="24"/>
                </w:rPr>
                <w:t>Form of Warrant Amendment Letter Agreement (incorporated by reference from Exhibit 4.8 to EchoStar’s Current Report on Form 8-K filed on January 2, 2024).</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tLeast" w:line="156" w:before="0" w:after="0"/>
              <w:ind w:left="0" w:right="0" w:hanging="0"/>
              <w:jc w:val="left"/>
              <w:rPr/>
            </w:pPr>
            <w:r>
              <w:rPr/>
              <w:t>​</w:t>
            </w:r>
          </w:p>
        </w:tc>
      </w:tr>
      <w:tr>
        <w:trPr/>
        <w:tc>
          <w:tcPr>
            <w:tcW w:w="611" w:type="dxa"/>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42">
              <w:r>
                <w:rPr>
                  <w:rStyle w:val="InternetLink"/>
                  <w:rFonts w:ascii="Times New Roman;Times;serif" w:hAnsi="Times New Roman;Times;serif"/>
                  <w:b w:val="false"/>
                  <w:i w:val="false"/>
                  <w:caps w:val="false"/>
                  <w:smallCaps w:val="false"/>
                  <w:sz w:val="24"/>
                </w:rPr>
                <w:t>Form of Warrant Guarantee (incorporated by reference from Exhibit 4.9 to EchoStar’s Current Report on Form 8-K filed on January 2, 2024).</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tLeast" w:line="156" w:before="0" w:after="0"/>
              <w:ind w:left="0" w:right="0" w:hanging="0"/>
              <w:jc w:val="left"/>
              <w:rPr/>
            </w:pPr>
            <w:r>
              <w:rPr/>
              <w:t>​</w:t>
            </w:r>
          </w:p>
        </w:tc>
      </w:tr>
      <w:tr>
        <w:trPr/>
        <w:tc>
          <w:tcPr>
            <w:tcW w:w="611" w:type="dxa"/>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43">
              <w:r>
                <w:rPr>
                  <w:rStyle w:val="InternetLink"/>
                  <w:rFonts w:ascii="Times New Roman;Times;serif" w:hAnsi="Times New Roman;Times;serif"/>
                  <w:b w:val="false"/>
                  <w:i w:val="false"/>
                  <w:caps w:val="false"/>
                  <w:smallCaps w:val="false"/>
                  <w:sz w:val="24"/>
                </w:rPr>
                <w:t>Form of Note Hedge Amendment Letter Agreement (incorporated by reference from Exhibit 4.11 to EchoStar’s Current Report on Form 8-K filed on January 2, 2024).</w:t>
              </w:r>
            </w:hyperlink>
          </w:p>
        </w:tc>
      </w:tr>
      <w:tr>
        <w:trPr/>
        <w:tc>
          <w:tcPr>
            <w:tcW w:w="611" w:type="dxa"/>
            <w:tcBorders/>
            <w:vAlign w:val="center"/>
          </w:tcPr>
          <w:p>
            <w:pPr>
              <w:pStyle w:val="TableContents"/>
              <w:pBdr/>
              <w:bidi w:val="0"/>
              <w:spacing w:lineRule="auto" w:line="300" w:before="0" w:after="0"/>
              <w:ind w:left="0" w:right="0" w:hanging="0"/>
              <w:jc w:val="center"/>
              <w:rPr>
                <w:shd w:fill="00FF00" w:val="clear"/>
              </w:rPr>
            </w:pPr>
            <w:r>
              <w:rPr>
                <w:shd w:fill="00FF00" w:val="clear"/>
              </w:rPr>
              <w:t>​</w:t>
            </w:r>
          </w:p>
        </w:tc>
        <w:tc>
          <w:tcPr>
            <w:tcW w:w="109" w:type="dxa"/>
            <w:gridSpan w:val="2"/>
            <w:tcBorders/>
            <w:vAlign w:val="center"/>
          </w:tcPr>
          <w:p>
            <w:pPr>
              <w:pStyle w:val="TableContents"/>
              <w:bidi w:val="0"/>
              <w:spacing w:lineRule="auto" w:line="300" w:before="0" w:after="0"/>
              <w:ind w:left="0" w:right="0" w:hanging="0"/>
              <w:jc w:val="left"/>
              <w:rPr>
                <w:shd w:fill="00FF00" w:val="clear"/>
              </w:rPr>
            </w:pPr>
            <w:r>
              <w:rPr>
                <w:shd w:fill="00FF00" w:val="clear"/>
              </w:rPr>
              <w:t>​</w:t>
            </w:r>
          </w:p>
        </w:tc>
        <w:tc>
          <w:tcPr>
            <w:tcW w:w="9485" w:type="dxa"/>
            <w:gridSpan w:val="3"/>
            <w:tcBorders/>
            <w:vAlign w:val="center"/>
          </w:tcPr>
          <w:p>
            <w:pPr>
              <w:pStyle w:val="TableContents"/>
              <w:bidi w:val="0"/>
              <w:spacing w:lineRule="auto" w:line="300" w:before="0" w:after="0"/>
              <w:ind w:left="0" w:right="0" w:hanging="0"/>
              <w:jc w:val="left"/>
              <w:rPr>
                <w:shd w:fill="00FF00" w:val="clear"/>
              </w:rPr>
            </w:pPr>
            <w:r>
              <w:rPr>
                <w:shd w:fill="00FF00" w:val="clear"/>
              </w:rPr>
              <w:t>​</w:t>
            </w:r>
          </w:p>
        </w:tc>
      </w:tr>
      <w:tr>
        <w:trPr/>
        <w:tc>
          <w:tcPr>
            <w:tcW w:w="611" w:type="dxa"/>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w:anchor="dish-20231231xex21.htm">
              <w:r>
                <w:rPr>
                  <w:rStyle w:val="InternetLink"/>
                  <w:rFonts w:ascii="Times New Roman;Times;serif" w:hAnsi="Times New Roman;Times;serif"/>
                  <w:b w:val="false"/>
                  <w:i w:val="false"/>
                  <w:caps w:val="false"/>
                  <w:smallCaps w:val="false"/>
                  <w:sz w:val="24"/>
                </w:rPr>
                <w:t>Subsidiaries of DISH Network Corporation.</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w:anchor="dish-20231231xex31d1.htm">
              <w:r>
                <w:rPr>
                  <w:rStyle w:val="InternetLink"/>
                  <w:rFonts w:ascii="Times New Roman;Times;serif" w:hAnsi="Times New Roman;Times;serif"/>
                  <w:b w:val="false"/>
                  <w:i w:val="false"/>
                  <w:caps w:val="false"/>
                  <w:smallCaps w:val="false"/>
                  <w:sz w:val="24"/>
                </w:rPr>
                <w:t>Section 302 Certification of Chief Executive Officer.</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w:anchor="dish-20231231xex31d2.htm">
              <w:r>
                <w:rPr>
                  <w:rStyle w:val="InternetLink"/>
                  <w:rFonts w:ascii="Times New Roman;Times;serif" w:hAnsi="Times New Roman;Times;serif"/>
                  <w:b w:val="false"/>
                  <w:i w:val="false"/>
                  <w:caps w:val="false"/>
                  <w:smallCaps w:val="false"/>
                  <w:sz w:val="24"/>
                </w:rPr>
                <w:t>Section 302 Certification of Chief Financial Officer.</w:t>
              </w:r>
            </w:hyperlink>
          </w:p>
        </w:tc>
      </w:tr>
      <w:tr>
        <w:trPr/>
        <w:tc>
          <w:tcPr>
            <w:tcW w:w="611" w:type="dxa"/>
            <w:tcBorders/>
            <w:vAlign w:val="center"/>
          </w:tcPr>
          <w:p>
            <w:pPr>
              <w:pStyle w:val="TableContents"/>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w:anchor="dish-20231231xex32d1.htm">
              <w:r>
                <w:rPr>
                  <w:rStyle w:val="InternetLink"/>
                  <w:rFonts w:ascii="Times New Roman;Times;serif" w:hAnsi="Times New Roman;Times;serif"/>
                  <w:b w:val="false"/>
                  <w:i w:val="false"/>
                  <w:caps w:val="false"/>
                  <w:smallCaps w:val="false"/>
                  <w:sz w:val="24"/>
                </w:rPr>
                <w:t>Section 906 Certification of Chief Executive Officer.</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w:anchor="dish-20231231xex32d2.htm">
              <w:r>
                <w:rPr>
                  <w:rStyle w:val="InternetLink"/>
                  <w:rFonts w:ascii="Times New Roman;Times;serif" w:hAnsi="Times New Roman;Times;serif"/>
                  <w:b w:val="false"/>
                  <w:i w:val="false"/>
                  <w:caps w:val="false"/>
                  <w:smallCaps w:val="false"/>
                  <w:sz w:val="24"/>
                </w:rPr>
                <w:t>Section 906 Certification of Chief Financial Officer.</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44">
              <w:r>
                <w:rPr>
                  <w:rStyle w:val="InternetLink"/>
                  <w:rFonts w:ascii="Times New Roman;Times;serif" w:hAnsi="Times New Roman;Times;serif"/>
                  <w:b w:val="false"/>
                  <w:i w:val="false"/>
                  <w:caps w:val="false"/>
                  <w:smallCaps w:val="false"/>
                  <w:sz w:val="24"/>
                </w:rPr>
                <w:t>Clawback Policy (incorporated by reference from Exhibit 97.1 to the Annual Report on Form 10-K of EchoStar Corporation filed on February 29, 2024).</w:t>
              </w:r>
            </w:hyperlink>
          </w:p>
        </w:tc>
      </w:tr>
      <w:tr>
        <w:trPr/>
        <w:tc>
          <w:tcPr>
            <w:tcW w:w="611" w:type="dxa"/>
            <w:tcBorders/>
            <w:vAlign w:val="center"/>
          </w:tcPr>
          <w:p>
            <w:pPr>
              <w:pStyle w:val="TableContents"/>
              <w:pBdr/>
              <w:bidi w:val="0"/>
              <w:spacing w:lineRule="auto" w:line="300" w:before="0" w:after="0"/>
              <w:ind w:left="0" w:right="0" w:hanging="0"/>
              <w:jc w:val="center"/>
              <w:rPr/>
            </w:pPr>
            <w:r>
              <w:rPr/>
              <w:t>​</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r>
              <w:rPr/>
              <w:t>​</w:t>
            </w:r>
          </w:p>
        </w:tc>
      </w:tr>
      <w:tr>
        <w:trPr/>
        <w:tc>
          <w:tcPr>
            <w:tcW w:w="61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09" w:type="dxa"/>
            <w:gridSpan w:val="2"/>
            <w:tcBorders/>
            <w:vAlign w:val="center"/>
          </w:tcPr>
          <w:p>
            <w:pPr>
              <w:pStyle w:val="TableContents"/>
              <w:bidi w:val="0"/>
              <w:spacing w:lineRule="auto" w:line="300" w:before="0" w:after="0"/>
              <w:ind w:left="0" w:right="0" w:hanging="0"/>
              <w:jc w:val="left"/>
              <w:rPr/>
            </w:pPr>
            <w:r>
              <w:rPr/>
              <w:t>​</w:t>
            </w:r>
          </w:p>
        </w:tc>
        <w:tc>
          <w:tcPr>
            <w:tcW w:w="9485" w:type="dxa"/>
            <w:gridSpan w:val="3"/>
            <w:tcBorders/>
            <w:vAlign w:val="center"/>
          </w:tcPr>
          <w:p>
            <w:pPr>
              <w:pStyle w:val="TableContents"/>
              <w:bidi w:val="0"/>
              <w:spacing w:lineRule="auto" w:line="300" w:before="0" w:after="0"/>
              <w:ind w:left="0" w:right="0" w:hanging="0"/>
              <w:jc w:val="left"/>
              <w:rPr/>
            </w:pPr>
            <w:hyperlink r:id="rId45">
              <w:r>
                <w:rPr>
                  <w:rStyle w:val="InternetLink"/>
                  <w:rFonts w:ascii="Times New Roman;Times;serif" w:hAnsi="Times New Roman;Times;serif"/>
                  <w:b w:val="false"/>
                  <w:i w:val="false"/>
                  <w:caps w:val="false"/>
                  <w:smallCaps w:val="false"/>
                  <w:sz w:val="20"/>
                </w:rPr>
                <w:t>Department of Justice CDMA Letter to Defendants dated July 9, 2021 (incorporated by reference from Exhibit 99.1 to the Quarterly Report on Form 10-Q of DISH Network Corporation filed August 9, 2021).</w:t>
              </w:r>
            </w:hyperlink>
            <w:r>
              <w:rPr>
                <w:rFonts w:ascii="Times New Roman;Times;serif" w:hAnsi="Times New Roman;Times;serif"/>
                <w:sz w:val="20"/>
              </w:rPr>
              <w:t xml:space="preserve"> </w:t>
            </w:r>
          </w:p>
        </w:tc>
      </w:tr>
      <w:tr>
        <w:trPr/>
        <w:tc>
          <w:tcPr>
            <w:tcW w:w="665" w:type="dxa"/>
            <w:gridSpan w:val="2"/>
            <w:tcBorders/>
            <w:vAlign w:val="center"/>
          </w:tcPr>
          <w:p>
            <w:pPr>
              <w:pStyle w:val="TableContents"/>
              <w:bidi w:val="0"/>
              <w:spacing w:lineRule="auto" w:line="304" w:before="0" w:after="0"/>
              <w:ind w:left="0" w:right="0" w:hanging="0"/>
              <w:jc w:val="center"/>
              <w:rPr/>
            </w:pPr>
            <w:r>
              <w:rPr/>
              <w:t>​</w:t>
            </w:r>
          </w:p>
        </w:tc>
        <w:tc>
          <w:tcPr>
            <w:tcW w:w="1223" w:type="dxa"/>
            <w:gridSpan w:val="2"/>
            <w:tcBorders/>
            <w:vAlign w:val="center"/>
          </w:tcPr>
          <w:p>
            <w:pPr>
              <w:pStyle w:val="TableContents"/>
              <w:bidi w:val="0"/>
              <w:spacing w:lineRule="auto" w:line="304" w:before="0" w:after="0"/>
              <w:ind w:left="0" w:right="0" w:hanging="0"/>
              <w:jc w:val="left"/>
              <w:rPr>
                <w:spacing w:val="-2"/>
              </w:rPr>
            </w:pPr>
            <w:r>
              <w:rPr>
                <w:spacing w:val="-2"/>
              </w:rPr>
              <w:t>​</w:t>
            </w:r>
          </w:p>
        </w:tc>
        <w:tc>
          <w:tcPr>
            <w:tcW w:w="1077" w:type="dxa"/>
            <w:tcBorders/>
            <w:vAlign w:val="center"/>
          </w:tcPr>
          <w:p>
            <w:pPr>
              <w:pStyle w:val="TableContents"/>
              <w:bidi w:val="0"/>
              <w:spacing w:lineRule="auto" w:line="304" w:before="0" w:after="0"/>
              <w:ind w:left="0" w:right="0" w:hanging="0"/>
              <w:jc w:val="left"/>
              <w:rPr/>
            </w:pPr>
            <w:r>
              <w:rPr/>
              <w:t>​</w:t>
            </w:r>
          </w:p>
        </w:tc>
        <w:tc>
          <w:tcPr>
            <w:tcW w:w="724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1"/>
        <w:gridCol w:w="109"/>
        <w:gridCol w:w="9625"/>
      </w:tblGrid>
      <w:tr>
        <w:trPr/>
        <w:tc>
          <w:tcPr>
            <w:tcW w:w="471" w:type="dxa"/>
            <w:tcBorders/>
            <w:vAlign w:val="center"/>
          </w:tcPr>
          <w:p>
            <w:pPr>
              <w:pStyle w:val="TableContents"/>
              <w:pBdr/>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uto" w:line="300" w:before="0" w:after="0"/>
              <w:ind w:left="0" w:right="0" w:hanging="0"/>
              <w:jc w:val="left"/>
              <w:rPr/>
            </w:pPr>
            <w:r>
              <w:rPr/>
              <w:t>​</w:t>
            </w:r>
          </w:p>
        </w:tc>
        <w:tc>
          <w:tcPr>
            <w:tcW w:w="9625"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the Annual Report on Form 10-K of DISH Network Corporation for the year ended December 31, 2023, filed on March 29, 2024, formatted in Inline eXtensible Business Reporting Language (“iXBRL”): (i) Consolidated Balance Sheets, (ii) Consolidated Statements of Operations and Comprehensive Income (Loss), (iii) Consolidated Statement of Changes in Stockholder’s Equity (Deficit), (iv) Consolidated Statements of Cash Flows, and (v) related notes to these financial statements.</w:t>
            </w:r>
          </w:p>
        </w:tc>
      </w:tr>
      <w:tr>
        <w:trPr/>
        <w:tc>
          <w:tcPr>
            <w:tcW w:w="471" w:type="dxa"/>
            <w:tcBorders/>
            <w:vAlign w:val="center"/>
          </w:tcPr>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left"/>
              <w:rPr>
                <w:spacing w:val="-2"/>
              </w:rPr>
            </w:pPr>
            <w:r>
              <w:rPr>
                <w:spacing w:val="-2"/>
              </w:rPr>
              <w:t>​</w:t>
            </w:r>
          </w:p>
        </w:tc>
        <w:tc>
          <w:tcPr>
            <w:tcW w:w="9625" w:type="dxa"/>
            <w:tcBorders/>
            <w:vAlign w:val="center"/>
          </w:tcPr>
          <w:p>
            <w:pPr>
              <w:pStyle w:val="TableContents"/>
              <w:bidi w:val="0"/>
              <w:spacing w:lineRule="auto" w:line="304" w:before="0" w:after="0"/>
              <w:ind w:left="0" w:right="0" w:hanging="0"/>
              <w:jc w:val="left"/>
              <w:rPr/>
            </w:pPr>
            <w:r>
              <w:rPr/>
              <w:t>​</w:t>
            </w:r>
          </w:p>
        </w:tc>
      </w:tr>
      <w:tr>
        <w:trPr/>
        <w:tc>
          <w:tcPr>
            <w:tcW w:w="47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4" w:before="0" w:after="0"/>
              <w:ind w:left="0" w:right="0" w:hanging="0"/>
              <w:jc w:val="left"/>
              <w:rPr>
                <w:spacing w:val="-2"/>
              </w:rPr>
            </w:pPr>
            <w:r>
              <w:rPr>
                <w:spacing w:val="-2"/>
              </w:rPr>
              <w:t>​</w:t>
            </w:r>
          </w:p>
        </w:tc>
        <w:tc>
          <w:tcPr>
            <w:tcW w:w="9625"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r>
        <w:trPr/>
        <w:tc>
          <w:tcPr>
            <w:tcW w:w="471" w:type="dxa"/>
            <w:tcBorders/>
            <w:vAlign w:val="center"/>
          </w:tcPr>
          <w:p>
            <w:pPr>
              <w:pStyle w:val="TableContents"/>
              <w:bidi w:val="0"/>
              <w:spacing w:lineRule="auto" w:line="300" w:before="0" w:after="0"/>
              <w:ind w:left="0" w:right="0" w:hanging="0"/>
              <w:jc w:val="center"/>
              <w:rPr/>
            </w:pPr>
            <w:r>
              <w:rPr/>
              <w:t>​</w:t>
            </w:r>
          </w:p>
        </w:tc>
        <w:tc>
          <w:tcPr>
            <w:tcW w:w="109" w:type="dxa"/>
            <w:tcBorders/>
            <w:vAlign w:val="center"/>
          </w:tcPr>
          <w:p>
            <w:pPr>
              <w:pStyle w:val="TableContents"/>
              <w:bidi w:val="0"/>
              <w:spacing w:lineRule="auto" w:line="300" w:before="0" w:after="0"/>
              <w:ind w:left="0" w:right="0" w:hanging="0"/>
              <w:jc w:val="left"/>
              <w:rPr/>
            </w:pPr>
            <w:r>
              <w:rPr/>
              <w:t>​</w:t>
            </w:r>
          </w:p>
        </w:tc>
        <w:tc>
          <w:tcPr>
            <w:tcW w:w="9625" w:type="dxa"/>
            <w:tcBorders/>
            <w:vAlign w:val="center"/>
          </w:tcPr>
          <w:p>
            <w:pPr>
              <w:pStyle w:val="TableContents"/>
              <w:bidi w:val="0"/>
              <w:spacing w:lineRule="auto" w:line="300"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0"/>
              <w:ind w:left="0" w:right="0" w:hanging="0"/>
              <w:jc w:val="left"/>
              <w:rPr/>
            </w:pPr>
            <w:r>
              <w:rPr/>
              <w:t>☐</w:t>
            </w:r>
          </w:p>
        </w:tc>
        <w:tc>
          <w:tcPr>
            <w:tcW w:w="9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07" w:type="dxa"/>
            <w:tcBorders/>
            <w:vAlign w:val="center"/>
          </w:tcPr>
          <w:p>
            <w:pPr>
              <w:pStyle w:val="TableContents"/>
              <w:bidi w:val="0"/>
              <w:spacing w:before="0" w:after="0"/>
              <w:ind w:left="0" w:right="0" w:hanging="0"/>
              <w:jc w:val="left"/>
              <w:rPr/>
            </w:pPr>
            <w:r>
              <w:rPr/>
              <w:t>​</w:t>
            </w:r>
          </w:p>
        </w:tc>
        <w:tc>
          <w:tcPr>
            <w:tcW w:w="9798" w:type="dxa"/>
            <w:tcBorders/>
            <w:vAlign w:val="center"/>
          </w:tcPr>
          <w:p>
            <w:pPr>
              <w:pStyle w:val="TableContents"/>
              <w:bidi w:val="0"/>
              <w:spacing w:before="0" w:after="0"/>
              <w:ind w:left="0" w:right="0" w:hanging="0"/>
              <w:jc w:val="left"/>
              <w:rPr/>
            </w:pPr>
            <w:r>
              <w:rPr/>
              <w:t>​</w:t>
            </w:r>
          </w:p>
        </w:tc>
      </w:tr>
      <w:tr>
        <w:trPr/>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w:t>
            </w:r>
          </w:p>
        </w:tc>
      </w:tr>
      <w:tr>
        <w:trPr/>
        <w:tc>
          <w:tcPr>
            <w:tcW w:w="407" w:type="dxa"/>
            <w:tcBorders/>
            <w:vAlign w:val="center"/>
          </w:tcPr>
          <w:p>
            <w:pPr>
              <w:pStyle w:val="TableContents"/>
              <w:bidi w:val="0"/>
              <w:spacing w:before="0" w:after="0"/>
              <w:ind w:left="0" w:right="0" w:hanging="0"/>
              <w:jc w:val="left"/>
              <w:rPr/>
            </w:pPr>
            <w:r>
              <w:rPr/>
              <w:t>​</w:t>
            </w:r>
          </w:p>
        </w:tc>
        <w:tc>
          <w:tcPr>
            <w:tcW w:w="9798" w:type="dxa"/>
            <w:tcBorders/>
            <w:vAlign w:val="center"/>
          </w:tcPr>
          <w:p>
            <w:pPr>
              <w:pStyle w:val="TableContents"/>
              <w:bidi w:val="0"/>
              <w:spacing w:before="0" w:after="0"/>
              <w:ind w:left="0" w:right="0" w:hanging="0"/>
              <w:jc w:val="left"/>
              <w:rPr/>
            </w:pPr>
            <w:r>
              <w:rPr/>
              <w:t>​</w:t>
            </w:r>
          </w:p>
        </w:tc>
      </w:tr>
      <w:tr>
        <w:trPr/>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Constitutes a management contract or compensatory plan or arrangement.</w:t>
            </w:r>
          </w:p>
        </w:tc>
      </w:tr>
      <w:tr>
        <w:trPr/>
        <w:tc>
          <w:tcPr>
            <w:tcW w:w="407" w:type="dxa"/>
            <w:tcBorders/>
            <w:vAlign w:val="center"/>
          </w:tcPr>
          <w:p>
            <w:pPr>
              <w:pStyle w:val="TableContents"/>
              <w:bidi w:val="0"/>
              <w:spacing w:before="0" w:after="0"/>
              <w:ind w:left="0" w:right="0" w:hanging="0"/>
              <w:jc w:val="left"/>
              <w:rPr/>
            </w:pPr>
            <w:r>
              <w:rPr/>
              <w:t>​</w:t>
            </w:r>
          </w:p>
        </w:tc>
        <w:tc>
          <w:tcPr>
            <w:tcW w:w="9798" w:type="dxa"/>
            <w:tcBorders/>
            <w:vAlign w:val="center"/>
          </w:tcPr>
          <w:p>
            <w:pPr>
              <w:pStyle w:val="TableContents"/>
              <w:bidi w:val="0"/>
              <w:spacing w:before="0" w:after="0"/>
              <w:ind w:left="0" w:right="0" w:hanging="0"/>
              <w:jc w:val="left"/>
              <w:rPr/>
            </w:pPr>
            <w:r>
              <w:rPr/>
              <w:t>​</w:t>
            </w:r>
          </w:p>
        </w:tc>
      </w:tr>
      <w:tr>
        <w:trPr/>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portions of the exhibit have been omitted and separately filed with the Securities and Exchange Commission with a request for confidential treatment.</w:t>
            </w:r>
          </w:p>
        </w:tc>
      </w:tr>
    </w:tbl>
    <w:p>
      <w:pPr>
        <w:pStyle w:val="TextBody"/>
        <w:pBdr/>
        <w:bidi w:val="0"/>
        <w:spacing w:before="0" w:after="0"/>
        <w:ind w:left="0" w:right="0" w:hanging="720"/>
        <w:jc w:val="left"/>
        <w:rPr/>
      </w:pPr>
      <w:r>
        <w:rPr/>
        <w:t>​</w:t>
      </w:r>
    </w:p>
    <w:p>
      <w:pPr>
        <w:pStyle w:val="TextBody"/>
        <w:pBdr/>
        <w:bidi w:val="0"/>
        <w:spacing w:before="0" w:after="0"/>
        <w:ind w:left="0" w:right="0" w:hanging="900"/>
        <w:jc w:val="left"/>
        <w:rPr>
          <w:rFonts w:ascii="Times New Roman;Times;serif" w:hAnsi="Times New Roman;Times;serif"/>
          <w:b/>
          <w:sz w:val="20"/>
        </w:rPr>
      </w:pPr>
      <w:bookmarkStart w:id="158" w:name="Item16FORM10KSUMMARY_759347"/>
      <w:bookmarkStart w:id="159" w:name="_c46439b2_4966_4305_afb9_e9b232b124de"/>
      <w:bookmarkEnd w:id="158"/>
      <w:bookmarkEnd w:id="159"/>
      <w:r>
        <w:rPr>
          <w:rFonts w:ascii="Times New Roman;Times;serif" w:hAnsi="Times New Roman;Times;serif"/>
          <w:b/>
          <w:sz w:val="20"/>
        </w:rPr>
        <w:t>Item 16. FORM 10-K SUMMARY</w:t>
      </w:r>
    </w:p>
    <w:p>
      <w:pPr>
        <w:pStyle w:val="TextBody"/>
        <w:pBdr/>
        <w:bidi w:val="0"/>
        <w:spacing w:before="0" w:after="0"/>
        <w:ind w:left="0" w:right="0" w:hanging="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160" w:name="SIGNATURES_412705"/>
      <w:bookmarkStart w:id="161" w:name="_e40516c9_5866_4627_a70f_5e8f8a61431e"/>
      <w:bookmarkEnd w:id="160"/>
      <w:bookmarkEnd w:id="161"/>
      <w:r>
        <w:rPr>
          <w:rFonts w:ascii="Times New Roman;Times;serif" w:hAnsi="Times New Roman;Times;serif"/>
          <w:b/>
          <w:sz w:val="20"/>
        </w:rPr>
        <w:t>S</w:t>
      </w:r>
      <w:r>
        <w:rPr>
          <w:rFonts w:ascii="Times New Roman Bold" w:hAnsi="Times New Roman Bold"/>
          <w:b/>
          <w:sz w:val="20"/>
        </w:rPr>
        <w:t>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496" w:type="dxa"/>
        <w:jc w:val="left"/>
        <w:tblInd w:w="0" w:type="dxa"/>
        <w:tblLayout w:type="fixed"/>
        <w:tblCellMar>
          <w:top w:w="0" w:type="dxa"/>
          <w:left w:w="0" w:type="dxa"/>
          <w:bottom w:w="0" w:type="dxa"/>
          <w:right w:w="0" w:type="dxa"/>
        </w:tblCellMar>
      </w:tblPr>
      <w:tblGrid>
        <w:gridCol w:w="124"/>
        <w:gridCol w:w="406"/>
        <w:gridCol w:w="496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CORPORATION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W. Orban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W. Orban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 DISH</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29,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w:t>
      </w:r>
    </w:p>
    <w:tbl>
      <w:tblPr>
        <w:tblW w:w="8351" w:type="dxa"/>
        <w:jc w:val="left"/>
        <w:tblInd w:w="0" w:type="dxa"/>
        <w:tblLayout w:type="fixed"/>
        <w:tblCellMar>
          <w:top w:w="0" w:type="dxa"/>
          <w:left w:w="0" w:type="dxa"/>
          <w:bottom w:w="0" w:type="dxa"/>
          <w:right w:w="0" w:type="dxa"/>
        </w:tblCellMar>
      </w:tblPr>
      <w:tblGrid>
        <w:gridCol w:w="1771"/>
        <w:gridCol w:w="109"/>
        <w:gridCol w:w="4921"/>
        <w:gridCol w:w="109"/>
        <w:gridCol w:w="144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24585" cy="175260"/>
                      <wp:effectExtent l="0" t="0" r="0" b="0"/>
                      <wp:wrapNone/>
                      <wp:docPr id="125" name="Frame125"/>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124835" cy="175260"/>
                      <wp:effectExtent l="0" t="0" r="0" b="0"/>
                      <wp:wrapNone/>
                      <wp:docPr id="127" name="Frame127"/>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15035" cy="175260"/>
                      <wp:effectExtent l="0" t="0" r="0" b="0"/>
                      <wp:wrapNone/>
                      <wp:docPr id="129" name="Frame12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771"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/s/ Hamid Akhavan</w:t>
            </w:r>
          </w:p>
        </w:tc>
        <w:tc>
          <w:tcPr>
            <w:tcW w:w="109"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and Director </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771" w:type="dxa"/>
            <w:tcBorders>
              <w:top w:val="single" w:sz="2" w:space="0" w:color="000000"/>
            </w:tcBorders>
            <w:tcMar>
              <w:top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Hamid Akhavan</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/s/ Paul W. Orban</w:t>
            </w:r>
          </w:p>
        </w:tc>
        <w:tc>
          <w:tcPr>
            <w:tcW w:w="109"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 DISH</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771" w:type="dxa"/>
            <w:tcBorders>
              <w:top w:val="single" w:sz="2" w:space="0" w:color="000000"/>
            </w:tcBorders>
            <w:tcMar>
              <w:top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Paul W. Orban</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/s/ James S. Allen</w:t>
            </w:r>
          </w:p>
        </w:tc>
        <w:tc>
          <w:tcPr>
            <w:tcW w:w="109"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Accounting Officer</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771" w:type="dxa"/>
            <w:tcBorders>
              <w:top w:val="single" w:sz="2" w:space="0" w:color="000000"/>
            </w:tcBorders>
            <w:tcMar>
              <w:top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James S. Allen</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i/>
                <w:sz w:val="20"/>
              </w:rPr>
            </w:pPr>
            <w:r>
              <w:rPr>
                <w:rFonts w:ascii="Times New Roman;Times;serif" w:hAnsi="Times New Roman;Times;serif"/>
                <w:i/>
                <w:sz w:val="20"/>
              </w:rPr>
              <w:t>(Principal Accounting Officer)</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 Charles W. Ergen</w:t>
            </w:r>
          </w:p>
        </w:tc>
        <w:tc>
          <w:tcPr>
            <w:tcW w:w="109"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Chairman</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771" w:type="dxa"/>
            <w:tcBorders>
              <w:top w:val="single" w:sz="2" w:space="0" w:color="000000"/>
            </w:tcBorders>
            <w:tcMar>
              <w:top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Charles W. Ergen</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 Tom A. Ortolf</w:t>
            </w:r>
          </w:p>
        </w:tc>
        <w:tc>
          <w:tcPr>
            <w:tcW w:w="109"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771" w:type="dxa"/>
            <w:tcBorders>
              <w:top w:val="single" w:sz="2" w:space="0" w:color="000000"/>
            </w:tcBorders>
            <w:tcMar>
              <w:top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Tom A. Ortolf</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r>
        <w:trPr/>
        <w:tc>
          <w:tcPr>
            <w:tcW w:w="177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4921"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lineRule="atLeast" w:line="200" w:before="0" w:after="0"/>
              <w:ind w:left="0" w:right="0" w:hanging="0"/>
              <w:jc w:val="left"/>
              <w:rPr/>
            </w:pPr>
            <w:r>
              <w:rPr/>
              <w:t>​</w:t>
            </w:r>
          </w:p>
        </w:tc>
        <w:tc>
          <w:tcPr>
            <w:tcW w:w="1441" w:type="dxa"/>
            <w:tcBorders/>
            <w:vAlign w:val="center"/>
          </w:tcPr>
          <w:p>
            <w:pPr>
              <w:pStyle w:val="TableContents"/>
              <w:bidi w:val="0"/>
              <w:spacing w:lineRule="atLeast" w:line="200"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162" w:name="INDEXTOCONSOLIDATEDFINANCIALSTATEMENTS_5"/>
      <w:bookmarkStart w:id="163" w:name="_5c8c3666_d1e3_4d55_9435_932227b9da39"/>
      <w:bookmarkEnd w:id="162"/>
      <w:bookmarkEnd w:id="163"/>
      <w:r>
        <w:rPr>
          <w:rFonts w:ascii="Times New Roman;Times;serif" w:hAnsi="Times New Roman;Times;serif"/>
          <w:b/>
          <w:sz w:val="20"/>
        </w:rPr>
        <w:t>INDEX TO CONSOLIDATED FINANCIAL</w:t>
      </w:r>
      <w:r>
        <w:rPr>
          <w:rFonts w:ascii="Times New Roman;Times;serif" w:hAnsi="Times New Roman;Times;serif"/>
          <w:sz w:val="20"/>
        </w:rPr>
        <w:t xml:space="preserve"> </w:t>
      </w:r>
      <w:r>
        <w:rPr>
          <w:rFonts w:ascii="Times New Roman;Times;serif" w:hAnsi="Times New Roman;Times;serif"/>
          <w:b/>
          <w:sz w:val="20"/>
        </w:rPr>
        <w:t>STATEMENTS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Financial Statements:</w:t>
      </w:r>
    </w:p>
    <w:tbl>
      <w:tblPr>
        <w:tblW w:w="7952" w:type="dxa"/>
        <w:jc w:val="left"/>
        <w:tblInd w:w="0" w:type="dxa"/>
        <w:tblLayout w:type="fixed"/>
        <w:tblCellMar>
          <w:top w:w="0" w:type="dxa"/>
          <w:left w:w="0" w:type="dxa"/>
          <w:bottom w:w="0" w:type="dxa"/>
          <w:right w:w="0" w:type="dxa"/>
        </w:tblCellMar>
      </w:tblPr>
      <w:tblGrid>
        <w:gridCol w:w="7381"/>
        <w:gridCol w:w="571"/>
      </w:tblGrid>
      <w:tr>
        <w:trPr/>
        <w:tc>
          <w:tcPr>
            <w:tcW w:w="7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686935" cy="175260"/>
                      <wp:effectExtent l="0" t="0" r="0" b="0"/>
                      <wp:wrapNone/>
                      <wp:docPr id="130" name="Frame130"/>
                      <a:graphic xmlns:a="http://schemas.openxmlformats.org/drawingml/2006/main">
                        <a:graphicData uri="http://schemas.microsoft.com/office/word/2010/wordprocessingShape">
                          <wps:wsp>
                            <wps:cNvSpPr txBox="1"/>
                            <wps:spPr>
                              <a:xfrm>
                                <a:off x="0" y="0"/>
                                <a:ext cx="468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29210"/>
                      <wp:effectExtent l="0" t="0" r="0" b="0"/>
                      <wp:wrapNone/>
                      <wp:docPr id="131" name="Frame131"/>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8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381"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381"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KPMG LLP, Independent Registered Public Accounting Firm</w:t>
              </w:r>
            </w:hyperlink>
            <w:r>
              <w:rPr>
                <w:rFonts w:ascii="Times New Roman;Times;serif" w:hAnsi="Times New Roman;Times;serif"/>
                <w:sz w:val="24"/>
              </w:rPr>
              <w:t xml:space="preserve"> </w:t>
            </w:r>
            <w:r>
              <w:rPr>
                <w:rFonts w:ascii="Times New Roman;Times;serif" w:hAnsi="Times New Roman;Times;serif"/>
                <w:sz w:val="20"/>
              </w:rPr>
              <w:t>(PCAOB ID: 185)</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7381" w:type="dxa"/>
            <w:tcBorders/>
            <w:vAlign w:val="center"/>
          </w:tcPr>
          <w:p>
            <w:pPr>
              <w:pStyle w:val="TableContents"/>
              <w:bidi w:val="0"/>
              <w:spacing w:before="0" w:after="0"/>
              <w:ind w:left="0" w:right="0" w:hanging="0"/>
              <w:jc w:val="left"/>
              <w:rPr/>
            </w:pPr>
            <w:hyperlink w:anchor="CONSOLIDATEDBALANCESHEETS_951354">
              <w:r>
                <w:rPr>
                  <w:rStyle w:val="InternetLink"/>
                  <w:rFonts w:ascii="Times New Roman;Times;serif" w:hAnsi="Times New Roman;Times;serif"/>
                  <w:b w:val="false"/>
                  <w:i w:val="false"/>
                  <w:caps w:val="false"/>
                  <w:smallCaps w:val="false"/>
                  <w:sz w:val="20"/>
                </w:rPr>
                <w:t xml:space="preserve">Consolidated Balance Sheets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7381" w:type="dxa"/>
            <w:tcBorders/>
            <w:vAlign w:val="center"/>
          </w:tcPr>
          <w:p>
            <w:pPr>
              <w:pStyle w:val="TableContents"/>
              <w:pBdr/>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 xml:space="preserve">Consolidated Statements of Operations and Comprehensive Income (Loss) </w:t>
              </w:r>
            </w:hyperlink>
          </w:p>
        </w:tc>
        <w:tc>
          <w:tcPr>
            <w:tcW w:w="57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7381" w:type="dxa"/>
            <w:tcBorders/>
            <w:vAlign w:val="center"/>
          </w:tcPr>
          <w:p>
            <w:pPr>
              <w:pStyle w:val="TableContents"/>
              <w:pBdr/>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 xml:space="preserve">Consolidated Statements of Changes in Stockholder’s Equity (Deficit) </w:t>
              </w:r>
            </w:hyperlink>
          </w:p>
        </w:tc>
        <w:tc>
          <w:tcPr>
            <w:tcW w:w="57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7381" w:type="dxa"/>
            <w:tcBorders/>
            <w:vAlign w:val="center"/>
          </w:tcPr>
          <w:p>
            <w:pPr>
              <w:pStyle w:val="TableContents"/>
              <w:pBdr/>
              <w:bidi w:val="0"/>
              <w:spacing w:before="0" w:after="0"/>
              <w:ind w:left="0" w:right="0" w:hanging="0"/>
              <w:jc w:val="left"/>
              <w:rPr/>
            </w:pPr>
            <w:hyperlink w:anchor="CONSOLIDATEDSTATEMENTSOFCASHFLOWS_743887">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7381" w:type="dxa"/>
            <w:tcBorders/>
            <w:vAlign w:val="center"/>
          </w:tcPr>
          <w:p>
            <w:pPr>
              <w:pStyle w:val="TableContents"/>
              <w:bidi w:val="0"/>
              <w:spacing w:before="0" w:after="0"/>
              <w:ind w:left="0" w:right="0" w:hanging="0"/>
              <w:jc w:val="left"/>
              <w:rPr/>
            </w:pPr>
            <w:hyperlink w:anchor="a1OrganizationandBusinessActivities_1393">
              <w:r>
                <w:rPr>
                  <w:rStyle w:val="InternetLink"/>
                  <w:rFonts w:ascii="Times New Roman;Times;serif" w:hAnsi="Times New Roman;Times;serif"/>
                  <w:b w:val="false"/>
                  <w:i w:val="false"/>
                  <w:caps w:val="false"/>
                  <w:smallCaps w:val="false"/>
                  <w:sz w:val="20"/>
                </w:rPr>
                <w:t>Notes to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64" w:name="REPORTOFINDEPENDENTREGISTEREDPUBLICACCOU"/>
      <w:bookmarkStart w:id="165" w:name="_439b0d58_2a64_48ed_b836_8ec7b06f914d"/>
      <w:bookmarkEnd w:id="164"/>
      <w:bookmarkEnd w:id="165"/>
      <w:r>
        <w:rPr>
          <w:rFonts w:ascii="Times New Roman;Times;serif" w:hAnsi="Times New Roman;Times;serif"/>
          <w:b/>
          <w:sz w:val="20"/>
        </w:rPr>
        <w:t>Report of Independent Registered Public Accounting Firm</w:t>
      </w:r>
    </w:p>
    <w:p>
      <w:pPr>
        <w:pStyle w:val="TextBody"/>
        <w:bidi w:val="0"/>
        <w:spacing w:before="0" w:after="2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 the Stockholder and Board of Directors</w:t>
        <w:br/>
        <w:t>DISH Network Corporation:</w:t>
      </w:r>
    </w:p>
    <w:p>
      <w:pPr>
        <w:pStyle w:val="TextBody"/>
        <w:bidi w:val="0"/>
        <w:spacing w:lineRule="auto" w:line="285"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6" w:name="_3"/>
      <w:bookmarkStart w:id="167" w:name="_2"/>
      <w:bookmarkStart w:id="168" w:name="_1"/>
      <w:bookmarkStart w:id="169" w:name="_0"/>
      <w:bookmarkEnd w:id="166"/>
      <w:bookmarkEnd w:id="167"/>
      <w:bookmarkEnd w:id="168"/>
      <w:bookmarkEnd w:id="169"/>
      <w:r>
        <w:rPr>
          <w:rFonts w:ascii="Times New Roman;Times;serif" w:hAnsi="Times New Roman;Times;serif"/>
          <w:sz w:val="20"/>
        </w:rPr>
        <w:t xml:space="preserve">We have audited the accompanying consolidated balance sheets of DISH Network Corporation and subsidiaries (the Company) as of December 31, 2023 and 2022, the related consolidated statements of operations and comprehensive income (loss), changes in stockholder’s equity (deficit), and cash flows for each of the years in the three-year period ended December 31, 2023, and the related notes (collectively, the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70" w:name="_5"/>
      <w:bookmarkEnd w:id="170"/>
      <w:r>
        <w:rPr>
          <w:rFonts w:ascii="Times New Roman;Times;serif" w:hAnsi="Times New Roman;Times;serif"/>
          <w:sz w:val="20"/>
        </w:rPr>
        <w:t xml:space="preserve">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Going Concern</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71" w:name="_7"/>
      <w:bookmarkStart w:id="172" w:name="_6"/>
      <w:bookmarkEnd w:id="171"/>
      <w:bookmarkEnd w:id="172"/>
      <w:r>
        <w:rPr>
          <w:rFonts w:ascii="Times New Roman;Times;serif" w:hAnsi="Times New Roman;Times;serif"/>
          <w:sz w:val="20"/>
        </w:rPr>
        <w:t>The accompanying consolidated financial statements and supplemental information have been prepared assuming that the Company will continue as a going concern. As discussed in Note 1 to the consolidated financial statements, the Company has debt maturing in 2024 and expects to use a substantial amount of cash in the next twelve months. This raises substantial doubt about its ability to continue as a going concern. Management’s plans in regard to these matters are also described in Note 1. The consolidated financial statements and supplemental information do not include any adjustments that might result from the outcome of this uncertainty.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Basis for Opinion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Critical Audit Matter</w:t>
      </w:r>
    </w:p>
    <w:p>
      <w:pPr>
        <w:pStyle w:val="TextBody"/>
        <w:bidi w:val="0"/>
        <w:spacing w:before="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00"/>
        <w:ind w:left="720" w:right="0" w:hanging="0"/>
        <w:jc w:val="left"/>
        <w:rPr/>
      </w:pPr>
      <w:r>
        <w:rPr/>
        <w:t>​</w:t>
      </w:r>
    </w:p>
    <w:p>
      <w:pPr>
        <w:pStyle w:val="TextBody"/>
        <w:bidi w:val="0"/>
        <w:spacing w:before="0" w:after="0"/>
        <w:ind w:left="720" w:right="0" w:hanging="0"/>
        <w:jc w:val="left"/>
        <w:rPr>
          <w:rFonts w:ascii="Times New Roman;Times;serif" w:hAnsi="Times New Roman;Times;serif"/>
          <w:i/>
          <w:sz w:val="20"/>
        </w:rPr>
      </w:pPr>
      <w:r>
        <w:rPr>
          <w:rFonts w:ascii="Times New Roman;Times;serif" w:hAnsi="Times New Roman;Times;serif"/>
          <w:i/>
          <w:sz w:val="20"/>
        </w:rPr>
        <w:t>Sufficiency of audit evidence over revenue</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As discussed in Note 14 to the consolidated financial statements, the Company reported $15.3 billion in total revenue for the year ended December 31, 2023, which included Pay-TV and Retail Wireless revenue of $11.6 billion and $3.7 billion, respectively. These categories of revenue have multiple revenue streams and certain aspects of the Company’s processes and information technology (IT) systems differ among the revenue streams.</w:t>
      </w:r>
    </w:p>
    <w:p>
      <w:pPr>
        <w:pStyle w:val="TextBody"/>
        <w:bidi w:val="0"/>
        <w:spacing w:before="0" w:after="6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pStyle w:val="TextBody"/>
        <w:bidi w:val="0"/>
        <w:spacing w:before="0" w:after="6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certain revenue streams,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For other revenue streams, we assessed the recorded amounts by sampling transactions or confirming the price and quantity of items sold with third-party customers. Additionally, for other revenue streams we performed a software-assisted data analysis to test relationships among certain revenue transactions. Through these procedures we then compared the amounts recognized for consistency with underlying documentation, including contracts or payment and transaction support.</w:t>
      </w:r>
    </w:p>
    <w:p>
      <w:pPr>
        <w:pStyle w:val="TextBody"/>
        <w:bidi w:val="0"/>
        <w:spacing w:before="0" w:after="6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We evaluated the sufficiency of audit evidence obtained by assessing the results of the procedures performed, including the appropriateness of the nature and extent of such evidence.</w:t>
      </w:r>
    </w:p>
    <w:p>
      <w:pPr>
        <w:pStyle w:val="TextBody"/>
        <w:bidi w:val="0"/>
        <w:spacing w:before="0" w:after="120"/>
        <w:ind w:left="1440" w:right="0" w:hanging="0"/>
        <w:jc w:val="left"/>
        <w:rPr>
          <w:shd w:fill="C0C0C0" w:val="clear"/>
        </w:rPr>
      </w:pPr>
      <w:r>
        <w:rPr>
          <w:shd w:fill="C0C0C0" w:val="clear"/>
        </w:rPr>
        <w:t>​</w:t>
      </w:r>
    </w:p>
    <w:tbl>
      <w:tblPr>
        <w:tblW w:w="1460" w:type="dxa"/>
        <w:jc w:val="left"/>
        <w:tblInd w:w="0" w:type="dxa"/>
        <w:tblLayout w:type="fixed"/>
        <w:tblCellMar>
          <w:top w:w="0" w:type="dxa"/>
          <w:left w:w="0" w:type="dxa"/>
          <w:bottom w:w="0" w:type="dxa"/>
          <w:right w:w="0" w:type="dxa"/>
        </w:tblCellMar>
      </w:tblPr>
      <w:tblGrid>
        <w:gridCol w:w="124"/>
        <w:gridCol w:w="1336"/>
      </w:tblGrid>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KPMG LLP</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2002.</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Denver, Colorado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
        </w:rPr>
      </w:pPr>
      <w:bookmarkStart w:id="173" w:name="_b76a98ff_3696_42ed_8a50_53f1664011a3"/>
      <w:bookmarkEnd w:id="173"/>
      <w:r>
        <w:rPr>
          <w:rFonts w:ascii="Times New Roman;Times;serif" w:hAnsi="Times New Roman;Times;serif"/>
          <w:b/>
          <w:sz w:val="2"/>
        </w:rPr>
        <w:t>l4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DISH NETWORK</w:t>
      </w:r>
      <w:r>
        <w:rPr>
          <w:rFonts w:ascii="Times New Roman;Times;serif" w:hAnsi="Times New Roman;Times;serif"/>
          <w:sz w:val="20"/>
        </w:rPr>
        <w:t xml:space="preserve"> </w:t>
      </w:r>
      <w:r>
        <w:rPr>
          <w:rFonts w:ascii="Times New Roman;Times;serif" w:hAnsi="Times New Roman;Times;serif"/>
          <w:b/>
          <w:sz w:val="20"/>
        </w:rPr>
        <w:t>CORPORATION</w:t>
      </w:r>
    </w:p>
    <w:p>
      <w:pPr>
        <w:pStyle w:val="TextBody"/>
        <w:bidi w:val="0"/>
        <w:spacing w:before="0" w:after="0"/>
        <w:ind w:left="0" w:right="0" w:hanging="0"/>
        <w:jc w:val="center"/>
        <w:rPr>
          <w:rFonts w:ascii="Times New Roman;Times;serif" w:hAnsi="Times New Roman;Times;serif"/>
          <w:b/>
          <w:sz w:val="20"/>
        </w:rPr>
      </w:pPr>
      <w:bookmarkStart w:id="174" w:name="CONSOLIDATEDBALANCESHEETS_951354"/>
      <w:bookmarkEnd w:id="174"/>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5" w:name="Tc_UAC19cHiLUqHE9phmX90WA_56_5"/>
      <w:bookmarkStart w:id="176" w:name="Tc_hROouBcqx0qesUQ010LRJA_56_2"/>
      <w:bookmarkStart w:id="177" w:name="Tc_ZYgiIVSF0kmeMHB6W6iHnA_56_0"/>
      <w:bookmarkStart w:id="178" w:name="Tc_KntHElSENEi9JuxG6N4Pfg_55_0"/>
      <w:bookmarkStart w:id="179" w:name="Tc_FSlDutLpOk2lYHJrgV7kGA_54_0"/>
      <w:bookmarkStart w:id="180" w:name="Tc_pG_srJ5kd0mD4I8CVNVHCA_53_0"/>
      <w:bookmarkStart w:id="181" w:name="Tc_xGZ932A550-xEN3k5QJD9w_52_0"/>
      <w:bookmarkStart w:id="182" w:name="Tc_wAQDLWgC1kWmQYaPoc1IQA_51_0"/>
      <w:bookmarkStart w:id="183" w:name="Tc_xCW2W6YMOkemHc1nQcnHcA_50_0"/>
      <w:bookmarkStart w:id="184" w:name="Tc_fR1xapcI90aKZ0Y9f1pydQ_49_3"/>
      <w:bookmarkStart w:id="185" w:name="Narr_jYU0FSxob02EtHr6KADG7w"/>
      <w:bookmarkStart w:id="186" w:name="Tc_r4LUejDIzU2Wt78K0QM6ow_49_0"/>
      <w:bookmarkStart w:id="187" w:name="Tc_iMOuhfjMLkCI7HffmfCaYg_48_3"/>
      <w:bookmarkStart w:id="188" w:name="Narr_NfcfOoXBhECBVZSP_6-OOA"/>
      <w:bookmarkStart w:id="189" w:name="Tc_DbBvtnujF02lJ4iA4skSxw_48_0"/>
      <w:bookmarkStart w:id="190" w:name="Tc_e35Ihdh0wEutWMYYTY-JLQ_47_6"/>
      <w:bookmarkStart w:id="191" w:name="Tc_YLcPXmFOAUW9CLKJSojxtg_47_3"/>
      <w:bookmarkStart w:id="192" w:name="_c5574a07_e03f_46b6_8726_4b10a8aba5e7_3"/>
      <w:bookmarkStart w:id="193" w:name="_c5574a07_e03f_46b6_8726_4b10a8aba5e7_2"/>
      <w:bookmarkStart w:id="194" w:name="_c5574a07_e03f_46b6_8726_4b10a8aba5e7"/>
      <w:bookmarkStart w:id="195" w:name="Tc_pWE7jejx7kWCI2--JDmaVw_47_0"/>
      <w:bookmarkStart w:id="196" w:name="Tc_-OIk61md2EaAK5JbNaRkTg_46_0"/>
      <w:bookmarkStart w:id="197" w:name="Tc_jiZczc9fSUSFKr5XGlI1WQ_44_0"/>
      <w:bookmarkStart w:id="198" w:name="Tc_2W6-PDhdokm6yLgt-DXzvQ_42_0"/>
      <w:bookmarkStart w:id="199" w:name="Tc_b1OMq2DR9E62T123zkDd9w_40_0"/>
      <w:bookmarkStart w:id="200" w:name="Tc_U7u0r2zAHEa0s_XaFpIlMA_39_0"/>
      <w:bookmarkStart w:id="201" w:name="Tc_urUoP_3-cECKnuwJRbtRUQ_38_0"/>
      <w:bookmarkStart w:id="202" w:name="Tc_Qmb-Fd0pRkC-8eQa9C0xuA_37_0"/>
      <w:bookmarkStart w:id="203" w:name="Tc_kjy2tCI5IkuINi83PBEn3w_36_0"/>
      <w:bookmarkStart w:id="204" w:name="Tc_8XFAJcGtKE2i0bf3uLtyog_35_0"/>
      <w:bookmarkStart w:id="205" w:name="Tc_9gKUZU-RWkydGwfqk4hV6A_34_0"/>
      <w:bookmarkStart w:id="206" w:name="Tc_BMsNE0nge0iubabpzT-CcA_32_0"/>
      <w:bookmarkStart w:id="207" w:name="Tc_KLf2014hMEeQHYeFmwuhtw_31_0"/>
      <w:bookmarkStart w:id="208" w:name="Tc_VFEm1qw0x0OS741Opn0goQ_30_0"/>
      <w:bookmarkStart w:id="209" w:name="Tc_AGgoVqBlmE-uMROlWOnMlQ_29_0"/>
      <w:bookmarkStart w:id="210" w:name="Tc_em6hAoiqqUe_Mg_EWIaYVQ_28_0"/>
      <w:bookmarkStart w:id="211" w:name="Tc_l9liArpZ4k2KpUr8WRO7Zw_27_0"/>
      <w:bookmarkStart w:id="212" w:name="Tc_M8GRxSfvjkuZdV-ZkFB7VQ_26_5"/>
      <w:bookmarkStart w:id="213" w:name="Tc_W1S-YrkjK0CpqO5hW-OhQw_26_2"/>
      <w:bookmarkStart w:id="214" w:name="Tc_cB6noYKSj0esrBE31VAfXg_26_0"/>
      <w:bookmarkStart w:id="215" w:name="Tc_Z-d8xdkXA06oXwmwK7S_Eg_25_0"/>
      <w:bookmarkStart w:id="216" w:name="Tc_Iz_v7MXRYkWfOoi-V0NVgA_24_0"/>
      <w:bookmarkStart w:id="217" w:name="Tc_X82pkZA-ukC_cZL83Tbr9g_22_5"/>
      <w:bookmarkStart w:id="218" w:name="Tc_x_w8A5bgV0KaApo6nYjovw_22_2"/>
      <w:bookmarkStart w:id="219" w:name="Tc_A1-pbIOnEUOFBn5yaIVKgw_22_0"/>
      <w:bookmarkStart w:id="220" w:name="Tc_MwNRHNm7CUWp4ihOOIVY0g_21_0"/>
      <w:bookmarkStart w:id="221" w:name="Tc_WJ3HVuv28k-3p1uWXQh6gg_20_0"/>
      <w:bookmarkStart w:id="222" w:name="Tc_NC3sjxYCEkaq6P1CEeK8og_19_0"/>
      <w:bookmarkStart w:id="223" w:name="Tc_a5LPGmKjME2TJ14EJClHxA_18_0"/>
      <w:bookmarkStart w:id="224" w:name="Tc_7f4xmz7dpka-GwZsHSw3jQ_17_0"/>
      <w:bookmarkStart w:id="225" w:name="Tc_YUKTHo4mmEG5vjBp4KkaLA_16_0"/>
      <w:bookmarkStart w:id="226" w:name="Tc_iizcO7kyWEaBUxhDHp5qAQ_15_0"/>
      <w:bookmarkStart w:id="227" w:name="Tc_zM_5Ze4BI0uU4Ucb8OKK4A_14_0"/>
      <w:bookmarkStart w:id="228" w:name="Tc_2IftikuEQUKyWs4K5lL9GQ_13_0"/>
      <w:bookmarkStart w:id="229" w:name="Tc_XiLuszXTGEuU7swd1WsvJw_11_0"/>
      <w:bookmarkStart w:id="230" w:name="Tc_hQsIdIdvPU-tMtIxfFAHXA_10_0"/>
      <w:bookmarkStart w:id="231" w:name="Tc_Oy1P-_uPPESkxIAEb1iM5A_9_0"/>
      <w:bookmarkStart w:id="232" w:name="Tc_TN4JC8MRqE-FvvstCOc3Gw_8_0"/>
      <w:bookmarkStart w:id="233" w:name="Tc_MvnCZqw-dkuLB4qM6rjnxA_7_0"/>
      <w:bookmarkStart w:id="234" w:name="Tc_k20C-_pPEE2n0hFYYKYtxA_6_0"/>
      <w:bookmarkStart w:id="235" w:name="Tc_8eFd3D0ov0W8f4qr_YLIDQ_5_5"/>
      <w:bookmarkStart w:id="236" w:name="Tc_CpzCm_cK9UStiwcHjPKy5w_5_2"/>
      <w:bookmarkStart w:id="237" w:name="Tc_g-PgHc5p-kmTQ6dGuUhhPA_5_0"/>
      <w:bookmarkStart w:id="238" w:name="Tc_Mchz4v3DfUyUBvOtQJYUEQ_4_0"/>
      <w:bookmarkStart w:id="239" w:name="Tc_z0-t0oMpBEi7Lu93ZApSZw_3_0"/>
      <w:bookmarkStart w:id="240" w:name="Tc_GGwL54CY70iUPhh_jwNpTg_2_5"/>
      <w:bookmarkStart w:id="241" w:name="Tc_P7Yl6nhZDkyB2TkCNC5LUg_2_2"/>
      <w:bookmarkStart w:id="242" w:name="Tc_mlbG8zGUDkm9s4c6Ee5KUg_1_2"/>
      <w:bookmarkStart w:id="243" w:name="_add4e108_0821_4679_997a_5c1635804e91"/>
      <w:bookmarkStart w:id="244" w:name="Tc_UAC19cHiLUqHE9phmX90WA_56_5"/>
      <w:bookmarkStart w:id="245" w:name="Tc_hROouBcqx0qesUQ010LRJA_56_2"/>
      <w:bookmarkStart w:id="246" w:name="Tc_ZYgiIVSF0kmeMHB6W6iHnA_56_0"/>
      <w:bookmarkStart w:id="247" w:name="Tc_KntHElSENEi9JuxG6N4Pfg_55_0"/>
      <w:bookmarkStart w:id="248" w:name="Tc_FSlDutLpOk2lYHJrgV7kGA_54_0"/>
      <w:bookmarkStart w:id="249" w:name="Tc_pG_srJ5kd0mD4I8CVNVHCA_53_0"/>
      <w:bookmarkStart w:id="250" w:name="Tc_xGZ932A550-xEN3k5QJD9w_52_0"/>
      <w:bookmarkStart w:id="251" w:name="Tc_wAQDLWgC1kWmQYaPoc1IQA_51_0"/>
      <w:bookmarkStart w:id="252" w:name="Tc_xCW2W6YMOkemHc1nQcnHcA_50_0"/>
      <w:bookmarkStart w:id="253" w:name="Tc_fR1xapcI90aKZ0Y9f1pydQ_49_3"/>
      <w:bookmarkStart w:id="254" w:name="Narr_jYU0FSxob02EtHr6KADG7w"/>
      <w:bookmarkStart w:id="255" w:name="Tc_r4LUejDIzU2Wt78K0QM6ow_49_0"/>
      <w:bookmarkStart w:id="256" w:name="Tc_iMOuhfjMLkCI7HffmfCaYg_48_3"/>
      <w:bookmarkStart w:id="257" w:name="Narr_NfcfOoXBhECBVZSP_6-OOA"/>
      <w:bookmarkStart w:id="258" w:name="Tc_DbBvtnujF02lJ4iA4skSxw_48_0"/>
      <w:bookmarkStart w:id="259" w:name="Tc_e35Ihdh0wEutWMYYTY-JLQ_47_6"/>
      <w:bookmarkStart w:id="260" w:name="Tc_YLcPXmFOAUW9CLKJSojxtg_47_3"/>
      <w:bookmarkStart w:id="261" w:name="_c5574a07_e03f_46b6_8726_4b10a8aba5e7_3"/>
      <w:bookmarkStart w:id="262" w:name="_c5574a07_e03f_46b6_8726_4b10a8aba5e7_2"/>
      <w:bookmarkStart w:id="263" w:name="_c5574a07_e03f_46b6_8726_4b10a8aba5e7"/>
      <w:bookmarkStart w:id="264" w:name="Tc_pWE7jejx7kWCI2--JDmaVw_47_0"/>
      <w:bookmarkStart w:id="265" w:name="Tc_-OIk61md2EaAK5JbNaRkTg_46_0"/>
      <w:bookmarkStart w:id="266" w:name="Tc_jiZczc9fSUSFKr5XGlI1WQ_44_0"/>
      <w:bookmarkStart w:id="267" w:name="Tc_2W6-PDhdokm6yLgt-DXzvQ_42_0"/>
      <w:bookmarkStart w:id="268" w:name="Tc_b1OMq2DR9E62T123zkDd9w_40_0"/>
      <w:bookmarkStart w:id="269" w:name="Tc_U7u0r2zAHEa0s_XaFpIlMA_39_0"/>
      <w:bookmarkStart w:id="270" w:name="Tc_urUoP_3-cECKnuwJRbtRUQ_38_0"/>
      <w:bookmarkStart w:id="271" w:name="Tc_Qmb-Fd0pRkC-8eQa9C0xuA_37_0"/>
      <w:bookmarkStart w:id="272" w:name="Tc_kjy2tCI5IkuINi83PBEn3w_36_0"/>
      <w:bookmarkStart w:id="273" w:name="Tc_8XFAJcGtKE2i0bf3uLtyog_35_0"/>
      <w:bookmarkStart w:id="274" w:name="Tc_9gKUZU-RWkydGwfqk4hV6A_34_0"/>
      <w:bookmarkStart w:id="275" w:name="Tc_BMsNE0nge0iubabpzT-CcA_32_0"/>
      <w:bookmarkStart w:id="276" w:name="Tc_KLf2014hMEeQHYeFmwuhtw_31_0"/>
      <w:bookmarkStart w:id="277" w:name="Tc_VFEm1qw0x0OS741Opn0goQ_30_0"/>
      <w:bookmarkStart w:id="278" w:name="Tc_AGgoVqBlmE-uMROlWOnMlQ_29_0"/>
      <w:bookmarkStart w:id="279" w:name="Tc_em6hAoiqqUe_Mg_EWIaYVQ_28_0"/>
      <w:bookmarkStart w:id="280" w:name="Tc_l9liArpZ4k2KpUr8WRO7Zw_27_0"/>
      <w:bookmarkStart w:id="281" w:name="Tc_M8GRxSfvjkuZdV-ZkFB7VQ_26_5"/>
      <w:bookmarkStart w:id="282" w:name="Tc_W1S-YrkjK0CpqO5hW-OhQw_26_2"/>
      <w:bookmarkStart w:id="283" w:name="Tc_cB6noYKSj0esrBE31VAfXg_26_0"/>
      <w:bookmarkStart w:id="284" w:name="Tc_Z-d8xdkXA06oXwmwK7S_Eg_25_0"/>
      <w:bookmarkStart w:id="285" w:name="Tc_Iz_v7MXRYkWfOoi-V0NVgA_24_0"/>
      <w:bookmarkStart w:id="286" w:name="Tc_X82pkZA-ukC_cZL83Tbr9g_22_5"/>
      <w:bookmarkStart w:id="287" w:name="Tc_x_w8A5bgV0KaApo6nYjovw_22_2"/>
      <w:bookmarkStart w:id="288" w:name="Tc_A1-pbIOnEUOFBn5yaIVKgw_22_0"/>
      <w:bookmarkStart w:id="289" w:name="Tc_MwNRHNm7CUWp4ihOOIVY0g_21_0"/>
      <w:bookmarkStart w:id="290" w:name="Tc_WJ3HVuv28k-3p1uWXQh6gg_20_0"/>
      <w:bookmarkStart w:id="291" w:name="Tc_NC3sjxYCEkaq6P1CEeK8og_19_0"/>
      <w:bookmarkStart w:id="292" w:name="Tc_a5LPGmKjME2TJ14EJClHxA_18_0"/>
      <w:bookmarkStart w:id="293" w:name="Tc_7f4xmz7dpka-GwZsHSw3jQ_17_0"/>
      <w:bookmarkStart w:id="294" w:name="Tc_YUKTHo4mmEG5vjBp4KkaLA_16_0"/>
      <w:bookmarkStart w:id="295" w:name="Tc_iizcO7kyWEaBUxhDHp5qAQ_15_0"/>
      <w:bookmarkStart w:id="296" w:name="Tc_zM_5Ze4BI0uU4Ucb8OKK4A_14_0"/>
      <w:bookmarkStart w:id="297" w:name="Tc_2IftikuEQUKyWs4K5lL9GQ_13_0"/>
      <w:bookmarkStart w:id="298" w:name="Tc_XiLuszXTGEuU7swd1WsvJw_11_0"/>
      <w:bookmarkStart w:id="299" w:name="Tc_hQsIdIdvPU-tMtIxfFAHXA_10_0"/>
      <w:bookmarkStart w:id="300" w:name="Tc_Oy1P-_uPPESkxIAEb1iM5A_9_0"/>
      <w:bookmarkStart w:id="301" w:name="Tc_TN4JC8MRqE-FvvstCOc3Gw_8_0"/>
      <w:bookmarkStart w:id="302" w:name="Tc_MvnCZqw-dkuLB4qM6rjnxA_7_0"/>
      <w:bookmarkStart w:id="303" w:name="Tc_k20C-_pPEE2n0hFYYKYtxA_6_0"/>
      <w:bookmarkStart w:id="304" w:name="Tc_8eFd3D0ov0W8f4qr_YLIDQ_5_5"/>
      <w:bookmarkStart w:id="305" w:name="Tc_CpzCm_cK9UStiwcHjPKy5w_5_2"/>
      <w:bookmarkStart w:id="306" w:name="Tc_g-PgHc5p-kmTQ6dGuUhhPA_5_0"/>
      <w:bookmarkStart w:id="307" w:name="Tc_Mchz4v3DfUyUBvOtQJYUEQ_4_0"/>
      <w:bookmarkStart w:id="308" w:name="Tc_z0-t0oMpBEi7Lu93ZApSZw_3_0"/>
      <w:bookmarkStart w:id="309" w:name="Tc_GGwL54CY70iUPhh_jwNpTg_2_5"/>
      <w:bookmarkStart w:id="310" w:name="Tc_P7Yl6nhZDkyB2TkCNC5LUg_2_2"/>
      <w:bookmarkStart w:id="311" w:name="Tc_mlbG8zGUDkm9s4c6Ee5KUg_1_2"/>
      <w:bookmarkStart w:id="312" w:name="_add4e108_0821_4679_997a_5c1635804e91"/>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W w:w="10205" w:type="dxa"/>
        <w:jc w:val="left"/>
        <w:tblInd w:w="0" w:type="dxa"/>
        <w:tblLayout w:type="fixed"/>
        <w:tblCellMar>
          <w:top w:w="0" w:type="dxa"/>
          <w:left w:w="0" w:type="dxa"/>
          <w:bottom w:w="0" w:type="dxa"/>
          <w:right w:w="0" w:type="dxa"/>
        </w:tblCellMar>
      </w:tblPr>
      <w:tblGrid>
        <w:gridCol w:w="7355"/>
        <w:gridCol w:w="109"/>
        <w:gridCol w:w="196"/>
        <w:gridCol w:w="916"/>
        <w:gridCol w:w="326"/>
        <w:gridCol w:w="196"/>
        <w:gridCol w:w="916"/>
        <w:gridCol w:w="191"/>
      </w:tblGrid>
      <w:tr>
        <w:trPr/>
        <w:tc>
          <w:tcPr>
            <w:tcW w:w="7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670425" cy="175260"/>
                      <wp:effectExtent l="0" t="0" r="0" b="0"/>
                      <wp:wrapNone/>
                      <wp:docPr id="132" name="Frame132"/>
                      <a:graphic xmlns:a="http://schemas.openxmlformats.org/drawingml/2006/main">
                        <a:graphicData uri="http://schemas.microsoft.com/office/word/2010/wordprocessingShape">
                          <wps:wsp>
                            <wps:cNvSpPr txBox="1"/>
                            <wps:spPr>
                              <a:xfrm>
                                <a:off x="0" y="0"/>
                                <a:ext cx="467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81660" cy="175260"/>
                      <wp:effectExtent l="0" t="0" r="0" b="0"/>
                      <wp:wrapNone/>
                      <wp:docPr id="135" name="Frame13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37"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81660" cy="175260"/>
                      <wp:effectExtent l="0" t="0" r="0" b="0"/>
                      <wp:wrapNone/>
                      <wp:docPr id="138" name="Frame13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1285" cy="175260"/>
                      <wp:effectExtent l="0" t="0" r="0" b="0"/>
                      <wp:wrapNone/>
                      <wp:docPr id="139" name="Frame13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 </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373,641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1,785,056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Marketable investment securities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835,983</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accounts receivable, net of allowance for credit losses of $53,991 and $44,431,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890,333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953,812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497,058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502,373</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Prepaids and 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572,199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530,806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2,080</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2,343,661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4,610,110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Restricted cash, cash equivalents and marketable investment securities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104,614</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7,401,947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5,640,119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Regulatory authorizations,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38,114,249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36,933,073</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investments, net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168,200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2,934,862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2,687,522</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1,897,815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Intangible assets, net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159,490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565,109</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49,069,370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47,996,452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51,413,031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52,606,562</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 (Deficit)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accounts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673,291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924,438</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638,471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711,474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programming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1,427,762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1,298,777</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258,603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258,799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1,552,610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1,283,570</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 and finance lease obligations (Note 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3,041,429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1,547,190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7,592,166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6,024,248</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Long-Term Obligations, Net of Current Portion: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and finance lease obligations, net of current portion (Note 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18,178,288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19,801,948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4,557,262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4,930,135</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Operating lease liabilities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2,992,863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2,687,883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deferred revenue and other long-term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861,896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753,708</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long-term obligations,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26,590,309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28,173,674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34,182,475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34,197,922</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interests (Note 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438,382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464,359</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 xml:space="preserve">Stockholder's Equity (Deficit):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 par value, 1,000 shares authorized, 1,000 shares issued and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6"/>
              </w:rPr>
              <w:t>Class A common stock, $0.01</w:t>
            </w:r>
            <w:r>
              <w:rPr>
                <w:rFonts w:ascii="Times New Roman;Times;serif" w:hAnsi="Times New Roman;Times;serif"/>
                <w:sz w:val="24"/>
              </w:rPr>
              <w:t xml:space="preserve"> </w:t>
            </w:r>
            <w:r>
              <w:rPr>
                <w:rFonts w:ascii="Times New Roman;Times;serif" w:hAnsi="Times New Roman;Times;serif"/>
                <w:sz w:val="16"/>
              </w:rPr>
              <w:t>par value, 1,600,000,000</w:t>
            </w:r>
            <w:r>
              <w:rPr>
                <w:rFonts w:ascii="Times New Roman;Times;serif" w:hAnsi="Times New Roman;Times;serif"/>
                <w:sz w:val="24"/>
              </w:rPr>
              <w:t xml:space="preserve"> </w:t>
            </w:r>
            <w:r>
              <w:rPr>
                <w:rFonts w:ascii="Times New Roman;Times;serif" w:hAnsi="Times New Roman;Times;serif"/>
                <w:sz w:val="16"/>
              </w:rPr>
              <w:t>shares authorized, 292,660,308</w:t>
            </w:r>
            <w:r>
              <w:rPr>
                <w:rFonts w:ascii="Times New Roman;Times;serif" w:hAnsi="Times New Roman;Times;serif"/>
                <w:sz w:val="24"/>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4"/>
              </w:rPr>
              <w:t xml:space="preserve"> </w:t>
            </w:r>
            <w:r>
              <w:rPr>
                <w:rFonts w:ascii="Times New Roman;Times;serif" w:hAnsi="Times New Roman;Times;serif"/>
                <w:sz w:val="16"/>
              </w:rPr>
              <w:t>and outstanding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2,927</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6"/>
              </w:rPr>
              <w:t>Class B common stock, $0.01</w:t>
            </w:r>
            <w:r>
              <w:rPr>
                <w:rFonts w:ascii="Times New Roman;Times;serif" w:hAnsi="Times New Roman;Times;serif"/>
                <w:sz w:val="24"/>
              </w:rPr>
              <w:t xml:space="preserve"> </w:t>
            </w:r>
            <w:r>
              <w:rPr>
                <w:rFonts w:ascii="Times New Roman;Times;serif" w:hAnsi="Times New Roman;Times;serif"/>
                <w:sz w:val="16"/>
              </w:rPr>
              <w:t>par value, 800,000,000</w:t>
            </w:r>
            <w:r>
              <w:rPr>
                <w:rFonts w:ascii="Times New Roman;Times;serif" w:hAnsi="Times New Roman;Times;serif"/>
                <w:sz w:val="24"/>
              </w:rPr>
              <w:t xml:space="preserve"> </w:t>
            </w:r>
            <w:r>
              <w:rPr>
                <w:rFonts w:ascii="Times New Roman;Times;serif" w:hAnsi="Times New Roman;Times;serif"/>
                <w:sz w:val="16"/>
              </w:rPr>
              <w:t>shares authorized, 238,435,208</w:t>
            </w:r>
            <w:r>
              <w:rPr>
                <w:rFonts w:ascii="Times New Roman;Times;serif" w:hAnsi="Times New Roman;Times;serif"/>
                <w:sz w:val="24"/>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4"/>
              </w:rPr>
              <w:t xml:space="preserve"> </w:t>
            </w:r>
            <w:r>
              <w:rPr>
                <w:rFonts w:ascii="Times New Roman;Times;serif" w:hAnsi="Times New Roman;Times;serif"/>
                <w:sz w:val="16"/>
              </w:rPr>
              <w:t>and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4,916,120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4,851,392</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earnings (deficit)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11,876,627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13,088,850</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DISH Network stockholder's equity (deficit)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16,790,071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17,942,524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16,792,174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17,944,281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 (deficit)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51,413,031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52,606,562</w:t>
            </w:r>
          </w:p>
        </w:tc>
        <w:tc>
          <w:tcPr>
            <w:tcW w:w="191" w:type="dxa"/>
            <w:tcBorders/>
            <w:vAlign w:val="center"/>
          </w:tcPr>
          <w:p>
            <w:pPr>
              <w:pStyle w:val="TableContents"/>
              <w:bidi w:val="0"/>
              <w:spacing w:before="0" w:after="0"/>
              <w:ind w:left="0" w:right="0" w:hanging="0"/>
              <w:jc w:val="left"/>
              <w:rPr/>
            </w:pPr>
            <w:r>
              <w:rPr/>
              <w:t>​</w:t>
            </w:r>
          </w:p>
        </w:tc>
      </w:tr>
      <w:tr>
        <w:trPr/>
        <w:tc>
          <w:tcPr>
            <w:tcW w:w="73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313" w:name="_3268dff7_ee2c_42b8_87fc_235f634013dd"/>
      <w:bookmarkEnd w:id="313"/>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DISH NETWORK</w:t>
      </w:r>
      <w:r>
        <w:rPr>
          <w:rFonts w:ascii="Times New Roman;Times;serif" w:hAnsi="Times New Roman;Times;serif"/>
          <w:sz w:val="20"/>
        </w:rPr>
        <w:t xml:space="preserve"> </w:t>
      </w:r>
      <w:r>
        <w:rPr>
          <w:rFonts w:ascii="Times New Roman;Times;serif" w:hAnsi="Times New Roman;Times;serif"/>
          <w:b/>
          <w:sz w:val="20"/>
        </w:rPr>
        <w:t>CORPORATION</w:t>
      </w:r>
    </w:p>
    <w:p>
      <w:pPr>
        <w:pStyle w:val="TextBody"/>
        <w:bidi w:val="0"/>
        <w:spacing w:before="0" w:after="0"/>
        <w:ind w:left="0" w:right="0" w:hanging="0"/>
        <w:jc w:val="center"/>
        <w:rPr>
          <w:rFonts w:ascii="Times New Roman;Times;serif" w:hAnsi="Times New Roman;Times;serif"/>
          <w:b/>
          <w:sz w:val="20"/>
        </w:rPr>
      </w:pPr>
      <w:bookmarkStart w:id="314" w:name="CONSOLIDATEDSTATEMENTSOFOPERATIONSANDCOM"/>
      <w:bookmarkEnd w:id="314"/>
      <w:r>
        <w:rPr>
          <w:rFonts w:ascii="Times New Roman;Times;serif" w:hAnsi="Times New Roman;Times;serif"/>
          <w:b/>
          <w:sz w:val="20"/>
        </w:rPr>
        <w:t>CONSOLIDATED STATEMENTS OF OPERATIONS AND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15" w:name="Tc_Cg-Y6XzZK0SxTApomq0SPQ_40_8"/>
      <w:bookmarkStart w:id="316" w:name="Tc_VMcEot_QIUiQO1tubiBr5A_40_5"/>
      <w:bookmarkStart w:id="317" w:name="Tc_-SYcuexjxkaxToHS0kCD3A_40_2"/>
      <w:bookmarkStart w:id="318" w:name="Tc_0jcFzM27dEW7n1Y47qherg_40_0"/>
      <w:bookmarkStart w:id="319" w:name="Tc_TJ7PSFjdG0ecmFD-_zTFXA_39_0"/>
      <w:bookmarkStart w:id="320" w:name="Tc_0pe_dR6YbU67LhdFitW83Q_38_0"/>
      <w:bookmarkStart w:id="321" w:name="Tc_RI_mTmwMXEOJrojvGFytbQ_37_0"/>
      <w:bookmarkStart w:id="322" w:name="Tc_CLPdErQ1vkyDfZglUtz_Qg_36_0"/>
      <w:bookmarkStart w:id="323" w:name="Tc_oOd5zdtw50-IgJxaHuC50A_35_0"/>
      <w:bookmarkStart w:id="324" w:name="Tc_dN9D5zDWsE6MolgM2s9Y3g_34_0"/>
      <w:bookmarkStart w:id="325" w:name="Tc_zLg4M6LdAEevNBrOybid8A_33_0"/>
      <w:bookmarkStart w:id="326" w:name="Tc_ZxluPPbKY0Ozn21vwk1Stw_32_0"/>
      <w:bookmarkStart w:id="327" w:name="Tc_HyybAkZ8EU-kN1IEaGDAaA_31_8"/>
      <w:bookmarkStart w:id="328" w:name="Tc_Gb3nh9LcfUikOWeU15p7Mg_31_5"/>
      <w:bookmarkStart w:id="329" w:name="Tc_xnUL2oaH30O8aynBHoo0FQ_31_2"/>
      <w:bookmarkStart w:id="330" w:name="Tc_sQIZwQMZWUWO8AcAf-SiRQ_31_0"/>
      <w:bookmarkStart w:id="331" w:name="Tc_fhb7FRWi9EKz8z6u5mzBPg_30_0"/>
      <w:bookmarkStart w:id="332" w:name="Tc_GXCDWfwO0E-Y0xQIF64B-Q_28_8"/>
      <w:bookmarkStart w:id="333" w:name="Tc_a5-1OugrDUqbPyYNvtxZ7g_28_5"/>
      <w:bookmarkStart w:id="334" w:name="Tc_ZkxfXLbF7ESNpJ5g5XQevQ_28_2"/>
      <w:bookmarkStart w:id="335" w:name="Tc_pgJUasCnxk6FTw9izAhxsg_28_0"/>
      <w:bookmarkStart w:id="336" w:name="Tc_wZa95GQNJEiVXf1NNVtCnQ_27_0"/>
      <w:bookmarkStart w:id="337" w:name="Tc_EczCnN2EtkK7tutApzwynA_26_0"/>
      <w:bookmarkStart w:id="338" w:name="Tc_3eaoaIpLK02D3N5oABroag_25_0"/>
      <w:bookmarkStart w:id="339" w:name="Tc_39PQPWQQv06mxatKj2byjA_24_0"/>
      <w:bookmarkStart w:id="340" w:name="Tc_ENIimjoRjEqHiSFaiuGWig_22_0"/>
      <w:bookmarkStart w:id="341" w:name="Tc_M08xoZ-CUk2378DZNLybRQ_21_0"/>
      <w:bookmarkStart w:id="342" w:name="Tc_L3UE_YbktkmS8i-dIut6Bg_20_0"/>
      <w:bookmarkStart w:id="343" w:name="Tc_j0kNn7lV2k-1-7Be99WrLg_19_0"/>
      <w:bookmarkStart w:id="344" w:name="Tc_7aMphywSCEuzay5Vmpj_RQ_18_0"/>
      <w:bookmarkStart w:id="345" w:name="Tc_78QuAuTDH0a-5tGfFiseDA_16_0"/>
      <w:bookmarkStart w:id="346" w:name="Tc_uQAmd-FXR0OSsMCsjJwJ2A_14_0"/>
      <w:bookmarkStart w:id="347" w:name="Tc_q9uyiWE-a0KPPvVxah9SfA_13_9"/>
      <w:bookmarkStart w:id="348" w:name="Tc_JuOyjYPO9kGpPzA3l4qmuQ_13_6"/>
      <w:bookmarkStart w:id="349" w:name="Tc_KB_J1x9Kuk67vKwlBFnucA_13_0"/>
      <w:bookmarkStart w:id="350" w:name="Tc_UPd555pbEE6_vM1dblfriQ_12_0"/>
      <w:bookmarkStart w:id="351" w:name="Tc_D0C9wvk4p0ylPuqZxVR8gg_11_0"/>
      <w:bookmarkStart w:id="352" w:name="Tc_DyfUH10e-k26cYIwHf1xfg_10_0"/>
      <w:bookmarkStart w:id="353" w:name="Tc_rhAAfUgL3UShvANaMHTdxA_9_0"/>
      <w:bookmarkStart w:id="354" w:name="Tc_4MerukgurUGIcHeRK_lCuQ_8_0"/>
      <w:bookmarkStart w:id="355" w:name="Tc_dgz6DOkqTkOogcLNbRkxlA_6_0"/>
      <w:bookmarkStart w:id="356" w:name="Tc__MrKJY2IE0CSj2PgDa5cfw_5_0"/>
      <w:bookmarkStart w:id="357" w:name="Tc_HGK6hDiEgE2o-SVkMvkd0g_4_8"/>
      <w:bookmarkStart w:id="358" w:name="Tc_I4nFInEiaEm07KSndirLcA_4_5"/>
      <w:bookmarkStart w:id="359" w:name="Tc_8nsuNEMdnUqBMm9nY6Rj3w_4_2"/>
      <w:bookmarkStart w:id="360" w:name="Tc_Nvm1ELCIQ0-4mEd4VtU38g_4_0"/>
      <w:bookmarkStart w:id="361" w:name="Tc_8DtpEfe3vUGmKnxIsprE1Q_3_0"/>
      <w:bookmarkStart w:id="362" w:name="Tc_S2OA0uIxdUeZkjRBZCyorg_2_8"/>
      <w:bookmarkStart w:id="363" w:name="Tc_GescViKvo0-8m3NemrPAxg_2_5"/>
      <w:bookmarkStart w:id="364" w:name="Tc_CEMb4aoP1keM8zYO1QCctQ_2_2"/>
      <w:bookmarkStart w:id="365" w:name="Tc_TtrnTIjOlEuQrApbA_DRWA_1_2"/>
      <w:bookmarkStart w:id="366" w:name="_018fe2d6_1c69_4c0f_a359_927c1a306ccd"/>
      <w:bookmarkStart w:id="367" w:name="Tc_Cg-Y6XzZK0SxTApomq0SPQ_40_8"/>
      <w:bookmarkStart w:id="368" w:name="Tc_VMcEot_QIUiQO1tubiBr5A_40_5"/>
      <w:bookmarkStart w:id="369" w:name="Tc_-SYcuexjxkaxToHS0kCD3A_40_2"/>
      <w:bookmarkStart w:id="370" w:name="Tc_0jcFzM27dEW7n1Y47qherg_40_0"/>
      <w:bookmarkStart w:id="371" w:name="Tc_TJ7PSFjdG0ecmFD-_zTFXA_39_0"/>
      <w:bookmarkStart w:id="372" w:name="Tc_0pe_dR6YbU67LhdFitW83Q_38_0"/>
      <w:bookmarkStart w:id="373" w:name="Tc_RI_mTmwMXEOJrojvGFytbQ_37_0"/>
      <w:bookmarkStart w:id="374" w:name="Tc_CLPdErQ1vkyDfZglUtz_Qg_36_0"/>
      <w:bookmarkStart w:id="375" w:name="Tc_oOd5zdtw50-IgJxaHuC50A_35_0"/>
      <w:bookmarkStart w:id="376" w:name="Tc_dN9D5zDWsE6MolgM2s9Y3g_34_0"/>
      <w:bookmarkStart w:id="377" w:name="Tc_zLg4M6LdAEevNBrOybid8A_33_0"/>
      <w:bookmarkStart w:id="378" w:name="Tc_ZxluPPbKY0Ozn21vwk1Stw_32_0"/>
      <w:bookmarkStart w:id="379" w:name="Tc_HyybAkZ8EU-kN1IEaGDAaA_31_8"/>
      <w:bookmarkStart w:id="380" w:name="Tc_Gb3nh9LcfUikOWeU15p7Mg_31_5"/>
      <w:bookmarkStart w:id="381" w:name="Tc_xnUL2oaH30O8aynBHoo0FQ_31_2"/>
      <w:bookmarkStart w:id="382" w:name="Tc_sQIZwQMZWUWO8AcAf-SiRQ_31_0"/>
      <w:bookmarkStart w:id="383" w:name="Tc_fhb7FRWi9EKz8z6u5mzBPg_30_0"/>
      <w:bookmarkStart w:id="384" w:name="Tc_GXCDWfwO0E-Y0xQIF64B-Q_28_8"/>
      <w:bookmarkStart w:id="385" w:name="Tc_a5-1OugrDUqbPyYNvtxZ7g_28_5"/>
      <w:bookmarkStart w:id="386" w:name="Tc_ZkxfXLbF7ESNpJ5g5XQevQ_28_2"/>
      <w:bookmarkStart w:id="387" w:name="Tc_pgJUasCnxk6FTw9izAhxsg_28_0"/>
      <w:bookmarkStart w:id="388" w:name="Tc_wZa95GQNJEiVXf1NNVtCnQ_27_0"/>
      <w:bookmarkStart w:id="389" w:name="Tc_EczCnN2EtkK7tutApzwynA_26_0"/>
      <w:bookmarkStart w:id="390" w:name="Tc_3eaoaIpLK02D3N5oABroag_25_0"/>
      <w:bookmarkStart w:id="391" w:name="Tc_39PQPWQQv06mxatKj2byjA_24_0"/>
      <w:bookmarkStart w:id="392" w:name="Tc_ENIimjoRjEqHiSFaiuGWig_22_0"/>
      <w:bookmarkStart w:id="393" w:name="Tc_M08xoZ-CUk2378DZNLybRQ_21_0"/>
      <w:bookmarkStart w:id="394" w:name="Tc_L3UE_YbktkmS8i-dIut6Bg_20_0"/>
      <w:bookmarkStart w:id="395" w:name="Tc_j0kNn7lV2k-1-7Be99WrLg_19_0"/>
      <w:bookmarkStart w:id="396" w:name="Tc_7aMphywSCEuzay5Vmpj_RQ_18_0"/>
      <w:bookmarkStart w:id="397" w:name="Tc_78QuAuTDH0a-5tGfFiseDA_16_0"/>
      <w:bookmarkStart w:id="398" w:name="Tc_uQAmd-FXR0OSsMCsjJwJ2A_14_0"/>
      <w:bookmarkStart w:id="399" w:name="Tc_q9uyiWE-a0KPPvVxah9SfA_13_9"/>
      <w:bookmarkStart w:id="400" w:name="Tc_JuOyjYPO9kGpPzA3l4qmuQ_13_6"/>
      <w:bookmarkStart w:id="401" w:name="Tc_KB_J1x9Kuk67vKwlBFnucA_13_0"/>
      <w:bookmarkStart w:id="402" w:name="Tc_UPd555pbEE6_vM1dblfriQ_12_0"/>
      <w:bookmarkStart w:id="403" w:name="Tc_D0C9wvk4p0ylPuqZxVR8gg_11_0"/>
      <w:bookmarkStart w:id="404" w:name="Tc_DyfUH10e-k26cYIwHf1xfg_10_0"/>
      <w:bookmarkStart w:id="405" w:name="Tc_rhAAfUgL3UShvANaMHTdxA_9_0"/>
      <w:bookmarkStart w:id="406" w:name="Tc_4MerukgurUGIcHeRK_lCuQ_8_0"/>
      <w:bookmarkStart w:id="407" w:name="Tc_dgz6DOkqTkOogcLNbRkxlA_6_0"/>
      <w:bookmarkStart w:id="408" w:name="Tc__MrKJY2IE0CSj2PgDa5cfw_5_0"/>
      <w:bookmarkStart w:id="409" w:name="Tc_HGK6hDiEgE2o-SVkMvkd0g_4_8"/>
      <w:bookmarkStart w:id="410" w:name="Tc_I4nFInEiaEm07KSndirLcA_4_5"/>
      <w:bookmarkStart w:id="411" w:name="Tc_8nsuNEMdnUqBMm9nY6Rj3w_4_2"/>
      <w:bookmarkStart w:id="412" w:name="Tc_Nvm1ELCIQ0-4mEd4VtU38g_4_0"/>
      <w:bookmarkStart w:id="413" w:name="Tc_8DtpEfe3vUGmKnxIsprE1Q_3_0"/>
      <w:bookmarkStart w:id="414" w:name="Tc_S2OA0uIxdUeZkjRBZCyorg_2_8"/>
      <w:bookmarkStart w:id="415" w:name="Tc_GescViKvo0-8m3NemrPAxg_2_5"/>
      <w:bookmarkStart w:id="416" w:name="Tc_CEMb4aoP1keM8zYO1QCctQ_2_2"/>
      <w:bookmarkStart w:id="417" w:name="Tc_TtrnTIjOlEuQrApbA_DRWA_1_2"/>
      <w:bookmarkStart w:id="418" w:name="_018fe2d6_1c69_4c0f_a359_927c1a306ccd"/>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tbl>
      <w:tblPr>
        <w:tblW w:w="10205" w:type="dxa"/>
        <w:jc w:val="left"/>
        <w:tblInd w:w="0" w:type="dxa"/>
        <w:tblLayout w:type="fixed"/>
        <w:tblCellMar>
          <w:top w:w="0" w:type="dxa"/>
          <w:left w:w="0" w:type="dxa"/>
          <w:bottom w:w="0" w:type="dxa"/>
          <w:right w:w="0" w:type="dxa"/>
        </w:tblCellMar>
      </w:tblPr>
      <w:tblGrid>
        <w:gridCol w:w="5859"/>
        <w:gridCol w:w="146"/>
        <w:gridCol w:w="196"/>
        <w:gridCol w:w="936"/>
        <w:gridCol w:w="326"/>
        <w:gridCol w:w="196"/>
        <w:gridCol w:w="916"/>
        <w:gridCol w:w="326"/>
        <w:gridCol w:w="196"/>
        <w:gridCol w:w="916"/>
        <w:gridCol w:w="192"/>
      </w:tblGrid>
      <w:tr>
        <w:trPr/>
        <w:tc>
          <w:tcPr>
            <w:tcW w:w="5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720465" cy="175260"/>
                      <wp:effectExtent l="0" t="0" r="0" b="0"/>
                      <wp:wrapNone/>
                      <wp:docPr id="140" name="Frame140"/>
                      <a:graphic xmlns:a="http://schemas.openxmlformats.org/drawingml/2006/main">
                        <a:graphicData uri="http://schemas.microsoft.com/office/word/2010/wordprocessingShape">
                          <wps:wsp>
                            <wps:cNvSpPr txBox="1"/>
                            <wps:spPr>
                              <a:xfrm>
                                <a:off x="0" y="0"/>
                                <a:ext cx="3720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2710" cy="175260"/>
                      <wp:effectExtent l="0" t="0" r="0" b="0"/>
                      <wp:wrapNone/>
                      <wp:docPr id="141" name="Frame1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2"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4360" cy="175260"/>
                      <wp:effectExtent l="0" t="0" r="0" b="0"/>
                      <wp:wrapNone/>
                      <wp:docPr id="143" name="Frame143"/>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5"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81660" cy="175260"/>
                      <wp:effectExtent l="0" t="0" r="0" b="0"/>
                      <wp:wrapNone/>
                      <wp:docPr id="146" name="Frame1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8"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81660" cy="175260"/>
                      <wp:effectExtent l="0" t="0" r="0" b="0"/>
                      <wp:wrapNone/>
                      <wp:docPr id="149" name="Frame14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1920" cy="175260"/>
                      <wp:effectExtent l="0" t="0" r="0" b="0"/>
                      <wp:wrapNone/>
                      <wp:docPr id="150" name="Frame150"/>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0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2" w:type="dxa"/>
            <w:tcBorders/>
            <w:vAlign w:val="center"/>
          </w:tcPr>
          <w:p>
            <w:pPr>
              <w:pStyle w:val="TableContents"/>
              <w:bidi w:val="0"/>
              <w:spacing w:before="0" w:after="0"/>
              <w:ind w:left="0" w:right="0" w:hanging="0"/>
              <w:jc w:val="left"/>
              <w:rPr/>
            </w:pPr>
            <w:r>
              <w:rPr/>
              <w:t> </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revenue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14,721,682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16,014,284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16,929,860</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sales and other revenue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573,406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665,123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951,246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15,295,088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16,679,407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17,881,106</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Costs and Expenses (exclusive of depreciation and amortization):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8,989,961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9,558,484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10,185,906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sales - equipment and other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2,201,870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1,812,591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1,552,377</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2,521,062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2,545,593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2,214,936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1,181,921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724,852</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 and goodwill (Note 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costs and expenses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15,119,831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14,633,741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14,678,071</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175,257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2,045,666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3,203,035</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 of amounts capitalized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(16,174)</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 (Note 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(1,741,876)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1,038,982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(1,675,341)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1,058,977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15,721</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3,104,643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3,218,756</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 benefit, net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(731,736)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(762,810)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(1,128,422)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2,372,907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2,455,946</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Net income (loss) attributable to noncontrolling interests,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45,304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DISH Network</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(1,212,223)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2,303,233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2,410,642</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 (Loss):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(1,128,422)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2,372,907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2,455,946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Other comprehensive income (loss):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holding gains (losses) on available-for-sale debt securities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Recognition of previously unrealized (gains) losses on available-for-sale securities included in net income (loss)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(expense) benefit, net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Total other comprehensive income (loss),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(loss)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(1,128,069)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2,369,597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2,457,082</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Comprehensive income (loss) attributable to noncontrolling interests,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45,304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(loss) attributable to DISH Network</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(1,211,870)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2,299,923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2,411,778</w:t>
            </w:r>
          </w:p>
        </w:tc>
        <w:tc>
          <w:tcPr>
            <w:tcW w:w="192" w:type="dxa"/>
            <w:tcBorders/>
            <w:vAlign w:val="center"/>
          </w:tcPr>
          <w:p>
            <w:pPr>
              <w:pStyle w:val="TableContents"/>
              <w:bidi w:val="0"/>
              <w:spacing w:before="0" w:after="0"/>
              <w:ind w:left="0" w:right="0" w:hanging="0"/>
              <w:jc w:val="left"/>
              <w:rPr/>
            </w:pPr>
            <w:r>
              <w:rPr/>
              <w:t>​</w:t>
            </w:r>
          </w:p>
        </w:tc>
      </w:tr>
      <w:tr>
        <w:trPr/>
        <w:tc>
          <w:tcPr>
            <w:tcW w:w="58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419" w:name="_dbd51450_245e_4f4c_94e1_fe11a715e753"/>
      <w:bookmarkEnd w:id="419"/>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20"/>
        </w:rPr>
        <w:t>DISH NETWORK</w:t>
      </w:r>
      <w:r>
        <w:rPr>
          <w:rFonts w:ascii="Times New Roman;Times;serif" w:hAnsi="Times New Roman;Times;serif"/>
          <w:sz w:val="18"/>
        </w:rPr>
        <w:t xml:space="preserve"> </w:t>
      </w:r>
      <w:r>
        <w:rPr>
          <w:rFonts w:ascii="Times New Roman;Times;serif" w:hAnsi="Times New Roman;Times;serif"/>
          <w:b/>
          <w:sz w:val="18"/>
        </w:rPr>
        <w:t>CORPORATION</w:t>
      </w:r>
    </w:p>
    <w:p>
      <w:pPr>
        <w:pStyle w:val="TextBody"/>
        <w:bidi w:val="0"/>
        <w:spacing w:before="0" w:after="0"/>
        <w:ind w:left="0" w:right="0" w:hanging="0"/>
        <w:jc w:val="center"/>
        <w:rPr>
          <w:rFonts w:ascii="Times New Roman;Times;serif" w:hAnsi="Times New Roman;Times;serif"/>
          <w:b/>
          <w:sz w:val="18"/>
        </w:rPr>
      </w:pPr>
      <w:bookmarkStart w:id="420" w:name="CONSOLIDATEDSTATEMENTSOFCHANGESINSTOCKHO"/>
      <w:bookmarkEnd w:id="420"/>
      <w:r>
        <w:rPr>
          <w:rFonts w:ascii="Times New Roman;Times;serif" w:hAnsi="Times New Roman;Times;serif"/>
          <w:b/>
          <w:sz w:val="18"/>
        </w:rPr>
        <w:t>CONSOLIDATED STATEMENTS OF CHANGES IN STOCKHOLDER’S EQUITY (DEFICIT)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21" w:name="Tc_94lNxDbX_0uH8MsUGSNnqA_35_20"/>
      <w:bookmarkStart w:id="422" w:name="Tc_1pAYF5-19k6nTSOGBzH7jQ_35_17"/>
      <w:bookmarkStart w:id="423" w:name="Tc_0Kks4DdxAEOYJ46pyCUr0w_35_14"/>
      <w:bookmarkStart w:id="424" w:name="Tc_85rftuz9_0Kkum4vGYnEmw_35_11"/>
      <w:bookmarkStart w:id="425" w:name="Tc_N_bS_uZAS0uydaUWzAA8Xg_35_8"/>
      <w:bookmarkStart w:id="426" w:name="Tc_6xMu3odX_0adl6gA2TEJ6A_35_5"/>
      <w:bookmarkStart w:id="427" w:name="Tc_YG5qFld7C0mgyxJEK4PZsg_35_3"/>
      <w:bookmarkStart w:id="428" w:name="Tc_AcmPs4zegE-JHBo8R7SXzQ_35_2"/>
      <w:bookmarkStart w:id="429" w:name="Tc_wWrtJuvb8UqnfpbxKs6H8A_35_0"/>
      <w:bookmarkStart w:id="430" w:name="Tc_Osug-r0MoEm84ncCAGE7hQ_34_21"/>
      <w:bookmarkStart w:id="431" w:name="Tc_YcFKD76LHEyE2T4aUbJNnw_34_15"/>
      <w:bookmarkStart w:id="432" w:name="Tc_cHunOh3m2ECAK8PNOhAoow_34_9"/>
      <w:bookmarkStart w:id="433" w:name="Tc_CL3-njmN2UqQZ2_sFK_N1A_34_6"/>
      <w:bookmarkStart w:id="434" w:name="Tc_NC2ca5KBjkWMipSzbP0uLw_34_3"/>
      <w:bookmarkStart w:id="435" w:name="Tc_9B3MvbToL02ty5pdAYGPYA_34_0"/>
      <w:bookmarkStart w:id="436" w:name="Tc_EBT9sFgtm0CjQM3M2lplaw_33_12"/>
      <w:bookmarkStart w:id="437" w:name="Tc_85k5hnjm40eMnpErVxhnYA_33_9"/>
      <w:bookmarkStart w:id="438" w:name="Tc_LL2W8Yj5REy4AIMDFRHPYg_33_6"/>
      <w:bookmarkStart w:id="439" w:name="Tc_mymj5gp1C0qNWTOmSCy4gg_33_3"/>
      <w:bookmarkStart w:id="440" w:name="Tc_dGTU2L-pL06l4GfsXnGM7g_33_0"/>
      <w:bookmarkStart w:id="441" w:name="Tc_Oz6lOzWyf0W3gfTsonURTA_32_21"/>
      <w:bookmarkStart w:id="442" w:name="Tc_IkuzLLG2QkmHU4pNtkfvFg_32_18"/>
      <w:bookmarkStart w:id="443" w:name="Tc_UQNYPeoGwkmTyLiGdk-CQA_32_15"/>
      <w:bookmarkStart w:id="444" w:name="Tc_LSNrJ7dMfkqLAZ6X32ecRQ_32_12"/>
      <w:bookmarkStart w:id="445" w:name="Tc_JfQ4arhAVUCQ3r705BYKpw_32_9"/>
      <w:bookmarkStart w:id="446" w:name="Tc_e9IHR3Lm_k-RMqUxhJImbA_32_0"/>
      <w:bookmarkStart w:id="447" w:name="Tc_x-_gneoEg0SzoL2yrd7p_A_31_18"/>
      <w:bookmarkStart w:id="448" w:name="Tc_ONgu5ReJ7kiockIALXtxlw_31_15"/>
      <w:bookmarkStart w:id="449" w:name="Tc_buTZfs77LEGt_BG4wrw-dg_31_12"/>
      <w:bookmarkStart w:id="450" w:name="Tc_ifymwAp0DEqswJrUp02jBQ_31_9"/>
      <w:bookmarkStart w:id="451" w:name="Tc_kRzWepUzhkmf1Af38U4q7A_31_6"/>
      <w:bookmarkStart w:id="452" w:name="Tc_g3x5pdJj-kWhvSt8K8Gtnw_31_3"/>
      <w:bookmarkStart w:id="453" w:name="Tc_ggMJwMBiJUmpt5rNzsNd6w_31_0"/>
      <w:bookmarkStart w:id="454" w:name="Tc_rwIklION10yhpA_Sg0dFNw_30_21"/>
      <w:bookmarkStart w:id="455" w:name="Tc_-2J7_4z8EU-ZD6Opi0k_yg_30_15"/>
      <w:bookmarkStart w:id="456" w:name="Tc_pSxFk7TxhUiVYN0ZwsLIOQ_30_12"/>
      <w:bookmarkStart w:id="457" w:name="Tc_0pUtL5bAEEqdBH3u6YUwmw_30_6"/>
      <w:bookmarkStart w:id="458" w:name="Tc_HJmpFWbIkESxk-lorCvq-w_30_3"/>
      <w:bookmarkStart w:id="459" w:name="Tc_l_Vh4t_8A0CKzi4UYIaZXg_30_0"/>
      <w:bookmarkStart w:id="460" w:name="Tc_YveNwo2gD0y8AwvDAr28pA_29_21"/>
      <w:bookmarkStart w:id="461" w:name="Tc_uh5YUBCe0E2h10o4bmtOYw_29_15"/>
      <w:bookmarkStart w:id="462" w:name="Tc_u-dWpLdHTECnVjHUFMPCFg_29_12"/>
      <w:bookmarkStart w:id="463" w:name="Tc_4HxvyTEnn0G2fQzGD-cYpQ_29_9"/>
      <w:bookmarkStart w:id="464" w:name="Tc_dVf3y8jKIE-XHCfH-3Jjmg_29_3"/>
      <w:bookmarkStart w:id="465" w:name="Tc_aPtVJdqnDUCyhoVDnCVoiw_29_0"/>
      <w:bookmarkStart w:id="466" w:name="Tc_HdHKsBRD2E-HtAnu-o_vXA_28_21"/>
      <w:bookmarkStart w:id="467" w:name="Tc_Y69e26qizUm-kEnuU54w0A_28_15"/>
      <w:bookmarkStart w:id="468" w:name="Tc_69Ql1gDlV06yzwfBW_MvSw_28_12"/>
      <w:bookmarkStart w:id="469" w:name="Tc__eh3KILWqUCmmgb3KNRAAA_28_9"/>
      <w:bookmarkStart w:id="470" w:name="Tc_4nRaMjTFDEiS4jcNlX1xxQ_28_0"/>
      <w:bookmarkStart w:id="471" w:name="Tc_tuMrLXlRg0afiYCgU-OnvA_27_21"/>
      <w:bookmarkStart w:id="472" w:name="Tc_Hq2MrCfzgkOxWTyJY8ZKAQ_27_15"/>
      <w:bookmarkStart w:id="473" w:name="Tc_0xGENh43zEWEhHdILqr3sQ_27_12"/>
      <w:bookmarkStart w:id="474" w:name="Tc_NWeaTteQb0OK2jm3tH4NHw_27_9"/>
      <w:bookmarkStart w:id="475" w:name="Tc_84QQHVJ83EuSSsTJg2cX-Q_27_0"/>
      <w:bookmarkStart w:id="476" w:name="Tc_VSIXE7uGvk2CMk6q9TdSLg_26_21"/>
      <w:bookmarkStart w:id="477" w:name="Tc_vBIygNsvikGVfahrq_YUgg_26_15"/>
      <w:bookmarkStart w:id="478" w:name="Tc_kLseeGAKbUyFZb4ce5II3Q_26_12"/>
      <w:bookmarkStart w:id="479" w:name="Tc__JDYT0o6tUCRPHSDtTOLCw_26_9"/>
      <w:bookmarkStart w:id="480" w:name="Tc_8QDjINRmOE2l3ZJjiD_rWg_26_0"/>
      <w:bookmarkStart w:id="481" w:name="Tc_1DJe5DrxUkWQ41c4K62DCw_25_0"/>
      <w:bookmarkStart w:id="482" w:name="Tc_AUMFMuzo90SgIa_LT-8-Nw_24_20"/>
      <w:bookmarkStart w:id="483" w:name="Tc_potCl5TPjEeJW5maS2yzKw_24_17"/>
      <w:bookmarkStart w:id="484" w:name="Tc_OfWk-CfiHkOomdXou-bxhw_24_14"/>
      <w:bookmarkStart w:id="485" w:name="Tc_sKAvjiWDGkiClgg78GOVkg_24_11"/>
      <w:bookmarkStart w:id="486" w:name="Tc_-EWiazfb9EeYh8UFmmIyfw_24_8"/>
      <w:bookmarkStart w:id="487" w:name="Tc_iuilSmenwUC9OYxw6D5EGQ_24_5"/>
      <w:bookmarkStart w:id="488" w:name="Tc_WIugISLY00GGYXS2CaS-5Q_24_2"/>
      <w:bookmarkStart w:id="489" w:name="Tc_FS87xxm8bUmMoLP7TV9elQ_24_0"/>
      <w:bookmarkStart w:id="490" w:name="Tc_7YuXL8oqZ06wXaQIPoxo_A_23_21"/>
      <w:bookmarkStart w:id="491" w:name="Tc_jmZvg8hKiE6X86q-s7qMKA_23_15"/>
      <w:bookmarkStart w:id="492" w:name="Tc_DXUe3f3y00yt3qcJOTOCNA_23_9"/>
      <w:bookmarkStart w:id="493" w:name="Tc_0w7SeEusR0mazUivgh7x-A_23_6"/>
      <w:bookmarkStart w:id="494" w:name="Tc_JQQw0VSlyEObKOuu27CCkQ_23_3"/>
      <w:bookmarkStart w:id="495" w:name="Tc_LbBxw6bNcUaKkXDm_YNVJQ_23_0"/>
      <w:bookmarkStart w:id="496" w:name="Tc_ib-iwgFC5kOXRFUfd2BsPQ_22_12"/>
      <w:bookmarkStart w:id="497" w:name="Tc_1v98mJLZjEanI6o1Neci_Q_22_9"/>
      <w:bookmarkStart w:id="498" w:name="Tc_E_ubbeWQSEWGNdFShHKB1A_22_6"/>
      <w:bookmarkStart w:id="499" w:name="Tc_8mWaq_yDJ0Stt6Nz2gvZtA_22_3"/>
      <w:bookmarkStart w:id="500" w:name="Tc_MXenxinSUEGspjHZarTOQw_22_0"/>
      <w:bookmarkStart w:id="501" w:name="Tc_TQEu83OJgE2Q4j2H-9cKRw_21_21"/>
      <w:bookmarkStart w:id="502" w:name="Tc_pHDVkO_6TEm7onopuVyS9A_21_15"/>
      <w:bookmarkStart w:id="503" w:name="Tc_sa_ECbEmzEmSiqNwfSF8ag_21_12"/>
      <w:bookmarkStart w:id="504" w:name="Tc_EuWClj8HwESdqSlRu1lfcg_21_6"/>
      <w:bookmarkStart w:id="505" w:name="Tc_BgHAvRi5PUCfbmf1DQQquw_21_3"/>
      <w:bookmarkStart w:id="506" w:name="Tc_s8_3QqIymkeBchBQFm1yzg_21_0"/>
      <w:bookmarkStart w:id="507" w:name="Tc_r1foxLCn-06GYuaRvTTpOA_20_21"/>
      <w:bookmarkStart w:id="508" w:name="Tc_tEBG9z6TsEyufx0mPvkWVQ_20_15"/>
      <w:bookmarkStart w:id="509" w:name="Tc_x31AmXy0HkC0xTRDAlabrw_20_12"/>
      <w:bookmarkStart w:id="510" w:name="Tc_4IF1Cx-c3UGYN-I_LmC-_w_20_9"/>
      <w:bookmarkStart w:id="511" w:name="Tc_TW8TPcRFRUe4u3_1flfCzQ_20_3"/>
      <w:bookmarkStart w:id="512" w:name="Tc_LQL8sYnzX0mHmDQ-Jcioeg_20_0"/>
      <w:bookmarkStart w:id="513" w:name="Tc_24GkG6WdIUCmuA4gErf56g_19_21"/>
      <w:bookmarkStart w:id="514" w:name="Tc__7aeMWBWZEagCFIBAH4Hng_19_15"/>
      <w:bookmarkStart w:id="515" w:name="Tc_KczhnsFL3kiN0Q209B6jrA_19_12"/>
      <w:bookmarkStart w:id="516" w:name="Tc_mPrZiION60KFQcEy_LGJJA_19_9"/>
      <w:bookmarkStart w:id="517" w:name="Tc_n1dHJ5pnFE67ZwNPN1elVg_19_0"/>
      <w:bookmarkStart w:id="518" w:name="Tc_lsz4n6KLxEOUtCwe1XjY6A_18_21"/>
      <w:bookmarkStart w:id="519" w:name="Tc_SVJ-WDEnP0yW_3jhYoTH-Q_18_15"/>
      <w:bookmarkStart w:id="520" w:name="Tc_8QmAPPt6L0iB9AXk87WHew_18_12"/>
      <w:bookmarkStart w:id="521" w:name="Tc_z1_WzH-tvUSsOSpsuCWajg_18_9"/>
      <w:bookmarkStart w:id="522" w:name="Tc_IfX23yzy50GO2xu6ZOE_tA_18_0"/>
      <w:bookmarkStart w:id="523" w:name="Tc_hslQz0NKUkqcW4UAdqkkYg_17_21"/>
      <w:bookmarkStart w:id="524" w:name="Tc_I-k6vRQY_E6KvHFs-cZWCg_17_15"/>
      <w:bookmarkStart w:id="525" w:name="Tc_SLUsUxrS6k2giyUCJewM4w_17_12"/>
      <w:bookmarkStart w:id="526" w:name="Tc_8nZWPtYJz0Sf_Vd57Tk4xA_17_9"/>
      <w:bookmarkStart w:id="527" w:name="Tc_7JPNBig7dkG354NgKTzltw_17_0"/>
      <w:bookmarkStart w:id="528" w:name="Tc_iLZCsX4rdEC_VTfHOMhgXw_16_0"/>
      <w:bookmarkStart w:id="529" w:name="Tc_DKbk7IrFwkSHjjJ-z2o8Uw_15_20"/>
      <w:bookmarkStart w:id="530" w:name="Tc_E6fuzP3N1kqu1RGQED563Q_15_17"/>
      <w:bookmarkStart w:id="531" w:name="Tc_sfAzN_KAYkGdQ5H1oEAknQ_15_14"/>
      <w:bookmarkStart w:id="532" w:name="Tc_n-Dn9T7CCkSzp1rYdqpOBA_15_11"/>
      <w:bookmarkStart w:id="533" w:name="Tc_V28jKX-g80OE1GeVKY6LJw_15_8"/>
      <w:bookmarkStart w:id="534" w:name="Tc_GDMnlikM0kysQRaQ7jkK-Q_15_5"/>
      <w:bookmarkStart w:id="535" w:name="Tc_tSv7tccRGkCUnOrt9qbuJQ_15_2"/>
      <w:bookmarkStart w:id="536" w:name="Tc_cZqsOa-C20WwJntbmUvNVw_15_0"/>
      <w:bookmarkStart w:id="537" w:name="Tc_l51cCN1nwkSJZczjB7-8jQ_14_21"/>
      <w:bookmarkStart w:id="538" w:name="Tc_8pH4nHlitECXeXFUEc3V1Q_14_15"/>
      <w:bookmarkStart w:id="539" w:name="Tc_QMhMXl9BNkON5v-RSGF7yw_14_9"/>
      <w:bookmarkStart w:id="540" w:name="Tc_yriBaXPFpUqc4f3PXbTjgQ_14_6"/>
      <w:bookmarkStart w:id="541" w:name="Tc_44ALRiLqqkKqkGjLegXeKg_14_3"/>
      <w:bookmarkStart w:id="542" w:name="Tc_M5u_7gfxr0qNrrFaVksBZQ_14_0"/>
      <w:bookmarkStart w:id="543" w:name="Tc_iP_CVvSiZ0eslxTIUdS2Ng_13_12"/>
      <w:bookmarkStart w:id="544" w:name="Tc_E5MJqvr42k260KViF1xN0Q_13_9"/>
      <w:bookmarkStart w:id="545" w:name="Tc_qjRcpv5RnUCk35eu6VA2rw_13_6"/>
      <w:bookmarkStart w:id="546" w:name="Tc_aHrSDwiUKEmvQY3x9v1eoA_13_3"/>
      <w:bookmarkStart w:id="547" w:name="Tc_U4JbFi2dEEm0Kv43huEn4Q_13_0"/>
      <w:bookmarkStart w:id="548" w:name="Tc_UmLHxfwC1kGolG3Z2thA6Q_12_21"/>
      <w:bookmarkStart w:id="549" w:name="Tc_MCS7Pr1_l0Cw25Va8iPm2Q_12_15"/>
      <w:bookmarkStart w:id="550" w:name="Tc_xkUFrmLHvkCkUvIcFOyurw_12_12"/>
      <w:bookmarkStart w:id="551" w:name="Tc_Kyee6kmuT0ehoJlwavuwUw_12_6"/>
      <w:bookmarkStart w:id="552" w:name="Tc_q2LJPkDPa0K8psOu8Crvzg_12_3"/>
      <w:bookmarkStart w:id="553" w:name="Tc_DYfupPL_0Em_slKUJM46Mg_12_0"/>
      <w:bookmarkStart w:id="554" w:name="Tc_3jJYz_KVnkKkZaSYAmGAoQ_11_21"/>
      <w:bookmarkStart w:id="555" w:name="Tc_ERX2nVMf7ESTX1_h4JC4ZA_11_15"/>
      <w:bookmarkStart w:id="556" w:name="Tc_u1OIqO7cmEeb1JruEQHp3w_11_12"/>
      <w:bookmarkStart w:id="557" w:name="Tc_7V4f3Gp2Yk6TfTe0LW2UOQ_11_9"/>
      <w:bookmarkStart w:id="558" w:name="Tc_cOXKqDZ6qUWQIWQAOekYJw_11_3"/>
      <w:bookmarkStart w:id="559" w:name="Tc_MqyBpcGW_kaASlqyLl76og_11_0"/>
      <w:bookmarkStart w:id="560" w:name="Tc_V6jIid0ToE2YPloNLxgD2A_10_21"/>
      <w:bookmarkStart w:id="561" w:name="Tc_I-VVJyVDN0KI6sFL3s_OOQ_10_15"/>
      <w:bookmarkStart w:id="562" w:name="Tc_CBJ99z06cUKZW8cFO2kMTQ_10_12"/>
      <w:bookmarkStart w:id="563" w:name="Tc_2ivWuyrzdk-lkRxsM6VFUA_10_9"/>
      <w:bookmarkStart w:id="564" w:name="Tc_1IvG1b-m_kynhZPKVnJVcg_10_3"/>
      <w:bookmarkStart w:id="565" w:name="Tc_6R-NuKozwUWghsh1MfdH9A_10_0"/>
      <w:bookmarkStart w:id="566" w:name="Tc_k94a2tZd1Uq338I5Fqik3w_9_21"/>
      <w:bookmarkStart w:id="567" w:name="Tc_Tp2bpOH6UUS5ILoqedkEvg_9_15"/>
      <w:bookmarkStart w:id="568" w:name="Tc_TunVs_4Xikei_wDF-KqXvA_9_12"/>
      <w:bookmarkStart w:id="569" w:name="Tc_P6SHdU76qkyVi0ea8egtRQ_9_9"/>
      <w:bookmarkStart w:id="570" w:name="Tc_ujfPfLHs5ESF_tnb5QaYPw_9_0"/>
      <w:bookmarkStart w:id="571" w:name="Tc_tmGJENtpI0iDJCjbIYxzBg_8_0"/>
      <w:bookmarkStart w:id="572" w:name="Tc_EWqwFPvbL0KdDMM2HskrZQ_7_21"/>
      <w:bookmarkStart w:id="573" w:name="Tc_Cq978bMgfkiaASwsYlfrtA_7_15"/>
      <w:bookmarkStart w:id="574" w:name="Tc_wGour8jpV0Co6sxTaV_AAQ_7_12"/>
      <w:bookmarkStart w:id="575" w:name="Tc_OgazHwi3o0WP_-VMj7w92g_7_9"/>
      <w:bookmarkStart w:id="576" w:name="Tc_Mbx5U9KpgUyKZsD9ykx8BQ_7_0"/>
      <w:bookmarkStart w:id="577" w:name="Tc_aDQPr_h-W0SFPsjXeOAcqQ_6_0"/>
      <w:bookmarkStart w:id="578" w:name="Tc_Qpk19iLlpUCWeiMQaqyOoQ_5_20"/>
      <w:bookmarkStart w:id="579" w:name="Tc_Mw3MH-r0qkW7u9XX1p2vaQ_5_17"/>
      <w:bookmarkStart w:id="580" w:name="Tc_V4T2KMwnTUGIO7COpoDfqA_5_14"/>
      <w:bookmarkStart w:id="581" w:name="Tc_b--pNBhSoEaGCAdW-DfLqw_5_11"/>
      <w:bookmarkStart w:id="582" w:name="Tc_HhpqlM4-jU6gQCkdsDooNw_5_8"/>
      <w:bookmarkStart w:id="583" w:name="Tc_OfJJrO7AFk2pfxfqL4vg3Q_5_5"/>
      <w:bookmarkStart w:id="584" w:name="Tc_6vmYlr8VrU-0Y_t9S_EOwA_5_2"/>
      <w:bookmarkStart w:id="585" w:name="Tc_QIsA18FVpkuHJKe6OfhEIA_5_0"/>
      <w:bookmarkStart w:id="586" w:name="Tc_x8Ut5IoODkan3DMlPmC58A_4_20"/>
      <w:bookmarkStart w:id="587" w:name="Tc_qSpCFk_nEk6i0BApZZUqlQ_4_17"/>
      <w:bookmarkStart w:id="588" w:name="Tc_eYy5yHkDvECmiLx2GoYpIA_4_14"/>
      <w:bookmarkStart w:id="589" w:name="Tc_5efQO_uoSU6HhgIwYFK6iA_4_11"/>
      <w:bookmarkStart w:id="590" w:name="Tc_tHzhCbwqmU-IuDdnK1zYmw_4_8"/>
      <w:bookmarkStart w:id="591" w:name="Tc_bqgg-bV4AUSaLyQImqmUGg_4_5"/>
      <w:bookmarkStart w:id="592" w:name="Tc_XCAzXnSPiU-Aw19hjWVABg_4_2"/>
      <w:bookmarkStart w:id="593" w:name="Tc_UnMy3vReTUKEmQDWUYhA-w_3_20"/>
      <w:bookmarkStart w:id="594" w:name="Tc_LGp8seS-XUq5w9uzpNr0SA_3_14"/>
      <w:bookmarkStart w:id="595" w:name="Tc_OX5KwoI2TEuq0oFcb_C3jQ_3_11"/>
      <w:bookmarkStart w:id="596" w:name="Tc_nuzySgRyGU6qtHkGNP2B4Q_3_8"/>
      <w:bookmarkStart w:id="597" w:name="Tc_DUNf9ZQrwEa4twyViAfL2w_3_5"/>
      <w:bookmarkStart w:id="598" w:name="Tc_gJeXYKPt6EO2PhhzUp3XsA_3_2"/>
      <w:bookmarkStart w:id="599" w:name="Tc_XseiuV_RDUOTf2P_VPFJMw_2_20"/>
      <w:bookmarkStart w:id="600" w:name="Tc_E7VZ9AP4pkS_sCavDx6Juw_2_11"/>
      <w:bookmarkStart w:id="601" w:name="Tc_kLHgIUnnxUSusEcpAGFf6w_2_8"/>
      <w:bookmarkStart w:id="602" w:name="Tc_g8S9bx-SgUeNaKU0vcuAPA_2_5"/>
      <w:bookmarkStart w:id="603" w:name="Tc_R_vo1B0xfU2BCJjLMdowwA_2_2"/>
      <w:bookmarkStart w:id="604" w:name="Tc_ztA-XkmyVkey9NdT-ukpGQ_1_8"/>
      <w:bookmarkStart w:id="605" w:name="_00df48fa_7aa2_4330_9ed3_d44b691046dc"/>
      <w:bookmarkStart w:id="606" w:name="Tc_94lNxDbX_0uH8MsUGSNnqA_35_20"/>
      <w:bookmarkStart w:id="607" w:name="Tc_1pAYF5-19k6nTSOGBzH7jQ_35_17"/>
      <w:bookmarkStart w:id="608" w:name="Tc_0Kks4DdxAEOYJ46pyCUr0w_35_14"/>
      <w:bookmarkStart w:id="609" w:name="Tc_85rftuz9_0Kkum4vGYnEmw_35_11"/>
      <w:bookmarkStart w:id="610" w:name="Tc_N_bS_uZAS0uydaUWzAA8Xg_35_8"/>
      <w:bookmarkStart w:id="611" w:name="Tc_6xMu3odX_0adl6gA2TEJ6A_35_5"/>
      <w:bookmarkStart w:id="612" w:name="Tc_YG5qFld7C0mgyxJEK4PZsg_35_3"/>
      <w:bookmarkStart w:id="613" w:name="Tc_AcmPs4zegE-JHBo8R7SXzQ_35_2"/>
      <w:bookmarkStart w:id="614" w:name="Tc_wWrtJuvb8UqnfpbxKs6H8A_35_0"/>
      <w:bookmarkStart w:id="615" w:name="Tc_Osug-r0MoEm84ncCAGE7hQ_34_21"/>
      <w:bookmarkStart w:id="616" w:name="Tc_YcFKD76LHEyE2T4aUbJNnw_34_15"/>
      <w:bookmarkStart w:id="617" w:name="Tc_cHunOh3m2ECAK8PNOhAoow_34_9"/>
      <w:bookmarkStart w:id="618" w:name="Tc_CL3-njmN2UqQZ2_sFK_N1A_34_6"/>
      <w:bookmarkStart w:id="619" w:name="Tc_NC2ca5KBjkWMipSzbP0uLw_34_3"/>
      <w:bookmarkStart w:id="620" w:name="Tc_9B3MvbToL02ty5pdAYGPYA_34_0"/>
      <w:bookmarkStart w:id="621" w:name="Tc_EBT9sFgtm0CjQM3M2lplaw_33_12"/>
      <w:bookmarkStart w:id="622" w:name="Tc_85k5hnjm40eMnpErVxhnYA_33_9"/>
      <w:bookmarkStart w:id="623" w:name="Tc_LL2W8Yj5REy4AIMDFRHPYg_33_6"/>
      <w:bookmarkStart w:id="624" w:name="Tc_mymj5gp1C0qNWTOmSCy4gg_33_3"/>
      <w:bookmarkStart w:id="625" w:name="Tc_dGTU2L-pL06l4GfsXnGM7g_33_0"/>
      <w:bookmarkStart w:id="626" w:name="Tc_Oz6lOzWyf0W3gfTsonURTA_32_21"/>
      <w:bookmarkStart w:id="627" w:name="Tc_IkuzLLG2QkmHU4pNtkfvFg_32_18"/>
      <w:bookmarkStart w:id="628" w:name="Tc_UQNYPeoGwkmTyLiGdk-CQA_32_15"/>
      <w:bookmarkStart w:id="629" w:name="Tc_LSNrJ7dMfkqLAZ6X32ecRQ_32_12"/>
      <w:bookmarkStart w:id="630" w:name="Tc_JfQ4arhAVUCQ3r705BYKpw_32_9"/>
      <w:bookmarkStart w:id="631" w:name="Tc_e9IHR3Lm_k-RMqUxhJImbA_32_0"/>
      <w:bookmarkStart w:id="632" w:name="Tc_x-_gneoEg0SzoL2yrd7p_A_31_18"/>
      <w:bookmarkStart w:id="633" w:name="Tc_ONgu5ReJ7kiockIALXtxlw_31_15"/>
      <w:bookmarkStart w:id="634" w:name="Tc_buTZfs77LEGt_BG4wrw-dg_31_12"/>
      <w:bookmarkStart w:id="635" w:name="Tc_ifymwAp0DEqswJrUp02jBQ_31_9"/>
      <w:bookmarkStart w:id="636" w:name="Tc_kRzWepUzhkmf1Af38U4q7A_31_6"/>
      <w:bookmarkStart w:id="637" w:name="Tc_g3x5pdJj-kWhvSt8K8Gtnw_31_3"/>
      <w:bookmarkStart w:id="638" w:name="Tc_ggMJwMBiJUmpt5rNzsNd6w_31_0"/>
      <w:bookmarkStart w:id="639" w:name="Tc_rwIklION10yhpA_Sg0dFNw_30_21"/>
      <w:bookmarkStart w:id="640" w:name="Tc_-2J7_4z8EU-ZD6Opi0k_yg_30_15"/>
      <w:bookmarkStart w:id="641" w:name="Tc_pSxFk7TxhUiVYN0ZwsLIOQ_30_12"/>
      <w:bookmarkStart w:id="642" w:name="Tc_0pUtL5bAEEqdBH3u6YUwmw_30_6"/>
      <w:bookmarkStart w:id="643" w:name="Tc_HJmpFWbIkESxk-lorCvq-w_30_3"/>
      <w:bookmarkStart w:id="644" w:name="Tc_l_Vh4t_8A0CKzi4UYIaZXg_30_0"/>
      <w:bookmarkStart w:id="645" w:name="Tc_YveNwo2gD0y8AwvDAr28pA_29_21"/>
      <w:bookmarkStart w:id="646" w:name="Tc_uh5YUBCe0E2h10o4bmtOYw_29_15"/>
      <w:bookmarkStart w:id="647" w:name="Tc_u-dWpLdHTECnVjHUFMPCFg_29_12"/>
      <w:bookmarkStart w:id="648" w:name="Tc_4HxvyTEnn0G2fQzGD-cYpQ_29_9"/>
      <w:bookmarkStart w:id="649" w:name="Tc_dVf3y8jKIE-XHCfH-3Jjmg_29_3"/>
      <w:bookmarkStart w:id="650" w:name="Tc_aPtVJdqnDUCyhoVDnCVoiw_29_0"/>
      <w:bookmarkStart w:id="651" w:name="Tc_HdHKsBRD2E-HtAnu-o_vXA_28_21"/>
      <w:bookmarkStart w:id="652" w:name="Tc_Y69e26qizUm-kEnuU54w0A_28_15"/>
      <w:bookmarkStart w:id="653" w:name="Tc_69Ql1gDlV06yzwfBW_MvSw_28_12"/>
      <w:bookmarkStart w:id="654" w:name="Tc__eh3KILWqUCmmgb3KNRAAA_28_9"/>
      <w:bookmarkStart w:id="655" w:name="Tc_4nRaMjTFDEiS4jcNlX1xxQ_28_0"/>
      <w:bookmarkStart w:id="656" w:name="Tc_tuMrLXlRg0afiYCgU-OnvA_27_21"/>
      <w:bookmarkStart w:id="657" w:name="Tc_Hq2MrCfzgkOxWTyJY8ZKAQ_27_15"/>
      <w:bookmarkStart w:id="658" w:name="Tc_0xGENh43zEWEhHdILqr3sQ_27_12"/>
      <w:bookmarkStart w:id="659" w:name="Tc_NWeaTteQb0OK2jm3tH4NHw_27_9"/>
      <w:bookmarkStart w:id="660" w:name="Tc_84QQHVJ83EuSSsTJg2cX-Q_27_0"/>
      <w:bookmarkStart w:id="661" w:name="Tc_VSIXE7uGvk2CMk6q9TdSLg_26_21"/>
      <w:bookmarkStart w:id="662" w:name="Tc_vBIygNsvikGVfahrq_YUgg_26_15"/>
      <w:bookmarkStart w:id="663" w:name="Tc_kLseeGAKbUyFZb4ce5II3Q_26_12"/>
      <w:bookmarkStart w:id="664" w:name="Tc__JDYT0o6tUCRPHSDtTOLCw_26_9"/>
      <w:bookmarkStart w:id="665" w:name="Tc_8QDjINRmOE2l3ZJjiD_rWg_26_0"/>
      <w:bookmarkStart w:id="666" w:name="Tc_1DJe5DrxUkWQ41c4K62DCw_25_0"/>
      <w:bookmarkStart w:id="667" w:name="Tc_AUMFMuzo90SgIa_LT-8-Nw_24_20"/>
      <w:bookmarkStart w:id="668" w:name="Tc_potCl5TPjEeJW5maS2yzKw_24_17"/>
      <w:bookmarkStart w:id="669" w:name="Tc_OfWk-CfiHkOomdXou-bxhw_24_14"/>
      <w:bookmarkStart w:id="670" w:name="Tc_sKAvjiWDGkiClgg78GOVkg_24_11"/>
      <w:bookmarkStart w:id="671" w:name="Tc_-EWiazfb9EeYh8UFmmIyfw_24_8"/>
      <w:bookmarkStart w:id="672" w:name="Tc_iuilSmenwUC9OYxw6D5EGQ_24_5"/>
      <w:bookmarkStart w:id="673" w:name="Tc_WIugISLY00GGYXS2CaS-5Q_24_2"/>
      <w:bookmarkStart w:id="674" w:name="Tc_FS87xxm8bUmMoLP7TV9elQ_24_0"/>
      <w:bookmarkStart w:id="675" w:name="Tc_7YuXL8oqZ06wXaQIPoxo_A_23_21"/>
      <w:bookmarkStart w:id="676" w:name="Tc_jmZvg8hKiE6X86q-s7qMKA_23_15"/>
      <w:bookmarkStart w:id="677" w:name="Tc_DXUe3f3y00yt3qcJOTOCNA_23_9"/>
      <w:bookmarkStart w:id="678" w:name="Tc_0w7SeEusR0mazUivgh7x-A_23_6"/>
      <w:bookmarkStart w:id="679" w:name="Tc_JQQw0VSlyEObKOuu27CCkQ_23_3"/>
      <w:bookmarkStart w:id="680" w:name="Tc_LbBxw6bNcUaKkXDm_YNVJQ_23_0"/>
      <w:bookmarkStart w:id="681" w:name="Tc_ib-iwgFC5kOXRFUfd2BsPQ_22_12"/>
      <w:bookmarkStart w:id="682" w:name="Tc_1v98mJLZjEanI6o1Neci_Q_22_9"/>
      <w:bookmarkStart w:id="683" w:name="Tc_E_ubbeWQSEWGNdFShHKB1A_22_6"/>
      <w:bookmarkStart w:id="684" w:name="Tc_8mWaq_yDJ0Stt6Nz2gvZtA_22_3"/>
      <w:bookmarkStart w:id="685" w:name="Tc_MXenxinSUEGspjHZarTOQw_22_0"/>
      <w:bookmarkStart w:id="686" w:name="Tc_TQEu83OJgE2Q4j2H-9cKRw_21_21"/>
      <w:bookmarkStart w:id="687" w:name="Tc_pHDVkO_6TEm7onopuVyS9A_21_15"/>
      <w:bookmarkStart w:id="688" w:name="Tc_sa_ECbEmzEmSiqNwfSF8ag_21_12"/>
      <w:bookmarkStart w:id="689" w:name="Tc_EuWClj8HwESdqSlRu1lfcg_21_6"/>
      <w:bookmarkStart w:id="690" w:name="Tc_BgHAvRi5PUCfbmf1DQQquw_21_3"/>
      <w:bookmarkStart w:id="691" w:name="Tc_s8_3QqIymkeBchBQFm1yzg_21_0"/>
      <w:bookmarkStart w:id="692" w:name="Tc_r1foxLCn-06GYuaRvTTpOA_20_21"/>
      <w:bookmarkStart w:id="693" w:name="Tc_tEBG9z6TsEyufx0mPvkWVQ_20_15"/>
      <w:bookmarkStart w:id="694" w:name="Tc_x31AmXy0HkC0xTRDAlabrw_20_12"/>
      <w:bookmarkStart w:id="695" w:name="Tc_4IF1Cx-c3UGYN-I_LmC-_w_20_9"/>
      <w:bookmarkStart w:id="696" w:name="Tc_TW8TPcRFRUe4u3_1flfCzQ_20_3"/>
      <w:bookmarkStart w:id="697" w:name="Tc_LQL8sYnzX0mHmDQ-Jcioeg_20_0"/>
      <w:bookmarkStart w:id="698" w:name="Tc_24GkG6WdIUCmuA4gErf56g_19_21"/>
      <w:bookmarkStart w:id="699" w:name="Tc__7aeMWBWZEagCFIBAH4Hng_19_15"/>
      <w:bookmarkStart w:id="700" w:name="Tc_KczhnsFL3kiN0Q209B6jrA_19_12"/>
      <w:bookmarkStart w:id="701" w:name="Tc_mPrZiION60KFQcEy_LGJJA_19_9"/>
      <w:bookmarkStart w:id="702" w:name="Tc_n1dHJ5pnFE67ZwNPN1elVg_19_0"/>
      <w:bookmarkStart w:id="703" w:name="Tc_lsz4n6KLxEOUtCwe1XjY6A_18_21"/>
      <w:bookmarkStart w:id="704" w:name="Tc_SVJ-WDEnP0yW_3jhYoTH-Q_18_15"/>
      <w:bookmarkStart w:id="705" w:name="Tc_8QmAPPt6L0iB9AXk87WHew_18_12"/>
      <w:bookmarkStart w:id="706" w:name="Tc_z1_WzH-tvUSsOSpsuCWajg_18_9"/>
      <w:bookmarkStart w:id="707" w:name="Tc_IfX23yzy50GO2xu6ZOE_tA_18_0"/>
      <w:bookmarkStart w:id="708" w:name="Tc_hslQz0NKUkqcW4UAdqkkYg_17_21"/>
      <w:bookmarkStart w:id="709" w:name="Tc_I-k6vRQY_E6KvHFs-cZWCg_17_15"/>
      <w:bookmarkStart w:id="710" w:name="Tc_SLUsUxrS6k2giyUCJewM4w_17_12"/>
      <w:bookmarkStart w:id="711" w:name="Tc_8nZWPtYJz0Sf_Vd57Tk4xA_17_9"/>
      <w:bookmarkStart w:id="712" w:name="Tc_7JPNBig7dkG354NgKTzltw_17_0"/>
      <w:bookmarkStart w:id="713" w:name="Tc_iLZCsX4rdEC_VTfHOMhgXw_16_0"/>
      <w:bookmarkStart w:id="714" w:name="Tc_DKbk7IrFwkSHjjJ-z2o8Uw_15_20"/>
      <w:bookmarkStart w:id="715" w:name="Tc_E6fuzP3N1kqu1RGQED563Q_15_17"/>
      <w:bookmarkStart w:id="716" w:name="Tc_sfAzN_KAYkGdQ5H1oEAknQ_15_14"/>
      <w:bookmarkStart w:id="717" w:name="Tc_n-Dn9T7CCkSzp1rYdqpOBA_15_11"/>
      <w:bookmarkStart w:id="718" w:name="Tc_V28jKX-g80OE1GeVKY6LJw_15_8"/>
      <w:bookmarkStart w:id="719" w:name="Tc_GDMnlikM0kysQRaQ7jkK-Q_15_5"/>
      <w:bookmarkStart w:id="720" w:name="Tc_tSv7tccRGkCUnOrt9qbuJQ_15_2"/>
      <w:bookmarkStart w:id="721" w:name="Tc_cZqsOa-C20WwJntbmUvNVw_15_0"/>
      <w:bookmarkStart w:id="722" w:name="Tc_l51cCN1nwkSJZczjB7-8jQ_14_21"/>
      <w:bookmarkStart w:id="723" w:name="Tc_8pH4nHlitECXeXFUEc3V1Q_14_15"/>
      <w:bookmarkStart w:id="724" w:name="Tc_QMhMXl9BNkON5v-RSGF7yw_14_9"/>
      <w:bookmarkStart w:id="725" w:name="Tc_yriBaXPFpUqc4f3PXbTjgQ_14_6"/>
      <w:bookmarkStart w:id="726" w:name="Tc_44ALRiLqqkKqkGjLegXeKg_14_3"/>
      <w:bookmarkStart w:id="727" w:name="Tc_M5u_7gfxr0qNrrFaVksBZQ_14_0"/>
      <w:bookmarkStart w:id="728" w:name="Tc_iP_CVvSiZ0eslxTIUdS2Ng_13_12"/>
      <w:bookmarkStart w:id="729" w:name="Tc_E5MJqvr42k260KViF1xN0Q_13_9"/>
      <w:bookmarkStart w:id="730" w:name="Tc_qjRcpv5RnUCk35eu6VA2rw_13_6"/>
      <w:bookmarkStart w:id="731" w:name="Tc_aHrSDwiUKEmvQY3x9v1eoA_13_3"/>
      <w:bookmarkStart w:id="732" w:name="Tc_U4JbFi2dEEm0Kv43huEn4Q_13_0"/>
      <w:bookmarkStart w:id="733" w:name="Tc_UmLHxfwC1kGolG3Z2thA6Q_12_21"/>
      <w:bookmarkStart w:id="734" w:name="Tc_MCS7Pr1_l0Cw25Va8iPm2Q_12_15"/>
      <w:bookmarkStart w:id="735" w:name="Tc_xkUFrmLHvkCkUvIcFOyurw_12_12"/>
      <w:bookmarkStart w:id="736" w:name="Tc_Kyee6kmuT0ehoJlwavuwUw_12_6"/>
      <w:bookmarkStart w:id="737" w:name="Tc_q2LJPkDPa0K8psOu8Crvzg_12_3"/>
      <w:bookmarkStart w:id="738" w:name="Tc_DYfupPL_0Em_slKUJM46Mg_12_0"/>
      <w:bookmarkStart w:id="739" w:name="Tc_3jJYz_KVnkKkZaSYAmGAoQ_11_21"/>
      <w:bookmarkStart w:id="740" w:name="Tc_ERX2nVMf7ESTX1_h4JC4ZA_11_15"/>
      <w:bookmarkStart w:id="741" w:name="Tc_u1OIqO7cmEeb1JruEQHp3w_11_12"/>
      <w:bookmarkStart w:id="742" w:name="Tc_7V4f3Gp2Yk6TfTe0LW2UOQ_11_9"/>
      <w:bookmarkStart w:id="743" w:name="Tc_cOXKqDZ6qUWQIWQAOekYJw_11_3"/>
      <w:bookmarkStart w:id="744" w:name="Tc_MqyBpcGW_kaASlqyLl76og_11_0"/>
      <w:bookmarkStart w:id="745" w:name="Tc_V6jIid0ToE2YPloNLxgD2A_10_21"/>
      <w:bookmarkStart w:id="746" w:name="Tc_I-VVJyVDN0KI6sFL3s_OOQ_10_15"/>
      <w:bookmarkStart w:id="747" w:name="Tc_CBJ99z06cUKZW8cFO2kMTQ_10_12"/>
      <w:bookmarkStart w:id="748" w:name="Tc_2ivWuyrzdk-lkRxsM6VFUA_10_9"/>
      <w:bookmarkStart w:id="749" w:name="Tc_1IvG1b-m_kynhZPKVnJVcg_10_3"/>
      <w:bookmarkStart w:id="750" w:name="Tc_6R-NuKozwUWghsh1MfdH9A_10_0"/>
      <w:bookmarkStart w:id="751" w:name="Tc_k94a2tZd1Uq338I5Fqik3w_9_21"/>
      <w:bookmarkStart w:id="752" w:name="Tc_Tp2bpOH6UUS5ILoqedkEvg_9_15"/>
      <w:bookmarkStart w:id="753" w:name="Tc_TunVs_4Xikei_wDF-KqXvA_9_12"/>
      <w:bookmarkStart w:id="754" w:name="Tc_P6SHdU76qkyVi0ea8egtRQ_9_9"/>
      <w:bookmarkStart w:id="755" w:name="Tc_ujfPfLHs5ESF_tnb5QaYPw_9_0"/>
      <w:bookmarkStart w:id="756" w:name="Tc_tmGJENtpI0iDJCjbIYxzBg_8_0"/>
      <w:bookmarkStart w:id="757" w:name="Tc_EWqwFPvbL0KdDMM2HskrZQ_7_21"/>
      <w:bookmarkStart w:id="758" w:name="Tc_Cq978bMgfkiaASwsYlfrtA_7_15"/>
      <w:bookmarkStart w:id="759" w:name="Tc_wGour8jpV0Co6sxTaV_AAQ_7_12"/>
      <w:bookmarkStart w:id="760" w:name="Tc_OgazHwi3o0WP_-VMj7w92g_7_9"/>
      <w:bookmarkStart w:id="761" w:name="Tc_Mbx5U9KpgUyKZsD9ykx8BQ_7_0"/>
      <w:bookmarkStart w:id="762" w:name="Tc_aDQPr_h-W0SFPsjXeOAcqQ_6_0"/>
      <w:bookmarkStart w:id="763" w:name="Tc_Qpk19iLlpUCWeiMQaqyOoQ_5_20"/>
      <w:bookmarkStart w:id="764" w:name="Tc_Mw3MH-r0qkW7u9XX1p2vaQ_5_17"/>
      <w:bookmarkStart w:id="765" w:name="Tc_V4T2KMwnTUGIO7COpoDfqA_5_14"/>
      <w:bookmarkStart w:id="766" w:name="Tc_b--pNBhSoEaGCAdW-DfLqw_5_11"/>
      <w:bookmarkStart w:id="767" w:name="Tc_HhpqlM4-jU6gQCkdsDooNw_5_8"/>
      <w:bookmarkStart w:id="768" w:name="Tc_OfJJrO7AFk2pfxfqL4vg3Q_5_5"/>
      <w:bookmarkStart w:id="769" w:name="Tc_6vmYlr8VrU-0Y_t9S_EOwA_5_2"/>
      <w:bookmarkStart w:id="770" w:name="Tc_QIsA18FVpkuHJKe6OfhEIA_5_0"/>
      <w:bookmarkStart w:id="771" w:name="Tc_x8Ut5IoODkan3DMlPmC58A_4_20"/>
      <w:bookmarkStart w:id="772" w:name="Tc_qSpCFk_nEk6i0BApZZUqlQ_4_17"/>
      <w:bookmarkStart w:id="773" w:name="Tc_eYy5yHkDvECmiLx2GoYpIA_4_14"/>
      <w:bookmarkStart w:id="774" w:name="Tc_5efQO_uoSU6HhgIwYFK6iA_4_11"/>
      <w:bookmarkStart w:id="775" w:name="Tc_tHzhCbwqmU-IuDdnK1zYmw_4_8"/>
      <w:bookmarkStart w:id="776" w:name="Tc_bqgg-bV4AUSaLyQImqmUGg_4_5"/>
      <w:bookmarkStart w:id="777" w:name="Tc_XCAzXnSPiU-Aw19hjWVABg_4_2"/>
      <w:bookmarkStart w:id="778" w:name="Tc_UnMy3vReTUKEmQDWUYhA-w_3_20"/>
      <w:bookmarkStart w:id="779" w:name="Tc_LGp8seS-XUq5w9uzpNr0SA_3_14"/>
      <w:bookmarkStart w:id="780" w:name="Tc_OX5KwoI2TEuq0oFcb_C3jQ_3_11"/>
      <w:bookmarkStart w:id="781" w:name="Tc_nuzySgRyGU6qtHkGNP2B4Q_3_8"/>
      <w:bookmarkStart w:id="782" w:name="Tc_DUNf9ZQrwEa4twyViAfL2w_3_5"/>
      <w:bookmarkStart w:id="783" w:name="Tc_gJeXYKPt6EO2PhhzUp3XsA_3_2"/>
      <w:bookmarkStart w:id="784" w:name="Tc_XseiuV_RDUOTf2P_VPFJMw_2_20"/>
      <w:bookmarkStart w:id="785" w:name="Tc_E7VZ9AP4pkS_sCavDx6Juw_2_11"/>
      <w:bookmarkStart w:id="786" w:name="Tc_kLHgIUnnxUSusEcpAGFf6w_2_8"/>
      <w:bookmarkStart w:id="787" w:name="Tc_g8S9bx-SgUeNaKU0vcuAPA_2_5"/>
      <w:bookmarkStart w:id="788" w:name="Tc_R_vo1B0xfU2BCJjLMdowwA_2_2"/>
      <w:bookmarkStart w:id="789" w:name="Tc_ztA-XkmyVkey9NdT-ukpGQ_1_8"/>
      <w:bookmarkStart w:id="790" w:name="_00df48fa_7aa2_4330_9ed3_d44b691046dc"/>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tbl>
      <w:tblPr>
        <w:tblW w:w="10205" w:type="dxa"/>
        <w:jc w:val="left"/>
        <w:tblInd w:w="0" w:type="dxa"/>
        <w:tblLayout w:type="fixed"/>
        <w:tblCellMar>
          <w:top w:w="0" w:type="dxa"/>
          <w:left w:w="0" w:type="dxa"/>
          <w:bottom w:w="0" w:type="dxa"/>
          <w:right w:w="0" w:type="dxa"/>
        </w:tblCellMar>
      </w:tblPr>
      <w:tblGrid>
        <w:gridCol w:w="2517"/>
        <w:gridCol w:w="109"/>
        <w:gridCol w:w="254"/>
        <w:gridCol w:w="677"/>
        <w:gridCol w:w="109"/>
        <w:gridCol w:w="181"/>
        <w:gridCol w:w="691"/>
        <w:gridCol w:w="109"/>
        <w:gridCol w:w="278"/>
        <w:gridCol w:w="743"/>
        <w:gridCol w:w="109"/>
        <w:gridCol w:w="181"/>
        <w:gridCol w:w="771"/>
        <w:gridCol w:w="109"/>
        <w:gridCol w:w="299"/>
        <w:gridCol w:w="722"/>
        <w:gridCol w:w="109"/>
        <w:gridCol w:w="181"/>
        <w:gridCol w:w="771"/>
        <w:gridCol w:w="109"/>
        <w:gridCol w:w="227"/>
        <w:gridCol w:w="794"/>
        <w:gridCol w:w="155"/>
      </w:tblGrid>
      <w:tr>
        <w:trPr/>
        <w:tc>
          <w:tcPr>
            <w:tcW w:w="2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98295" cy="175260"/>
                      <wp:effectExtent l="0" t="0" r="0" b="0"/>
                      <wp:wrapNone/>
                      <wp:docPr id="151" name="Frame151"/>
                      <a:graphic xmlns:a="http://schemas.openxmlformats.org/drawingml/2006/main">
                        <a:graphicData uri="http://schemas.microsoft.com/office/word/2010/wordprocessingShape">
                          <wps:wsp>
                            <wps:cNvSpPr txBox="1"/>
                            <wps:spPr>
                              <a:xfrm>
                                <a:off x="0" y="0"/>
                                <a:ext cx="159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1290" cy="175260"/>
                      <wp:effectExtent l="0" t="0" r="0" b="0"/>
                      <wp:wrapNone/>
                      <wp:docPr id="153" name="Frame15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895" cy="175260"/>
                      <wp:effectExtent l="0" t="0" r="0" b="0"/>
                      <wp:wrapNone/>
                      <wp:docPr id="154" name="Frame15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4935" cy="175260"/>
                      <wp:effectExtent l="0" t="0" r="0" b="0"/>
                      <wp:wrapNone/>
                      <wp:docPr id="156" name="Frame1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57"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6530" cy="175260"/>
                      <wp:effectExtent l="0" t="0" r="0" b="0"/>
                      <wp:wrapNone/>
                      <wp:docPr id="159" name="Frame15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71805" cy="175260"/>
                      <wp:effectExtent l="0" t="0" r="0" b="0"/>
                      <wp:wrapNone/>
                      <wp:docPr id="160" name="Frame160"/>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14935" cy="175260"/>
                      <wp:effectExtent l="0" t="0" r="0" b="0"/>
                      <wp:wrapNone/>
                      <wp:docPr id="162" name="Frame1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89585" cy="175260"/>
                      <wp:effectExtent l="0" t="0" r="0" b="0"/>
                      <wp:wrapNone/>
                      <wp:docPr id="163" name="Frame163"/>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9865" cy="175260"/>
                      <wp:effectExtent l="0" t="0" r="0" b="0"/>
                      <wp:wrapNone/>
                      <wp:docPr id="165" name="Frame16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8470" cy="175260"/>
                      <wp:effectExtent l="0" t="0" r="0" b="0"/>
                      <wp:wrapNone/>
                      <wp:docPr id="166" name="Frame166"/>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4935" cy="175260"/>
                      <wp:effectExtent l="0" t="0" r="0" b="0"/>
                      <wp:wrapNone/>
                      <wp:docPr id="168" name="Frame1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89585" cy="175260"/>
                      <wp:effectExtent l="0" t="0" r="0" b="0"/>
                      <wp:wrapNone/>
                      <wp:docPr id="169" name="Frame169"/>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4145" cy="175260"/>
                      <wp:effectExtent l="0" t="0" r="0" b="0"/>
                      <wp:wrapNone/>
                      <wp:docPr id="171" name="Frame17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4190" cy="175260"/>
                      <wp:effectExtent l="0" t="0" r="0" b="0"/>
                      <wp:wrapNone/>
                      <wp:docPr id="172" name="Frame17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8425" cy="175260"/>
                      <wp:effectExtent l="0" t="0" r="0" b="0"/>
                      <wp:wrapNone/>
                      <wp:docPr id="173" name="Frame17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righ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 and B</w:t>
            </w:r>
          </w:p>
        </w:tc>
        <w:tc>
          <w:tcPr>
            <w:tcW w:w="109" w:type="dxa"/>
            <w:tcBorders/>
            <w:vAlign w:val="center"/>
          </w:tcPr>
          <w:p>
            <w:pPr>
              <w:pStyle w:val="TableContents"/>
              <w:bidi w:val="0"/>
              <w:spacing w:before="0" w:after="0"/>
              <w:ind w:left="0" w:right="0" w:hanging="0"/>
              <w:jc w:val="righ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109" w:type="dxa"/>
            <w:tcBorders/>
            <w:vAlign w:val="center"/>
          </w:tcPr>
          <w:p>
            <w:pPr>
              <w:pStyle w:val="TableContents"/>
              <w:bidi w:val="0"/>
              <w:spacing w:before="0" w:after="0"/>
              <w:ind w:left="0" w:right="0" w:hanging="0"/>
              <w:jc w:val="right"/>
              <w:rPr/>
            </w:pPr>
            <w:r>
              <w:rPr/>
              <w:t>​</w:t>
            </w:r>
          </w:p>
        </w:tc>
        <w:tc>
          <w:tcPr>
            <w:tcW w:w="95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righ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Redeemable</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109" w:type="dxa"/>
            <w:tcBorders/>
            <w:vAlign w:val="center"/>
          </w:tcPr>
          <w:p>
            <w:pPr>
              <w:pStyle w:val="TableContents"/>
              <w:bidi w:val="0"/>
              <w:spacing w:before="0" w:after="0"/>
              <w:ind w:left="0" w:right="0" w:hanging="0"/>
              <w:jc w:val="righ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right"/>
              <w:rPr/>
            </w:pPr>
            <w:r>
              <w:rPr/>
              <w:t>​</w:t>
            </w:r>
          </w:p>
        </w:tc>
        <w:tc>
          <w:tcPr>
            <w:tcW w:w="95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109" w:type="dxa"/>
            <w:tcBorders/>
            <w:vAlign w:val="center"/>
          </w:tcPr>
          <w:p>
            <w:pPr>
              <w:pStyle w:val="TableContents"/>
              <w:bidi w:val="0"/>
              <w:spacing w:before="0" w:after="0"/>
              <w:ind w:left="0" w:right="0" w:hanging="0"/>
              <w:jc w:val="right"/>
              <w:rPr/>
            </w:pPr>
            <w:r>
              <w:rPr/>
              <w:t>​</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09" w:type="dxa"/>
            <w:tcBorders/>
            <w:vAlign w:val="center"/>
          </w:tcPr>
          <w:p>
            <w:pPr>
              <w:pStyle w:val="TableContents"/>
              <w:bidi w:val="0"/>
              <w:spacing w:before="0" w:after="0"/>
              <w:ind w:left="0" w:right="0" w:hanging="0"/>
              <w:jc w:val="right"/>
              <w:rPr/>
            </w:pPr>
            <w:r>
              <w:rPr/>
              <w:t>​</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righ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2020</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5,261</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5,400,774</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8,374,975</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13,780,645</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350,648</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Class A common stock:</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Exercise of stock awards </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40,551</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40,564</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Employee benefits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30,312</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30,321</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Employee Stock Purchase Plan</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17,733</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17,739</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51,680</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51,680</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Convertible debt reclassified per ASU 2020-06, net of deferred taxes of $245,778 (Note 2)</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(805,566)</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(805,566)</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1,136</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1,136</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44,574</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DISH Network</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2,410,642</w:t>
            </w:r>
          </w:p>
        </w:tc>
        <w:tc>
          <w:tcPr>
            <w:tcW w:w="109" w:type="dxa"/>
            <w:tcBorders/>
            <w:vAlign w:val="center"/>
          </w:tcPr>
          <w:p>
            <w:pPr>
              <w:pStyle w:val="TableContents"/>
              <w:bidi w:val="0"/>
              <w:spacing w:before="0" w:after="0"/>
              <w:ind w:left="0" w:right="0" w:hanging="0"/>
              <w:jc w:val="righ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2,410,642</w:t>
            </w:r>
          </w:p>
        </w:tc>
        <w:tc>
          <w:tcPr>
            <w:tcW w:w="109" w:type="dxa"/>
            <w:tcBorders/>
            <w:vAlign w:val="center"/>
          </w:tcPr>
          <w:p>
            <w:pPr>
              <w:pStyle w:val="TableContents"/>
              <w:bidi w:val="0"/>
              <w:spacing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2021</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5,289</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4,735,484</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10,785,617</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15,527,891</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395,222</w:t>
            </w:r>
          </w:p>
        </w:tc>
        <w:tc>
          <w:tcPr>
            <w:tcW w:w="155"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Class A common stock:</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Exercise of stock awards </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Employee benefits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26,340</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26,348</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Employee Stock Purchase Plan</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17,919</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17,932</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71,450</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71,450</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(3,310)</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69,137</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DISH Network</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2,303,233</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2,303,233</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2022</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5,311</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4,851,392</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(3,029)</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13,088,850</w:t>
            </w:r>
          </w:p>
        </w:tc>
        <w:tc>
          <w:tcPr>
            <w:tcW w:w="109" w:type="dxa"/>
            <w:tcBorders/>
            <w:vAlign w:val="center"/>
          </w:tcPr>
          <w:p>
            <w:pPr>
              <w:pStyle w:val="TableContents"/>
              <w:bidi w:val="0"/>
              <w:spacing w:before="0" w:after="0"/>
              <w:ind w:left="0" w:right="0" w:hanging="0"/>
              <w:jc w:val="righ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1,757</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17,944,281</w:t>
            </w:r>
          </w:p>
        </w:tc>
        <w:tc>
          <w:tcPr>
            <w:tcW w:w="109" w:type="dxa"/>
            <w:tcBorders/>
            <w:vAlign w:val="center"/>
          </w:tcPr>
          <w:p>
            <w:pPr>
              <w:pStyle w:val="TableContents"/>
              <w:bidi w:val="0"/>
              <w:spacing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464,359</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Class A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Exercise of stock awards </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(501)</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(494)</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Employee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14,669</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14,680</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Employee Stock Purchase Plan</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9,073</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9,088</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36,143</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36,143</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Northstar Manager, LLC's ownership interest in Northstar Spectrum</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(109,432)</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Extinguishment of stock related to the merger with EchoStar</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(5,344)</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5,344</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83,455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DISH Network</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(1,212,223)</w:t>
            </w:r>
          </w:p>
        </w:tc>
        <w:tc>
          <w:tcPr>
            <w:tcW w:w="109" w:type="dxa"/>
            <w:tcBorders/>
            <w:vAlign w:val="center"/>
          </w:tcPr>
          <w:p>
            <w:pPr>
              <w:pStyle w:val="TableContents"/>
              <w:bidi w:val="0"/>
              <w:spacing w:before="0" w:after="0"/>
              <w:ind w:left="0" w:right="0" w:hanging="0"/>
              <w:jc w:val="righ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(1,212,223)</w:t>
            </w:r>
          </w:p>
        </w:tc>
        <w:tc>
          <w:tcPr>
            <w:tcW w:w="109" w:type="dxa"/>
            <w:tcBorders/>
            <w:vAlign w:val="center"/>
          </w:tcPr>
          <w:p>
            <w:pPr>
              <w:pStyle w:val="TableContents"/>
              <w:bidi w:val="0"/>
              <w:spacing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4,916,120</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11,876,627</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16,792,174</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438,382</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righ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791" w:name="_93184844_dd95_416d_9301_a68e30e5582d"/>
      <w:bookmarkEnd w:id="791"/>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DISH NETWORK</w:t>
      </w:r>
      <w:r>
        <w:rPr>
          <w:rFonts w:ascii="Times New Roman;Times;serif" w:hAnsi="Times New Roman;Times;serif"/>
          <w:sz w:val="20"/>
        </w:rPr>
        <w:t xml:space="preserve"> </w:t>
      </w:r>
      <w:r>
        <w:rPr>
          <w:rFonts w:ascii="Times New Roman;Times;serif" w:hAnsi="Times New Roman;Times;serif"/>
          <w:b/>
          <w:sz w:val="20"/>
        </w:rPr>
        <w:t>CORPORATION</w:t>
      </w:r>
    </w:p>
    <w:p>
      <w:pPr>
        <w:pStyle w:val="TextBody"/>
        <w:bidi w:val="0"/>
        <w:spacing w:before="0" w:after="0"/>
        <w:ind w:left="0" w:right="0" w:hanging="0"/>
        <w:jc w:val="center"/>
        <w:rPr>
          <w:rFonts w:ascii="Times New Roman;Times;serif" w:hAnsi="Times New Roman;Times;serif"/>
          <w:b/>
          <w:sz w:val="20"/>
        </w:rPr>
      </w:pPr>
      <w:bookmarkStart w:id="792" w:name="CONSOLIDATEDSTATEMENTSOFCASHFLOWS_743887"/>
      <w:bookmarkEnd w:id="79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Normal"/>
        <w:bidi w:val="0"/>
        <w:spacing w:before="0" w:after="0"/>
        <w:jc w:val="left"/>
        <w:rPr>
          <w:sz w:val="4"/>
          <w:szCs w:val="4"/>
        </w:rPr>
      </w:pPr>
      <w:r>
        <w:rPr>
          <w:sz w:val="4"/>
          <w:szCs w:val="4"/>
        </w:rPr>
      </w:r>
      <w:bookmarkStart w:id="793" w:name="Tc_6YwGunDOX0uaWxBcLKhcMA_50_8"/>
      <w:bookmarkStart w:id="794" w:name="Tc_SOdjAwBOIkatnZjpWJUAeQ_50_5"/>
      <w:bookmarkStart w:id="795" w:name="Tc_AGWLe8lwG0yW6B4dXV0Tiw_50_2"/>
      <w:bookmarkStart w:id="796" w:name="Tc_pfUJ6gnsgE2glDaT0ezkoQ_50_0"/>
      <w:bookmarkStart w:id="797" w:name="Tc_QpKsKfZwdkCk0J5Kd9w3LQ_49_0"/>
      <w:bookmarkStart w:id="798" w:name="Tc_OO3x2UGdMUO7WXm_iskuFg_48_0"/>
      <w:bookmarkStart w:id="799" w:name="Tc_wrsKq-HczUGcIbbR8S7Qow_46_0"/>
      <w:bookmarkStart w:id="800" w:name="Tc_Z-2yPfLd3EWX1YJ1Y-DEPg_45_0"/>
      <w:bookmarkStart w:id="801" w:name="Tc_8Nk-JzxVDEKunQ18iu19Xg_44_9"/>
      <w:bookmarkStart w:id="802" w:name="Tc_1ZOkEGlUPUWkOXuTshZGYQ_44_6"/>
      <w:bookmarkStart w:id="803" w:name="Tc_O8sAg2EK2kSY-WiDQDt_jg_44_0"/>
      <w:bookmarkStart w:id="804" w:name="Tc_vIWFtCswvEyFNDQGEN51jA_43_0"/>
      <w:bookmarkStart w:id="805" w:name="Tc_RDwC4WHxtEySE7NJwwLP8Q_42_0"/>
      <w:bookmarkStart w:id="806" w:name="Tc_iUkbA8CA8U2Vbl6fjGXglg_41_9"/>
      <w:bookmarkStart w:id="807" w:name="Tc_aJNsaZOjHkCulyyc4A5rmg_41_6"/>
      <w:bookmarkStart w:id="808" w:name="Tc_Mk5gOS48g0aXnP7jYovmPg_41_0"/>
      <w:bookmarkStart w:id="809" w:name="Tc_ZSvX6QkeNEKZITvO3FtMHw_40_9"/>
      <w:bookmarkStart w:id="810" w:name="Tc_D1Sh4AV9F06iRTH2HXOweA_40_6"/>
      <w:bookmarkStart w:id="811" w:name="Tc_d007mZXrSEydjhnGr2zWEQ_40_0"/>
      <w:bookmarkStart w:id="812" w:name="Tc_Bch-CwFLS0m7HGxZKrKn4Q_39_0"/>
      <w:bookmarkStart w:id="813" w:name="Tc_fRQr24772EmHDctMzIFwxQ_38_0"/>
      <w:bookmarkStart w:id="814" w:name="Tc_7IwX11-lSkSDVgfIfUNRJg_37_0"/>
      <w:bookmarkStart w:id="815" w:name="Tc_PkXHd8RGBEKcHIoSJRpKug_36_0"/>
      <w:bookmarkStart w:id="816" w:name="Tc_IEZ3B641Qke3yjqktAc8xw_34_0"/>
      <w:bookmarkStart w:id="817" w:name="Tc_GrEKWkVwxkKDGps_lfrKwA_33_0"/>
      <w:bookmarkStart w:id="818" w:name="Tc_vaxZQULtFE6ndmD0Db3yFQ_32_0"/>
      <w:bookmarkStart w:id="819" w:name="Tc_aE-p2x4tJ0ueM2ccY8vzNQ_31_6"/>
      <w:bookmarkStart w:id="820" w:name="Tc_2SeZL0e_L0KIhkZB6VQkyQ_31_3"/>
      <w:bookmarkStart w:id="821" w:name="Tc_ZIj1cGsg00ewWsz0Zu0rQg_31_0"/>
      <w:bookmarkStart w:id="822" w:name="Tc_bWArqH8_uUaGgTiZIJymGg_30_0"/>
      <w:bookmarkStart w:id="823" w:name="Tc_47SFN7l-ZE6RYyZ94UofPw_29_0"/>
      <w:bookmarkStart w:id="824" w:name="Tc_T48VhCFMsUiUFs-X8JAaiw_28_0"/>
      <w:bookmarkStart w:id="825" w:name="Tc_eVc1n6StJUqPAc0osHPqiw_27_0"/>
      <w:bookmarkStart w:id="826" w:name="Tc_oom13I99Y02otOxxUWvNAg_26_0"/>
      <w:bookmarkStart w:id="827" w:name="Tc_bdbGjsPY40KfQzr8P0dClQ_24_0"/>
      <w:bookmarkStart w:id="828" w:name="Tc_fSe9W1CJdEWVnMjnR8Pwxg_23_0"/>
      <w:bookmarkStart w:id="829" w:name="Tc_GX0Z8owuRkKNvPLBoi38fg_22_0"/>
      <w:bookmarkStart w:id="830" w:name="Tc_90oCQnxpP0mvdxRI6lCIiw_21_0"/>
      <w:bookmarkStart w:id="831" w:name="Tc_e9dBvVqgpkyCJEC3gliXGw_20_0"/>
      <w:bookmarkStart w:id="832" w:name="Tc_-_CKezYcjkyQFKKgIkWyfA_19_0"/>
      <w:bookmarkStart w:id="833" w:name="Tc_6Qz06VEv8EWP0Nyb10STAg_18_0"/>
      <w:bookmarkStart w:id="834" w:name="Tc_z9JZBQRQSkiVPxCsU4HFxA_17_0"/>
      <w:bookmarkStart w:id="835" w:name="Tc_x3E1D9JJakePVvHhIF9fCQ_16_0"/>
      <w:bookmarkStart w:id="836" w:name="Tc_NATAQ2K6E0SsZsge-rYyWA_15_0"/>
      <w:bookmarkStart w:id="837" w:name="Tc_yQtA97iHpUK1_9Wk7BD1Eg_14_0"/>
      <w:bookmarkStart w:id="838" w:name="Tc_tlyJ7rhzSUyRv6JeUumjoQ_13_0"/>
      <w:bookmarkStart w:id="839" w:name="Tc_R-kkVf4ff0qOxAX-IXHEPg_12_0"/>
      <w:bookmarkStart w:id="840" w:name="Tc_ABXsiZsGgUWsd_KBm0vnTA_11_0"/>
      <w:bookmarkStart w:id="841" w:name="Tc_pN5Dp2eCfEyTBzB0Hb4Ayw_10_0"/>
      <w:bookmarkStart w:id="842" w:name="Tc_g1YJcjGCxUaKP-jcXHLCEQ_9_0"/>
      <w:bookmarkStart w:id="843" w:name="Tc__uMYHgpAf0euM62LdQDFlQ_8_9"/>
      <w:bookmarkStart w:id="844" w:name="Tc_SZFxQZphtUmC2LKR6WQ1Fw_8_6"/>
      <w:bookmarkStart w:id="845" w:name="Tc_EAubM70qJkC92hnEzMdEcA_8_0"/>
      <w:bookmarkStart w:id="846" w:name="Tc_d0uZ63X6BEmOdJkKJ4v24g_7_0"/>
      <w:bookmarkStart w:id="847" w:name="Tc_4ct4I22haUOrBRIa7E5GsQ_6_0"/>
      <w:bookmarkStart w:id="848" w:name="Tc_JB4O2IUo8karpvmpYxLMBA_5_8"/>
      <w:bookmarkStart w:id="849" w:name="Tc_zkTaro-PiUioOG8eSGKbwg_5_5"/>
      <w:bookmarkStart w:id="850" w:name="Tc_SWv_-XOjkEuKnU8UlkrFQQ_5_2"/>
      <w:bookmarkStart w:id="851" w:name="Tc_sCBEBMq-TkeWuiOaqd9sQw_5_0"/>
      <w:bookmarkStart w:id="852" w:name="Tc_lmeZj2qjNUWMD-GK-pXlpw_4_0"/>
      <w:bookmarkStart w:id="853" w:name="Tc_w1y2Bo-gq0uF8eu-ayDbew_3_8"/>
      <w:bookmarkStart w:id="854" w:name="Tc_zho65TeE3Uir5YC3EgL_DA_3_5"/>
      <w:bookmarkStart w:id="855" w:name="Tc_9tsVkBNINUKT70DyQhVowA_3_2"/>
      <w:bookmarkStart w:id="856" w:name="Tc_vIeHOEGj8U-LLTQe5TY-NQ_2_2"/>
      <w:bookmarkStart w:id="857" w:name="_869b775d_958f_42b7_a935_694ea5945f1f"/>
      <w:bookmarkStart w:id="858" w:name="Tc_6YwGunDOX0uaWxBcLKhcMA_50_8"/>
      <w:bookmarkStart w:id="859" w:name="Tc_SOdjAwBOIkatnZjpWJUAeQ_50_5"/>
      <w:bookmarkStart w:id="860" w:name="Tc_AGWLe8lwG0yW6B4dXV0Tiw_50_2"/>
      <w:bookmarkStart w:id="861" w:name="Tc_pfUJ6gnsgE2glDaT0ezkoQ_50_0"/>
      <w:bookmarkStart w:id="862" w:name="Tc_QpKsKfZwdkCk0J5Kd9w3LQ_49_0"/>
      <w:bookmarkStart w:id="863" w:name="Tc_OO3x2UGdMUO7WXm_iskuFg_48_0"/>
      <w:bookmarkStart w:id="864" w:name="Tc_wrsKq-HczUGcIbbR8S7Qow_46_0"/>
      <w:bookmarkStart w:id="865" w:name="Tc_Z-2yPfLd3EWX1YJ1Y-DEPg_45_0"/>
      <w:bookmarkStart w:id="866" w:name="Tc_8Nk-JzxVDEKunQ18iu19Xg_44_9"/>
      <w:bookmarkStart w:id="867" w:name="Tc_1ZOkEGlUPUWkOXuTshZGYQ_44_6"/>
      <w:bookmarkStart w:id="868" w:name="Tc_O8sAg2EK2kSY-WiDQDt_jg_44_0"/>
      <w:bookmarkStart w:id="869" w:name="Tc_vIWFtCswvEyFNDQGEN51jA_43_0"/>
      <w:bookmarkStart w:id="870" w:name="Tc_RDwC4WHxtEySE7NJwwLP8Q_42_0"/>
      <w:bookmarkStart w:id="871" w:name="Tc_iUkbA8CA8U2Vbl6fjGXglg_41_9"/>
      <w:bookmarkStart w:id="872" w:name="Tc_aJNsaZOjHkCulyyc4A5rmg_41_6"/>
      <w:bookmarkStart w:id="873" w:name="Tc_Mk5gOS48g0aXnP7jYovmPg_41_0"/>
      <w:bookmarkStart w:id="874" w:name="Tc_ZSvX6QkeNEKZITvO3FtMHw_40_9"/>
      <w:bookmarkStart w:id="875" w:name="Tc_D1Sh4AV9F06iRTH2HXOweA_40_6"/>
      <w:bookmarkStart w:id="876" w:name="Tc_d007mZXrSEydjhnGr2zWEQ_40_0"/>
      <w:bookmarkStart w:id="877" w:name="Tc_Bch-CwFLS0m7HGxZKrKn4Q_39_0"/>
      <w:bookmarkStart w:id="878" w:name="Tc_fRQr24772EmHDctMzIFwxQ_38_0"/>
      <w:bookmarkStart w:id="879" w:name="Tc_7IwX11-lSkSDVgfIfUNRJg_37_0"/>
      <w:bookmarkStart w:id="880" w:name="Tc_PkXHd8RGBEKcHIoSJRpKug_36_0"/>
      <w:bookmarkStart w:id="881" w:name="Tc_IEZ3B641Qke3yjqktAc8xw_34_0"/>
      <w:bookmarkStart w:id="882" w:name="Tc_GrEKWkVwxkKDGps_lfrKwA_33_0"/>
      <w:bookmarkStart w:id="883" w:name="Tc_vaxZQULtFE6ndmD0Db3yFQ_32_0"/>
      <w:bookmarkStart w:id="884" w:name="Tc_aE-p2x4tJ0ueM2ccY8vzNQ_31_6"/>
      <w:bookmarkStart w:id="885" w:name="Tc_2SeZL0e_L0KIhkZB6VQkyQ_31_3"/>
      <w:bookmarkStart w:id="886" w:name="Tc_ZIj1cGsg00ewWsz0Zu0rQg_31_0"/>
      <w:bookmarkStart w:id="887" w:name="Tc_bWArqH8_uUaGgTiZIJymGg_30_0"/>
      <w:bookmarkStart w:id="888" w:name="Tc_47SFN7l-ZE6RYyZ94UofPw_29_0"/>
      <w:bookmarkStart w:id="889" w:name="Tc_T48VhCFMsUiUFs-X8JAaiw_28_0"/>
      <w:bookmarkStart w:id="890" w:name="Tc_eVc1n6StJUqPAc0osHPqiw_27_0"/>
      <w:bookmarkStart w:id="891" w:name="Tc_oom13I99Y02otOxxUWvNAg_26_0"/>
      <w:bookmarkStart w:id="892" w:name="Tc_bdbGjsPY40KfQzr8P0dClQ_24_0"/>
      <w:bookmarkStart w:id="893" w:name="Tc_fSe9W1CJdEWVnMjnR8Pwxg_23_0"/>
      <w:bookmarkStart w:id="894" w:name="Tc_GX0Z8owuRkKNvPLBoi38fg_22_0"/>
      <w:bookmarkStart w:id="895" w:name="Tc_90oCQnxpP0mvdxRI6lCIiw_21_0"/>
      <w:bookmarkStart w:id="896" w:name="Tc_e9dBvVqgpkyCJEC3gliXGw_20_0"/>
      <w:bookmarkStart w:id="897" w:name="Tc_-_CKezYcjkyQFKKgIkWyfA_19_0"/>
      <w:bookmarkStart w:id="898" w:name="Tc_6Qz06VEv8EWP0Nyb10STAg_18_0"/>
      <w:bookmarkStart w:id="899" w:name="Tc_z9JZBQRQSkiVPxCsU4HFxA_17_0"/>
      <w:bookmarkStart w:id="900" w:name="Tc_x3E1D9JJakePVvHhIF9fCQ_16_0"/>
      <w:bookmarkStart w:id="901" w:name="Tc_NATAQ2K6E0SsZsge-rYyWA_15_0"/>
      <w:bookmarkStart w:id="902" w:name="Tc_yQtA97iHpUK1_9Wk7BD1Eg_14_0"/>
      <w:bookmarkStart w:id="903" w:name="Tc_tlyJ7rhzSUyRv6JeUumjoQ_13_0"/>
      <w:bookmarkStart w:id="904" w:name="Tc_R-kkVf4ff0qOxAX-IXHEPg_12_0"/>
      <w:bookmarkStart w:id="905" w:name="Tc_ABXsiZsGgUWsd_KBm0vnTA_11_0"/>
      <w:bookmarkStart w:id="906" w:name="Tc_pN5Dp2eCfEyTBzB0Hb4Ayw_10_0"/>
      <w:bookmarkStart w:id="907" w:name="Tc_g1YJcjGCxUaKP-jcXHLCEQ_9_0"/>
      <w:bookmarkStart w:id="908" w:name="Tc__uMYHgpAf0euM62LdQDFlQ_8_9"/>
      <w:bookmarkStart w:id="909" w:name="Tc_SZFxQZphtUmC2LKR6WQ1Fw_8_6"/>
      <w:bookmarkStart w:id="910" w:name="Tc_EAubM70qJkC92hnEzMdEcA_8_0"/>
      <w:bookmarkStart w:id="911" w:name="Tc_d0uZ63X6BEmOdJkKJ4v24g_7_0"/>
      <w:bookmarkStart w:id="912" w:name="Tc_4ct4I22haUOrBRIa7E5GsQ_6_0"/>
      <w:bookmarkStart w:id="913" w:name="Tc_JB4O2IUo8karpvmpYxLMBA_5_8"/>
      <w:bookmarkStart w:id="914" w:name="Tc_zkTaro-PiUioOG8eSGKbwg_5_5"/>
      <w:bookmarkStart w:id="915" w:name="Tc_SWv_-XOjkEuKnU8UlkrFQQ_5_2"/>
      <w:bookmarkStart w:id="916" w:name="Tc_sCBEBMq-TkeWuiOaqd9sQw_5_0"/>
      <w:bookmarkStart w:id="917" w:name="Tc_lmeZj2qjNUWMD-GK-pXlpw_4_0"/>
      <w:bookmarkStart w:id="918" w:name="Tc_w1y2Bo-gq0uF8eu-ayDbew_3_8"/>
      <w:bookmarkStart w:id="919" w:name="Tc_zho65TeE3Uir5YC3EgL_DA_3_5"/>
      <w:bookmarkStart w:id="920" w:name="Tc_9tsVkBNINUKT70DyQhVowA_3_2"/>
      <w:bookmarkStart w:id="921" w:name="Tc_vIeHOEGj8U-LLTQe5TY-NQ_2_2"/>
      <w:bookmarkStart w:id="922" w:name="_869b775d_958f_42b7_a935_694ea5945f1f"/>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tbl>
      <w:tblPr>
        <w:tblW w:w="10205" w:type="dxa"/>
        <w:jc w:val="left"/>
        <w:tblInd w:w="0" w:type="dxa"/>
        <w:tblLayout w:type="fixed"/>
        <w:tblCellMar>
          <w:top w:w="0" w:type="dxa"/>
          <w:left w:w="0" w:type="dxa"/>
          <w:bottom w:w="0" w:type="dxa"/>
          <w:right w:w="0" w:type="dxa"/>
        </w:tblCellMar>
      </w:tblPr>
      <w:tblGrid>
        <w:gridCol w:w="5856"/>
        <w:gridCol w:w="146"/>
        <w:gridCol w:w="196"/>
        <w:gridCol w:w="923"/>
        <w:gridCol w:w="326"/>
        <w:gridCol w:w="196"/>
        <w:gridCol w:w="923"/>
        <w:gridCol w:w="326"/>
        <w:gridCol w:w="196"/>
        <w:gridCol w:w="923"/>
        <w:gridCol w:w="194"/>
      </w:tblGrid>
      <w:tr>
        <w:trPr/>
        <w:tc>
          <w:tcPr>
            <w:tcW w:w="5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718560" cy="175260"/>
                      <wp:effectExtent l="0" t="0" r="0" b="0"/>
                      <wp:wrapNone/>
                      <wp:docPr id="174" name="Frame174"/>
                      <a:graphic xmlns:a="http://schemas.openxmlformats.org/drawingml/2006/main">
                        <a:graphicData uri="http://schemas.microsoft.com/office/word/2010/wordprocessingShape">
                          <wps:wsp>
                            <wps:cNvSpPr txBox="1"/>
                            <wps:spPr>
                              <a:xfrm>
                                <a:off x="0" y="0"/>
                                <a:ext cx="371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2710" cy="175260"/>
                      <wp:effectExtent l="0" t="0" r="0" b="0"/>
                      <wp:wrapNone/>
                      <wp:docPr id="175" name="Frame1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86105" cy="175260"/>
                      <wp:effectExtent l="0" t="0" r="0" b="0"/>
                      <wp:wrapNone/>
                      <wp:docPr id="177" name="Frame177"/>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86105" cy="175260"/>
                      <wp:effectExtent l="0" t="0" r="0" b="0"/>
                      <wp:wrapNone/>
                      <wp:docPr id="180" name="Frame180"/>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460" cy="175260"/>
                      <wp:effectExtent l="0" t="0" r="0" b="0"/>
                      <wp:wrapNone/>
                      <wp:docPr id="182"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86105" cy="175260"/>
                      <wp:effectExtent l="0" t="0" r="0" b="0"/>
                      <wp:wrapNone/>
                      <wp:docPr id="183" name="Frame18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3190" cy="175260"/>
                      <wp:effectExtent l="0" t="0" r="0" b="0"/>
                      <wp:wrapNone/>
                      <wp:docPr id="184" name="Frame18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09"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4" w:type="dxa"/>
            <w:tcBorders/>
            <w:vAlign w:val="center"/>
          </w:tcPr>
          <w:p>
            <w:pPr>
              <w:pStyle w:val="TableContents"/>
              <w:bidi w:val="0"/>
              <w:spacing w:before="0" w:after="0"/>
              <w:ind w:left="0" w:right="0" w:hanging="0"/>
              <w:jc w:val="left"/>
              <w:rPr/>
            </w:pPr>
            <w:r>
              <w:rPr/>
              <w:t> </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(1,128,422)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2,372,907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2,455,946</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Adjustments to reconcile net income (loss) to net 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1,181,921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724,852</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 and goodwill (Note 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Realized and unrealized losses (gains) on investments, impairments and other</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6,724</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Realized and unrealized losses (gains) on derivatives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1,693,387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stock-based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51,680</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expense (benefit)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(374,910)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702,735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602,044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allowance for credit losses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(33,836)</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long-term deferred revenue and other long-term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209,034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235,856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98,278</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current assets and current liabilities, net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accounts receivable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209,456</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and accrued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81,197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(167,985)</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(62,356)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101,034</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and other</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(98,808)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programming and other accrued expenses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255,545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(90,504)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51,425</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Net 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1,997,039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3,092,100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4,031,251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marketable investment securities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(1,383,102)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(898,326)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(4,687,033)</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maturities of marketable investment securities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2,253,639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3,023,236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2,069,343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(2,828,887)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(2,727,302)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(1,185,642)</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interest related to regulatory authorizations (Note 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(1,162,473)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(984,309)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(777,885)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Refund of regulatory authorizations deposit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337,490</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Purchases of regulatory authorizations, including deposits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(7,206,865)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(122,657)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(44,029)</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flows from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(3,108,757)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(8,787,039)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(4,410,413)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Cash Flows From Financing Activities:</w:t>
            </w:r>
          </w:p>
        </w:tc>
        <w:tc>
          <w:tcPr>
            <w:tcW w:w="14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long-term debt and finance lease obligations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(89,876)</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Redemption and repurchases of senior notes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(1,460,635)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(2,056,821)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senior notes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6,750,000</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convertible notes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(182,834)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Early debt extinguishment gains (losses)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proceeds from Class A common stock options exercised and stock issued under the Employee Stock Purchase Plan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58,303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 and debt (discount) premium</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(34,459)</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Northstar Manager, LLC's ownership interest in Northstar Spectrum</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(24,540)</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Net cash flows from financing activities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(273,515)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4,659,428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increase (decrease) in cash, cash equivalents, restricted 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(1,385,233)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(5,886,279)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4,280,266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restricted cash and cash equivalents, beginning of period (Note 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1,847,981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7,734,260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3,453,994</w:t>
            </w:r>
          </w:p>
        </w:tc>
        <w:tc>
          <w:tcPr>
            <w:tcW w:w="194" w:type="dxa"/>
            <w:tcBorders/>
            <w:vAlign w:val="center"/>
          </w:tcPr>
          <w:p>
            <w:pPr>
              <w:pStyle w:val="TableContents"/>
              <w:bidi w:val="0"/>
              <w:spacing w:before="0" w:after="0"/>
              <w:ind w:left="0" w:right="0" w:hanging="0"/>
              <w:jc w:val="left"/>
              <w:rPr/>
            </w:pPr>
            <w:r>
              <w:rPr/>
              <w:t>​</w:t>
            </w:r>
          </w:p>
        </w:tc>
      </w:tr>
      <w:tr>
        <w:trPr/>
        <w:tc>
          <w:tcPr>
            <w:tcW w:w="58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restricted cash and cash equivalents, end of period (Note 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462,748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1,847,981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7,734,260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58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23" w:name="a1OrganizationandBusinessActivities_1393"/>
      <w:bookmarkEnd w:id="923"/>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Organization and Business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Corporation is a holding company. Its subsidiaries (which together with DISH Network Corporation are referred to as “DISH Network,” the “Company,” “we,” “us” and/or “our,” unless otherwise required by the context). DISH Network is a wholly-owned subsidiary of EchoStar Corporation (“EchoStar”), a publicly traded company listed on the NASDAQ Global Select Market (“NASDAQ”) under the symbol “SATS.”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Merger with EchoStar</w:t>
      </w:r>
    </w:p>
    <w:p>
      <w:pPr>
        <w:pStyle w:val="TextBody"/>
        <w:bidi w:val="0"/>
        <w:spacing w:before="0" w:after="120"/>
        <w:ind w:left="0" w:right="0" w:hanging="0"/>
        <w:jc w:val="left"/>
        <w:rPr/>
      </w:pPr>
      <w:r>
        <w:rPr/>
        <w:t>​</w:t>
      </w:r>
    </w:p>
    <w:p>
      <w:pPr>
        <w:pStyle w:val="TextBody"/>
        <w:bidi w:val="0"/>
        <w:spacing w:before="0" w:after="0"/>
        <w:ind w:left="0" w:right="20" w:hanging="0"/>
        <w:jc w:val="left"/>
        <w:rPr>
          <w:rFonts w:ascii="Times New Roman;Times;serif" w:hAnsi="Times New Roman;Times;serif"/>
          <w:sz w:val="20"/>
        </w:rPr>
      </w:pPr>
      <w:r>
        <w:rPr>
          <w:rFonts w:ascii="Times New Roman;Times;serif" w:hAnsi="Times New Roman;Times;serif"/>
          <w:sz w:val="20"/>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w:t>
      </w:r>
    </w:p>
    <w:p>
      <w:pPr>
        <w:pStyle w:val="TextBody"/>
        <w:bidi w:val="0"/>
        <w:spacing w:before="0" w:after="0"/>
        <w:ind w:left="0" w:right="20" w:hanging="0"/>
        <w:jc w:val="left"/>
        <w:rPr/>
      </w:pPr>
      <w:r>
        <w:rPr/>
        <w:t>​</w:t>
      </w:r>
    </w:p>
    <w:p>
      <w:pPr>
        <w:pStyle w:val="TextBody"/>
        <w:bidi w:val="0"/>
        <w:spacing w:before="0" w:after="0"/>
        <w:ind w:left="0" w:right="60" w:hanging="0"/>
        <w:jc w:val="left"/>
        <w:rPr>
          <w:rFonts w:ascii="Times New Roman;Times;serif" w:hAnsi="Times New Roman;Times;serif"/>
          <w:sz w:val="20"/>
        </w:rPr>
      </w:pPr>
      <w:r>
        <w:rPr>
          <w:rFonts w:ascii="Times New Roman;Times;serif" w:hAnsi="Times New Roman;Times;serif"/>
          <w:sz w:val="20"/>
        </w:rPr>
        <w:t>On the terms and subject to the conditions set forth in the Amended Merger Agreement, on December 31, 2023, at 11:59 p.m. ET (the “Effective Time”), each share of DISH Network Class A common stock, par value $0.01 per share (“DISH Network Class A Common Stock”) and DISH Network Class C common stock, par value $0.01 per share (“DISH Network Class C Common Stock”) outstanding immediately prior to the Effective Time, was converted into the right to receive a number of validly issued, fully paid and non-assessable shares of EchoStar Class A common stock, par value $0.001 per share (“EchoStar Class A Common Stock”) equal to 0.350877 (the “Exchange Ratio”). On the terms and subject to the conditions set forth in the Amended Merger Agreement, at the Effective Time, each share of DISH Network Class B common stock, par value $0.01 per share (“DISH Network Class B Common Stock” and, together with DISH Network Class A Common Stock and DISH Network Class C Common Stock, “DISH Network Common Stock”), outstanding immediately prior to the Effective Time was converted into the right to receive a number of validly issued, fully paid and non-assessable shares of EchoStar Class B common stock, par value $0.001 per share (the “EchoStar Class B Common Stock” and, together with the EchoStar Class A Common Stock, the “EchoStar Common Stock”), equal to the Exchange Ratio. Any shares of DISH Network Common Stock that were held in DISH Network’s treasury or held directly by EchoStar or Merger Sub immediately prior to the Effective Time were cancelled and cease to exist and no consideration was paid in respect thereof. All shares of the DISH Network Class A Common Stock were delisted from the NASDAQ Global Select Market and deregistered under the Securities Exchange Act of 1934, as amended.</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EchoStar Common Stock issued to the Ergen DISH Stockholders (as defined in the Amended Merger Agreement) as Merger consideration was issued through a private placement exemption from registration under the Securities Act of 1933, as amended (the “Securities Act”). At the Effective Time, each share of DISH Network Class A Common Stock owned by the Ergen DISH Stockholders immediately prior to the Effective Time was converted into the right to receive a number of shares of EchoStar Class A Common Stock equal to the Exchange Ratio, and (b) each share of DISH Network Class B Common Stock owned by the Ergen DISH Stockholders immediately prior to the Effective Time was converted into the right to receive a number of shares of EchoStar Class B Common Stock equal to the Exchange Ratio.</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Concurrently with the entry into the Amended Merger Agreement, the Ergen EchoStar Stockholders (as defined in the Amended Merger Agreement), the Ergen DISH Stockholders (collectively, the “Ergen Stockholders”), EchoStar and DISH Network entered into an amended and restated support agreement (the “Amended Support Agreement”).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completion of the Merger, and pursuant to the Amended and Restated Support Agreement, on December 31, 2023, EchoStar and the Ergen Stockholders entered into a registration rights agreement (the “Registration Rights Agreement”).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Registration Rights Agreement provides the Ergen Stockholders, and their affiliates who become parties thereto, with certain registration rights relating to the shares of EchoStar Common Stock, which they beneficially own, including (i) the right to demand shelf registration as well as registration on long and short form registration statements and (ii) “piggyback” registration rights to be included in future registered offerings by us of our equity securities, in each case, subject to certain requirements and customary conditions. The Registration Rights Agreement sets forth customary registration procedures, including an agreement by EchoStar to make appropriate officers available to participate in roadshow presentations and cooperate as reasonably requested in connection with any underwritten offerings. EchoStar also agreed to indemnify the Ergen Stockholders and their affiliates with respect to liabilities resulting from untrue statements or omissions in any registration statement used in any such registration, other than untrue statements or omissions based on or contained in information furnished to EchoStar for use in a registration statement by a participating stockholder.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more information and a copy of the Amended Merger Agreement, the Amended Support Agreement and the Registration Rights Agreement, see the Form 8-K of EchoStar filed on October 3, 2023 and the Form 8-K of EchoStar filed on January 2, 2024.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the Merger complete, we are currently focused on the process of integrating our and EchoStar’s business in a manner that facilitates synergies, cost savings, growth opportunities and achieves other anticipated benefits (the “Integration”).</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result of the merger with EchoStar effective December 31, 2023, all of our outstanding shares are held by EchoStar. Therefore, certain disclosures related to outstanding shares and equity have been omitted.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12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shd w:fill="FFFFFF" w:val="clear"/>
        <w:bidi w:val="0"/>
        <w:spacing w:before="0" w:after="0"/>
        <w:ind w:left="0" w:right="0" w:hanging="0"/>
        <w:jc w:val="left"/>
        <w:rPr>
          <w:color w:val="222222"/>
        </w:rPr>
      </w:pPr>
      <w:r>
        <w:rPr>
          <w:color w:val="222222"/>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cash and cash equivalents and marketable investment securities totaled $382 million as of December 31, 2023 (“Cash on Hand”). As reflected in the consolidated financial statements as of December 31, 2023, we have $951 million and $1.983 billion of debt maturing in March and November 2024, respectively, as well as a $438 million obligation related to the SNR put right and for calendar year 2024 we are forecasting negative cash flows. Our parent, EchoStar, satisfied the SNR obligation out of its cash and cash equivalents and marketable investment securities on February 16, 2024. The remaining balance of $951 million on our 2 3/8% Convertible Notes matured on March 15, 2024 and was paid with Cash on Hand, cash flow from operations and funds from certain strategic transactions including the sale of our wholly-owned subsidiary which holds the 700 MHz Spectrum to a wholly-owned subsidiary of our parent, EchoStar, on March 12, 2024. See Note 9 for further information.</w:t>
      </w:r>
    </w:p>
    <w:p>
      <w:pPr>
        <w:pStyle w:val="TextBody"/>
        <w:shd w:fill="FFFFFF" w:val="clear"/>
        <w:bidi w:val="0"/>
        <w:spacing w:before="0" w:after="0"/>
        <w:ind w:left="0" w:right="0" w:hanging="0"/>
        <w:jc w:val="left"/>
        <w:rPr>
          <w:color w:val="222222"/>
        </w:rPr>
      </w:pPr>
      <w:r>
        <w:rPr>
          <w:color w:val="222222"/>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22222"/>
          <w:sz w:val="20"/>
        </w:rPr>
        <w:t>Because we do not currently have committed financing to fund our operations for at least twelve months from the issuance of these consolidated financial statements, substantial doubt exists about our and our parent, EchoStar’s, ability to continue as a going concern. As discussed above, w</w:t>
      </w:r>
      <w:r>
        <w:rPr>
          <w:rFonts w:ascii="Times New Roman;Times;serif" w:hAnsi="Times New Roman;Times;serif"/>
          <w:sz w:val="20"/>
        </w:rPr>
        <w:t>e used Cash on Hand, cash flow from operations and funds from certain strategic transactions including the sale of our wholly-owned subsidiary which holds the 700 MHz Spectrum to a wholly-owned subsidiary of our parent, EchoStar, to pay the March 2024 debt maturity. We</w:t>
      </w:r>
      <w:r>
        <w:rPr>
          <w:rFonts w:ascii="Times New Roman;Times;serif" w:hAnsi="Times New Roman;Times;serif"/>
          <w:color w:val="222222"/>
          <w:sz w:val="20"/>
        </w:rPr>
        <w:t xml:space="preserve"> do not currently have the necessary Cash on Hand and/or projected future cash flows to fund the November 2024 debt maturity. To address our capital needs, we are in active discussions with funding sources to raise additional capital and restructure our outstanding debt. We cannot provide assurances that we will be successful in obtaining such new financing and/or restructuring the existing debt obligations necessary for us to have sufficient liquidity. Further, if we are not successful in these endeavors, then capital expenditures to meet future FCC build out requirements and wireless customer growth initiatives will be adversely affected. </w:t>
      </w:r>
    </w:p>
    <w:p>
      <w:pPr>
        <w:pStyle w:val="TextBody"/>
        <w:shd w:fill="FFFFFF" w:val="clear"/>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22222"/>
          <w:sz w:val="20"/>
        </w:rPr>
        <w:t xml:space="preserve">In addition, </w:t>
      </w:r>
      <w:r>
        <w:rPr>
          <w:rFonts w:ascii="Times New Roman;Times;serif" w:hAnsi="Times New Roman;Times;serif"/>
          <w:sz w:val="20"/>
        </w:rPr>
        <w:t>our parent, EchoStar, may not be able to provide additional liquidity in the future.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consolidated financial statements do not include any adjustments to the amount and classification of assets and liabilities that may be necessary should we not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currently operate three primary business segments: (1) Pay-TV; (2) Retail Wireless and (3) 5G Network Deployment.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2023, we had 8.526 million Pay-TV subscribers in the United States, including 6.471 million DISH TV subscribers and 2.055 million SLING TV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Retail Wireless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offer nationwide prepaid and postpaid retail wireless services to subscribers primarily under our Boost Mobile®, Boost postpaid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financing arrangements for wireless devices.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currently operating our Retail Wireless segment primarily as a mobile virtual network operator (“MVNO”) as we continue our 5G Network Deployment and commercialize our 5G Network, as defined below. We are transitioning our Retail Wireless segment to a mobile network operator (“MNO”) as our 5G Network becomes commercially available and we are currently activating subscribers onto our 5G Network in markets where we have reached voice over new radio (“VoNR”). As an MVNO, today we depend on T-Mobile and AT&amp;T to provide us with network services under the amended Master Network Services Agreement (“MNSA”) and Network Services Agreement (the “NSA”), respectively. Under the NSA, we expect AT&amp;T will become our primary network services provider. As of December 31, 2023, we had 7.378 million Wireless subscribers.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Developments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regularly evaluate ways to enhance our business. As part of this process, we are in regular dialogue with interested parties who may assist us in accomplishing our goals, including ongoing conversations with CONX Corp. (an entity partially owned by Charles W. Ergen, our Chairman) regarding a transaction involving our Retail Wireless segment. There can be no assurance that these discussions will lead to a transaction nor as to the structure or terms of any such transaction.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5G Network Deployment</w:t>
      </w:r>
    </w:p>
    <w:p>
      <w:pPr>
        <w:pStyle w:val="TextBody"/>
        <w:bidi w:val="0"/>
        <w:spacing w:lineRule="auto" w:line="304" w:before="0" w:after="0"/>
        <w:ind w:left="60" w:right="159" w:hanging="0"/>
        <w:jc w:val="left"/>
        <w:rPr>
          <w:color w:val="222222"/>
        </w:rPr>
      </w:pPr>
      <w:r>
        <w:rPr>
          <w:color w:val="222222"/>
        </w:rPr>
        <w:t>​</w:t>
      </w:r>
    </w:p>
    <w:p>
      <w:pPr>
        <w:pStyle w:val="TextBody"/>
        <w:bidi w:val="0"/>
        <w:spacing w:lineRule="auto" w:line="304" w:before="0" w:after="0"/>
        <w:ind w:left="0" w:right="159" w:hanging="0"/>
        <w:jc w:val="left"/>
        <w:rPr>
          <w:rFonts w:ascii="Times New Roman;Times;serif" w:hAnsi="Times New Roman;Times;serif"/>
          <w:color w:val="222222"/>
          <w:sz w:val="20"/>
        </w:rPr>
      </w:pPr>
      <w:r>
        <w:rPr>
          <w:rFonts w:ascii="Times New Roman;Times;serif" w:hAnsi="Times New Roman;Times;serif"/>
          <w:color w:val="222222"/>
          <w:sz w:val="20"/>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and Note 13 for further information.</w:t>
      </w:r>
    </w:p>
    <w:p>
      <w:pPr>
        <w:pStyle w:val="TextBody"/>
        <w:bidi w:val="0"/>
        <w:spacing w:lineRule="auto" w:line="304" w:before="0" w:after="0"/>
        <w:ind w:left="0" w:right="159" w:hanging="0"/>
        <w:jc w:val="left"/>
        <w:rPr>
          <w:color w:val="222222"/>
        </w:rPr>
      </w:pPr>
      <w:r>
        <w:rPr>
          <w:color w:val="2222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 See Note 13 for further information.</w:t>
      </w:r>
    </w:p>
    <w:p>
      <w:pPr>
        <w:pStyle w:val="TextBody"/>
        <w:bidi w:val="0"/>
        <w:spacing w:lineRule="auto" w:line="304" w:before="0" w:after="0"/>
        <w:ind w:left="0" w:right="159" w:hanging="0"/>
        <w:jc w:val="left"/>
        <w:rPr>
          <w:color w:val="222222"/>
        </w:rPr>
      </w:pPr>
      <w:r>
        <w:rPr>
          <w:color w:val="222222"/>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DISH Network Spectrum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invested a total of over $30 billion to acquire certain Wireless spectrum licenses. These Wireless spectrum licenses are subject to certain interim and final build-out requirements, as well as certain renewal requirements.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including 20% of the U.S. population by June 2022 and 70% of the U.S. population by June 2023. If by June 2023, we are offering 5G broadband service to at least 50% of the U.S. population but less than 70% of the U.S. population, the 70% June 2023 deadline will be extended automatically to June 2025; however, as a result, we may, under certain circumstances, potentially be subject to certain penalties. On June 14, 2022, we announced we had successfully reached our 20% population coverage requirement. 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confirmed using the drive test methodology agreed to and approved by the FCC and overseen by an independent monitor.</w:t>
      </w:r>
      <w:r>
        <w:rPr>
          <w:rFonts w:ascii="Times New Roman;Times;serif" w:hAnsi="Times New Roman;Times;serif"/>
          <w:sz w:val="20"/>
          <w:shd w:fill="FEFEFE" w:val="clear"/>
        </w:rPr>
        <w:t xml:space="preserve"> We now have the largest commercial deployment of 5G VoNR in the world reaching approximately 200 million Americans, and 5G broadband service reaching approximately 250 million Americans.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13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DISH Network Noncontrolling Investments in the Northstar Entities and the SNR Entities Related to AWS-3 Wireless Spectrum Licenses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2015, through our wholly-owned subsidiaries American AWS-3 Wireless II L.L.C. (“American II”) and American AWS-3 Wireless III L.L.C. (“American III”), we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and to SNR Wireless, respectively, which are recorded in “Regulatory authorizations, net” on our Consolidated Balance Sheets. </w:t>
      </w:r>
    </w:p>
    <w:p>
      <w:pPr>
        <w:pStyle w:val="TextBody"/>
        <w:bidi w:val="0"/>
        <w:spacing w:lineRule="atLeast" w:line="22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applicable accounting guidance in Accounting Standards Codification 810, </w:t>
      </w:r>
      <w:r>
        <w:rPr>
          <w:rFonts w:ascii="Times New Roman;Times;serif" w:hAnsi="Times New Roman;Times;serif"/>
          <w:i/>
          <w:sz w:val="20"/>
        </w:rPr>
        <w:t>Consolidation</w:t>
      </w:r>
      <w:r>
        <w:rPr>
          <w:rFonts w:ascii="Times New Roman;Times;serif" w:hAnsi="Times New Roman;Times;serif"/>
          <w:sz w:val="20"/>
        </w:rPr>
        <w:t xml:space="preserve"> (“ASC 810”), Northstar Spectrum and SNR HoldCo are considered variable interest entities (“VIEs”) and, based on the characteristics of the structure of these entities and in accordance with the applicable accounting guidance, we consolidate these entities into our financial statements. On October 12, 2023, the FCC consented to the sale of Northstar Manager, LLC’s (“Northstar Manager”)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Wireless Management, LLC’s (“SNR Management”) ownership interests in SNR HoldCo, which was purchased by our parent’s direct wholly-owned subsidiary EchoStar SNR HoldCo L.L.C. for a total of approximately $442 million on February 16, 2024. This purchase resulted in the conversion of our outstanding redeemable noncontrolling interest as it relates to SNR HoldCo to noncontrolling interest, which is now held by our parent, EchoStar, as of the purchase date. See Note 2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Developments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Cyber-Security Incident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23, 2023, we experienced a network outage that affected our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On February 28, 2023, we further disclosed that certain data had been extracted from our IT systems. Our investigation into the extent of the incident is now completed.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DISH TV, SLING TV and Retail Wireless services, along with our wireless and data networks remained operational at all times during the incident. As of March 31, 2023, all significant systems had been restored.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first quarter of 2023, we incurred substantially all of our cyber-security-related expenses for this matter, including, but not limited to, costs to remediate the incident and provide additional customer support. During the second, third and fourth quarters of 2023, we did not incur additional material expenses resulting from the cyber-security incident and do not expect to incur material expenses in future periods. During the year ended December 31, 2023, we incurred approximately $30 million in cyber-security-related expenses, which are recorded in “Cost of services” on our Consolidated Statements 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924" w:name="_Hlk506205717"/>
      <w:bookmarkEnd w:id="92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 and Basis of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include all balances and results of operations of DISH Network and our consolidated subsidiaries and are prepared in conformity with U.S. generally accepted accounting principles (“GAAP”). 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Redeemable Noncontrolling Interests</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Northstar Wireless.</w:t>
      </w:r>
      <w:r>
        <w:rPr>
          <w:rFonts w:ascii="Times New Roman;Times;serif" w:hAnsi="Times New Roman;Times;serif"/>
          <w:sz w:val="20"/>
        </w:rPr>
        <w:t xml:space="preserve"> Northstar Wireless is a wholly-owned subsidiary of Northstar Spectrum, which is an entity owned by Northstar Manager and us. Under the applicable accounting guidance in ASC 810, Northstar Spectrum is considered a VIE and, based on the characteristics of the structure of this entity and in accordance with the applicable accounting guidance, we consolidate Northstar Spectrum into our financial statements. The Northstar Operative Agreements, as amended, provide for, among other things, that Northstar Manager has the ability, but not the obligation, to require Northstar Spectrum to purchase Northstar Manager’s ownership interests in Northstar Spectrum (the “Northstar Put Right”) for a purchase price that equals its equity contribution to Northstar Spectrum plus a fixed annual rate of return.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The First Northstar Put Window closed in the first quarter of 2021. On October 21, 2022, we, through our wholly-owned subsidiary American II received notice that Northstar Manager exercised the Northstar Put Right effective as of October 21, 2022. As of December 31, 2022, the aggregate value of the Northstar Put Right accrued to $96 million.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Northstar Spectrum does not have a call right with respect to Northstar Manager’s ownership interests in Northstar Spectrum. Although Northstar Manager is the sole manager of Northstar Spectrum, Northstar Manager’s ownership interest was considered temporary equity under the applicable accounting guidance and was recorded as part of “Redeemable noncontrolling interests” in the mezzanine section of our Consolidated Balance Sheets. Northstar Manager’s ownership interest in Northstar Spectrum was initially accounted for at fair value. Subsequently, Northstar Manager’s ownership interest in Northstar Spectrum was increased by the fixed annual rate of return through “Redeemable noncontrolling interests” on our Consolidated Balance Sheets, with the offset recorded in “Net income (loss) attributable to noncontrolling interests, net of tax” on our Consolidated Statements of Operations and Comprehensive Income (Loss). The operating results of Northstar Spectrum attributable to Northstar Manager were recorded as “Redeemable noncontrolling interests” on our Consolidated Balance Sheets, with the offset recorded in “Net income (loss) attributable to noncontrolling interests, net of tax” on our Consolidated Statements of Operations and Comprehensive Income (Loss). See Note 13 for further information.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SNR Wireless. </w:t>
      </w:r>
      <w:r>
        <w:rPr>
          <w:rFonts w:ascii="Times New Roman;Times;serif" w:hAnsi="Times New Roman;Times;serif"/>
          <w:sz w:val="20"/>
        </w:rPr>
        <w:t>SNR Wireless is a wholly-owned subsidiary of SNR HoldCo, which is an entity owned by SNR Management and us. Under the applicable accounting guidance in ASC 810, SNR HoldCo is considered a VIE and, based on the characteristics of the structure of this entity and in accordance with the applicable accounting guidance, we consolidate SNR HoldCo into our financial statements. The SNR Operative Agreements, as amended, provide for, among other things, that SNR Management has the ability, but not the obligation, to require SNR HoldCo to purchase SNR Management’s ownership interests in SNR HoldCo (the “SNR Put Right”) for a purchase price that equals its equity contribution to SNR HoldCo plus a fixed annual rate of return.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The First SNR Put Window closed in the first quarter of 2021. On November 15, 2021, we, through our wholly-owned subsidiary American III received notice that SNR Management exercised the SNR Put Right effective as of November 15, 2021. As of December 31, 2023 and 2022, the aggregate value of the SNR Put Right had accrued to approximately $438 million and $368 million, respectively. Subsequent to December 31, 2023, the FCC consented to the sale of SNR Management’s ownership interests in SNR HoldCo, which was purchased by our parent’s direct wholly-owned subsidiary EchoStar SNR HoldCo L.L.C. for a total of approximately $442 million on February 16, 2024. This purchase resulted in the conversion of our outstanding redeemable noncontrolling interest as it relates to SNR HoldCo to noncontrolling interest, which is now held by our parent, EchoStar, as of the purchase date.</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SNR HoldCo does not have a call right with respect to SNR Management’s ownership interests in SNR HoldCo. Although SNR Management is the sole manager of SNR HoldCo, SNR Management’s ownership interest is considered temporary equity under the applicable accounting guidance and is thus recorded as part of “Redeemable noncontrolling interests” in the mezzanine section of our Consolidated Balance Sheets. SNR Management’s ownership interest in SNR HoldCo was initially accounted for at fair value. Subsequently, SNR Management’s ownership interest in SNR HoldCo is increased by the fixed annual rate of return through “Redeemable noncontrolling interests” on our Consolidated Balance Sheets, with the offset recorded in “Net income (loss) attributable to noncontrolling interests, net of tax” on our Consolidated Statements of Operations and Comprehensive Income (Loss). The operating results of SNR HoldCo attributable to SNR Management are recorded as “Redeemable noncontrolling interests” on our Consolidated Balance Sheets, with the offset recorded in “Net income (loss) attributable to noncontrolling interests, net of tax” on our Consolidated Statements of Operations and Comprehensive Income (Loss). See Note 13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the fair value of our option to purchase T-Mobile’s 800 MHz spectrum, inputs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consider all liquid investments purchased with a remaining maturity of 90 days or less at the date of acquisition to be cash equivalents. Cash equivalents as of December 31, 2023 and 2022 may consist of money market funds, government bonds, corporate notes and commercial paper. The amortized cost of these investments approximates their fair value.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equity securities are carried at fair value, with changes in fair value recognized in “Other, net” within “Other Income (Expense)” on our Consolidated Statements 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 Interest income from available for sale debt securities is reported in “Interest income, net” on our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Receivables and Related Allowance for Credit Losses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Accounts Receivable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determining the allowance for credit losses, management groups similar types of financial assets with consistent risk characteristics. Pools identified by management include, but are not limited to residential customers, commercial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925" w:name="_Hlk532298816"/>
      <w:bookmarkEnd w:id="925"/>
      <w:r>
        <w:rPr>
          <w:rFonts w:ascii="Times New Roman;Times;serif" w:hAnsi="Times New Roman;Times;serif"/>
          <w:i/>
          <w:sz w:val="20"/>
        </w:rPr>
        <w:t>Installments Receivable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offer Boost postpaid customers the option to pay for their devices and other equipment in installments generally over a period of 36 months. Installments receivable are presented on our Consolidated Balance Sheets at their amortized cost basis (i.e., the receivables’ unpaid balance as adjusted for any written-off amounts due to impairment and unamortized discounts), net of the allowance for credit losses. At the time of an installment sale, we impute a discount for interest if the term exceeds 12 months as there is no stated rate of interest on the receivables. The receivables are recorded at their present value, which is determined by discounting expected future cash payments at the imputed interest rate. The current portion of installments receivable is included in “Trade accounts receivable, net” and the long-term portion of installments receivable is included in “Other noncurrent assets, net” on our Consolidated Balance Sheets. This adjustment results in a discount or reduction in the transaction price of the contract with a customer, which is allocated to the performance obligations of the arrangement such as Equipment and other revenues on our Consolidated Statements of Operations and Comprehensive Income (Loss). The imputed discount rate reflects a current market interest rate and is predominately comprised of the estimated credit risk underlying the installment receivable, reflecting the estimated credit worthiness of the customer. The imputed discount on receivables is amortized over the financed installment term using the effective interest method and recognized in “Equipment and other revenues” on our Consolidated Statements 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including capitalized expenditures related to our wireless projects, 5G Network Deployment and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4"/>
        </w:rPr>
      </w:pPr>
      <w:r>
        <w:rPr>
          <w:rFonts w:ascii="Times New Roman;Times;serif" w:hAnsi="Times New Roman;Times;serif"/>
          <w:sz w:val="20"/>
        </w:rPr>
        <w:t xml:space="preserve">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w:t>
      </w:r>
      <w:r>
        <w:rPr>
          <w:rFonts w:ascii="Times New Roman;Times;serif" w:hAnsi="Times New Roman;Times;serif"/>
          <w:b w:val="false"/>
          <w:i w:val="false"/>
          <w:caps w:val="false"/>
          <w:smallCaps w:val="false"/>
          <w:sz w:val="20"/>
        </w:rPr>
        <w:t>two</w:t>
      </w:r>
      <w:r>
        <w:rPr>
          <w:rFonts w:ascii="Times New Roman;Times;serif" w:hAnsi="Times New Roman;Times;serif"/>
          <w:sz w:val="24"/>
        </w:rPr>
        <w:t xml:space="preserve"> </w:t>
      </w:r>
      <w:r>
        <w:rPr>
          <w:rFonts w:ascii="Times New Roman;Times;serif" w:hAnsi="Times New Roman;Times;serif"/>
          <w:sz w:val="20"/>
        </w:rPr>
        <w:t xml:space="preserve">to 40 years. Repair and maintenance costs are charged to expense when incurred. Renewals and improvements that add value or extend the asset’s useful life are capitalized.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Internal Use Software</w:t>
      </w:r>
    </w:p>
    <w:p>
      <w:pPr>
        <w:pStyle w:val="TextBody"/>
        <w:bidi w:val="0"/>
        <w:spacing w:before="0" w:after="12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We capitalize certain costs related to developing or acquiring internal use software. Capitalization of software costs begins once the preliminary project stage is completed and we commit to funding the software project. Capitalizing ceases when the software project is ready for its intended use. Capitalized software costs are recorded in “Property and equipment, net” on our Consolidated Balance Sheets and are amortized over the estimated useful life of the software.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 Retirement Obligation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record an asset retirement obligation for the estimated fair value of legal obligations associated with the retirement of tangible long-lived assets and a corresponding increase in the carrying amount of the related asset in the period in which the obligation is incurred. In periods subsequent to initial measurement, we recognize changes in the liability resulting from the passage of time and revisions to either the timing or the amount of the original estimate. Over time, the liability is accreted to its present value and the capitalized cost is depreciated over the estimated useful life of the asset. Our asset retirement obligations relate primarily to certain legal obligations to remediate leased property on our communication towers and are recorded in “Property and equipment, net” with the related liability recorded in “Long-term deferred revenue and other long-term liabilities” on our Consolidated Balance Sheets.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Investments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Equity Method Investments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Cost Method Investments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Impairment Considerations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and board materials; and we may make additional inquiries of investee management.</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Indicators of impairment may include, but are not limited to, unprofitable operations, material loss contingencies, changes in business strategy, changes in market trends or market conditions, changes in the investees’ enterprise value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 Instruments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20"/>
        </w:rPr>
      </w:pPr>
      <w:r>
        <w:rPr>
          <w:rFonts w:ascii="Times New Roman;Times;serif" w:hAnsi="Times New Roman;Times;serif"/>
          <w:spacing w:val="-2"/>
          <w:sz w:val="20"/>
        </w:rPr>
        <w:t xml:space="preserve">We may purchase and hold derivative financial instruments for, among other reasons, strategic or speculative purposes. We record derivative financial instruments on our Consolidated Balance Sheets at fair value as either assets or liabilities. Changes in the fair values of derivative financial instruments are recognized in our results of operations and included in “Other, net” within “Other Income (Expense)” on our Consolidated Statements of Operations and Comprehensive Income (Loss). We have not designated any derivative financial instrument for hedge accounting.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the option to purchase certain of T-Mobile’s 800 MHz spectrum licenses from T-Mobile at a fixed price in the future as part of the Boost Mobile Acquisition and have written certain contracts on the equity of EchoStar. See Note 5 and Note 9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Impairment of Long-Lived</w:t>
      </w:r>
      <w:r>
        <w:rPr>
          <w:rFonts w:ascii="Times New Roman;Times;serif" w:hAnsi="Times New Roman;Times;serif"/>
          <w:sz w:val="20"/>
        </w:rPr>
        <w:t xml:space="preserve"> </w:t>
      </w:r>
      <w:r>
        <w:rPr>
          <w:rFonts w:ascii="Times New Roman;Times;serif" w:hAnsi="Times New Roman;Times;serif"/>
          <w:b/>
          <w:i/>
          <w:sz w:val="20"/>
        </w:rPr>
        <w:t>Assets and Finite-Lived Intangible Assets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review our long-lived assets and identifiable finite-lived intangible assets for impairment whenever events or changes in circumstances indicate that the carrying amount of an asset may not be recoverable. Intangible assets that have finite lives are amortized over their estimated useful lives. For assets which are held and used in operations, the asset would be impaired if the carrying amount of the asset (or asset group) exceeded its undiscounted future net cash flows. When an impairment is determined, the actual impairment recognized is the difference between the carrying amount and the fair value as estimated using one of the following approaches: income, cost and/or market. In the event of an impairment, a loss is recorded in “Impairment of long-lived assets and goodwill” on our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benchmarks the fair value against the carrying amount.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i/>
          <w:sz w:val="20"/>
        </w:rPr>
      </w:pPr>
      <w:r>
        <w:rPr>
          <w:rFonts w:ascii="Times New Roman;Times;serif" w:hAnsi="Times New Roman;Times;serif"/>
          <w:i/>
          <w:sz w:val="20"/>
        </w:rPr>
        <w:t>DBS Satellites</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We currently evaluate our DBS satellite fleet for impairment as one asset group whenever events or changes in circumstances indicate that its carrying amount may not be recoverable. We do not believe any triggering event has occurred which would indicate impairment as of December 31, 2023 and 2022. We will continue to monitor the DBS satellite fleet for indicators of impairment.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Finite-Lived Intangible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Intangible assets include customer relationships, trademarks, and certain below market contracts. These assets are amortized over their respective useful lives. We do not believe any triggering event has occurred which would indicate impairment as of December 31, 2023 and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Indefinite-Lived Intangible Assets and Goodwill</w:t>
      </w:r>
    </w:p>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20"/>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and certain other contractual or regulatory rights to use spectrum at specified orbital locations. Generally, we have determined that our FCC licenses have indefinite useful lives due to the following:</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FCC licenses are a non-depleting asset;</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FCC licenses are integral to our business segments and will contribute to cash flows indefinitely;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satellite applications are generally authorized by the FCC subject to certain conditions, without substantial cost under a stable regulatory, legislative and legal environment;</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expenditures to obtain future cash flows are not significant;</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FCC licenses are not technologically dependent; and</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these assets indefinitely.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8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DBS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combine all of our indefinite-lived DBS licenses that we currently utilize or plan to utilize in the future into a single unit of accounting. For 2023, 2022 and 2021, management performed a qualitative assessment to determine whether it is more likely than not that the fair value of the DBS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DBS licenses exceeds its carrying amount. As such, no further analysis was required.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Wireless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2022, we acquired the 3.45-3.55 GHz wireless licenses (the “3.45–3.55 GHz Licenses”). During 2021, we acquired the 3550-3650 MHz (CBRS) and 3.7-3.98 GHz wireless licenses, together (the “C-Band Licenses”). During 2020, we acquired the 37 GHz, 39 GHz, and 47 GHz wireless licenses and during 2019, we acquired the 24 GHz and 28 GHz wireless licenses, together (the “High-Band 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2023 and 2022, we combined our 600 MHz, 700 MHz, AWS-4, H Block, High-Band Licenses, C-Band Licenses, 3.45–3.55 GHz Licenses and the Northstar Licenses and SNR Licenses into a single unit of accounting. In 2021, we combined our 600 MHz, 700 MHz, AWS-4, H Block, High-Band Licenses, C-Band Licenses and the Northstar Licenses and SNR Licenses into a single unit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2023, we quantitatively assessed these licenses for impairment. Our quantitative assessment consisted of a market approach performed by a third party and reviewed by management.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Market Approach. </w:t>
      </w:r>
      <w:r>
        <w:rPr>
          <w:rFonts w:ascii="Times New Roman;Times;serif" w:hAnsi="Times New Roman;Times;serif"/>
          <w:sz w:val="20"/>
        </w:rPr>
        <w:t>Currently frequencies in the 500 kHz to 30 GHz make up the bulk of commercial use in the United States. Spectrum bands can be grouped into four categories: low-band (less than 1 GHz), lower mid-band (1-2 GHz), upper mid-band (primarily 2-4 GHz) and high-band (generally above 24 GHz). Radio frequencies have different characteristics with regard to the distance they will travel and their ability to penetrate structures. Lower band frequency bands require less power to travel large distances and propagate well providing geographic coverage, whereas higher bandwidth spectrum is favored in urban settings where the goal is increased data capacity and cell sites are dense, with limited coverage areas.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Spectrum is licensed by geographic areas that can vary from the size of a county to significantly larger expanses. Licenses can cover densely populated urban areas to sparsely populated rural regions. Pricing for spectrum licenses will vary, sometimes significantly based on the frequency, population area or restrictions associated with the authorization for use obtained from the FCC. Population or “Pop” is a key input to valuing each geographic license. The amount of spectrum included in a license is measured in terms of megahertz, referred to as “MHz.” The wider the band the greater the MHz.</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market approach assessed the value of our spectrum using benchmarks, based on market transactions, which may include spectrum auctions and secondary market transactions, either acquisitions of spectrum or of businesses for which spectrum values can reliably be inferred. The market approach looked at the value of each band of our spectrum by block and geographic area based on pairing the spectrum in a manner that yielded its highest and best use. Prices were then calculated on an amount per MHz-Pop basis (where the numerator is the total value of the licenses and the denominator is the product of the population and MHz) based upon the most relevant data points. Finally, a discount was applied to the analysis for lack of marketability on certain of our holdings based on sale restrictions associated with those specific bands.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spectrum holdings include low-band, lower mid-band, upper mid-band (collectively referred to as “Low-Mid Band Licenses”) and high-band 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part of our impairment assessment we performed the market approach during the fourth quarter of 2023 and concluded that the fair value of these licenses are substantially in excess of their carrying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926" w:name="_DV_M126"/>
      <w:bookmarkEnd w:id="926"/>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2022, management performed a quantitative assessment to determine whether the fair value of these licenses exceed the carrying amount. In our assessment, we performed the market approach and the income approach during the fourth quarter of 2022 and concluded that under both scenarios the fair value of these licenses are substantially in excess of their carrying value.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2021, management performed a qualitative assessment to determine whether it is more likely than not that the fair value of these licenses exceed the carrying amount. In our assessment, we considered several factors, including, among other things, the projected financial performance of our Wireless segment, the business enterprise value of our Wireless segment, and market transactions for wireless spectrum licenses including auction results. In assessing these factors, we considered both macroeconomic conditions and industry and market conditions. In contemplating all factors in their totality, we concluded that it is more likely than not that the fair value of these licenses exceeds their carrying amount.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2023, 2022, and 2021, our multichannel video distribution and data service (“MVDDS”) wireless spectrum licenses were assessed as a single unit of accounting.  For 2023, 2022 and 2021, management assessed these licenses qualitatively. Our qualitative assessment focused on recent auction results and historical market activity. We concluded that it is more likely than not that the fair value of these licenses exceeded their carrying amount.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circumstances or market conditions could result in a write-down of any of the above Wireless spectrum licenses in the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Goodwill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Goodwill represents the excess of the consideration transferred over the estimated fair values of assets acquired and liabilities assumed as of the acquisition date. We test goodwill for impairment at the reporting unit level, which includes, among others, the SLING TV, DISH TV, Retail Wireless and 5G Network Deployment reporting units. Historically the majority of our goodwill relates to the Retail Wireless and 5G Network Deployment segments.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perform our annual impairment assessment for goodwill and other indefinite-lived intangible assets each year during the fourth quarter or more frequently if events or changes in circumstances indicate an impairment may be possible. We may consider qualitative factors to assess if it is more likely than not that the fair value for goodwill is below the carrying amount. If we determine in the qualitative assessment that it is more likely than not that the fair value is less than its carrying value, then we perform a quantitative assessment to determine the estimated fair value of the reporting unit. We may also elect to bypass the qualitative assessment and perform a quantitative assessment.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assessment process included, among other things, discounted cash flow analyses, consideration of fair values of tangible and indefinite-lived intangible assets held by the reporting units and our parent’s recent market capitalization. Our assessment indicated the goodwill attributed to certain acquisitions was no longer supported based on the sustained decrease in our parent’s market capitalization. As such, we recorded a total noncash impairment charge of approximately $225 million in “Impairment of long-lived assets and goodwill” on our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impairments were indicated for any reporting unit for the years ended December 31, 2022 and 2021.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27" w:name="Tc_BMP-jmJUNU6Oe9g82uhWPQ_9_11"/>
      <w:bookmarkStart w:id="928" w:name="Tc_xNNBdgRzN0qKkq93nTg-Tg_9_8"/>
      <w:bookmarkStart w:id="929" w:name="Tc_TelTJJXA8UOZxkQJ-N3AHQ_9_5"/>
      <w:bookmarkStart w:id="930" w:name="Tc_LH8jM7jxaEKCKdq1G9QJ7w_9_2"/>
      <w:bookmarkStart w:id="931" w:name="Tc_vUwOZ6jGHUaYRtv0w-bkIg_9_0"/>
      <w:bookmarkStart w:id="932" w:name="Tc_i7CBlssNN0STqcejKfX-5w_7_12"/>
      <w:bookmarkStart w:id="933" w:name="Tc_dFHBccR0QESpqGS5weVsGQ_7_11"/>
      <w:bookmarkStart w:id="934" w:name="Tc_vOhh3efbmEa_Ptbf66dDgw_7_9"/>
      <w:bookmarkStart w:id="935" w:name="Tc_yBz3FAwt6ESswueTqjQvTg_7_8"/>
      <w:bookmarkStart w:id="936" w:name="Tc_xKOws_gj5UGRGeTi9zEBYA_7_6"/>
      <w:bookmarkStart w:id="937" w:name="Tc_YKwQ5rjPmEipAAO3zh2uMA_7_5"/>
      <w:bookmarkStart w:id="938" w:name="Tc_mIejxC-dWEqbEPTezVdgEQ_7_3"/>
      <w:bookmarkStart w:id="939" w:name="Tc_x9y09X8hrUWlt47HBFzIwQ_7_2"/>
      <w:bookmarkStart w:id="940" w:name="Tc_aCjYE7nGrEW2hh7kV_Dslg_7_0"/>
      <w:bookmarkStart w:id="941" w:name="Tc_yB0fvVvwIEWhfhOiKOywLQ_6_0"/>
      <w:bookmarkStart w:id="942" w:name="Tc_9hiZG3toBECoLi03vgjScA_5_11"/>
      <w:bookmarkStart w:id="943" w:name="Tc_WVbZh2Ea50G3aJOngBu7sw_5_8"/>
      <w:bookmarkStart w:id="944" w:name="Tc_RZaMj_fE9Uuyk6kFfXpGGQ_5_5"/>
      <w:bookmarkStart w:id="945" w:name="Tc_F27309JgvEKyBNAoJSRszQ_5_2"/>
      <w:bookmarkStart w:id="946" w:name="Tc_FbMeT1IEk0iife9D5NPPPA_5_0"/>
      <w:bookmarkStart w:id="947" w:name="Tc_XTdnaTH2Nkezhr-6b0pQng_4_11"/>
      <w:bookmarkStart w:id="948" w:name="Tc_YJFk8j_saEiR_Xzm-WYFKQ_4_8"/>
      <w:bookmarkStart w:id="949" w:name="Tc_kZhPFaaqEU2cQ49a5mI3Tw_4_5"/>
      <w:bookmarkStart w:id="950" w:name="Tc_uxH-HQj1FEqlzDUNn_nM0w_4_2"/>
      <w:bookmarkStart w:id="951" w:name="Tc_tPzhcuu9x0WRChtCz_VHJQ_4_0"/>
      <w:bookmarkStart w:id="952" w:name="Tc_LlCBgCdr7k-xjBQzqtTmaQ_2_2"/>
      <w:bookmarkStart w:id="953" w:name="Tc_7u42rn-QG0aJKxai4fWadw_1_11"/>
      <w:bookmarkStart w:id="954" w:name="Tc_5A0eFaKjkkC6lHfRN1zYLA_1_8"/>
      <w:bookmarkStart w:id="955" w:name="Tc_qJvyQXU3-Uiv81Seaczd4A_1_5"/>
      <w:bookmarkStart w:id="956" w:name="Tc_hQcuX497y0S_VOi9glKFLg_1_2"/>
      <w:bookmarkStart w:id="957" w:name="Tc_3gRzabVeLE294j9CSGhQgA_1_0"/>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Times New Roman;Times;serif" w:hAnsi="Times New Roman;Times;serif"/>
          <w:sz w:val="20"/>
        </w:rPr>
        <w:t>The following table presents the changes in the carrying amounts of goodwill by operating segment: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17"/>
        <w:gridCol w:w="326"/>
        <w:gridCol w:w="196"/>
        <w:gridCol w:w="616"/>
        <w:gridCol w:w="326"/>
        <w:gridCol w:w="239"/>
        <w:gridCol w:w="867"/>
        <w:gridCol w:w="326"/>
        <w:gridCol w:w="331"/>
        <w:gridCol w:w="1365"/>
        <w:gridCol w:w="109"/>
        <w:gridCol w:w="196"/>
        <w:gridCol w:w="796"/>
        <w:gridCol w:w="195"/>
      </w:tblGrid>
      <w:tr>
        <w:trPr/>
        <w:tc>
          <w:tcPr>
            <w:tcW w:w="4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741295" cy="175260"/>
                      <wp:effectExtent l="0" t="0" r="0" b="0"/>
                      <wp:wrapNone/>
                      <wp:docPr id="185" name="Frame185"/>
                      <a:graphic xmlns:a="http://schemas.openxmlformats.org/drawingml/2006/main">
                        <a:graphicData uri="http://schemas.microsoft.com/office/word/2010/wordprocessingShape">
                          <wps:wsp>
                            <wps:cNvSpPr txBox="1"/>
                            <wps:spPr>
                              <a:xfrm>
                                <a:off x="0" y="0"/>
                                <a:ext cx="274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7" name="Frame1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91160" cy="175260"/>
                      <wp:effectExtent l="0" t="0" r="0" b="0"/>
                      <wp:wrapNone/>
                      <wp:docPr id="188" name="Frame18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1765" cy="175260"/>
                      <wp:effectExtent l="0" t="0" r="0" b="0"/>
                      <wp:wrapNone/>
                      <wp:docPr id="190" name="Frame19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0545" cy="175260"/>
                      <wp:effectExtent l="0" t="0" r="0" b="0"/>
                      <wp:wrapNone/>
                      <wp:docPr id="191" name="Frame191"/>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0185" cy="175260"/>
                      <wp:effectExtent l="0" t="0" r="0" b="0"/>
                      <wp:wrapNone/>
                      <wp:docPr id="193" name="Frame19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66775" cy="175260"/>
                      <wp:effectExtent l="0" t="0" r="0" b="0"/>
                      <wp:wrapNone/>
                      <wp:docPr id="194" name="Frame194"/>
                      <a:graphic xmlns:a="http://schemas.openxmlformats.org/drawingml/2006/main">
                        <a:graphicData uri="http://schemas.microsoft.com/office/word/2010/wordprocessingShape">
                          <wps:wsp>
                            <wps:cNvSpPr txBox="1"/>
                            <wps:spPr>
                              <a:xfrm>
                                <a:off x="0" y="0"/>
                                <a:ext cx="86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96" name="Frame1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7" name="Frame1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3825" cy="175260"/>
                      <wp:effectExtent l="0" t="0" r="0" b="0"/>
                      <wp:wrapNone/>
                      <wp:docPr id="198" name="Frame198"/>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Goodwill</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Pay-TV</w:t>
            </w:r>
          </w:p>
        </w:tc>
        <w:tc>
          <w:tcPr>
            <w:tcW w:w="326"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 Wireless</w:t>
            </w:r>
          </w:p>
        </w:tc>
        <w:tc>
          <w:tcPr>
            <w:tcW w:w="326" w:type="dxa"/>
            <w:tcBorders/>
            <w:vAlign w:val="center"/>
          </w:tcPr>
          <w:p>
            <w:pPr>
              <w:pStyle w:val="TableContents"/>
              <w:bidi w:val="0"/>
              <w:spacing w:before="0" w:after="0"/>
              <w:ind w:left="0" w:right="0" w:hanging="0"/>
              <w:jc w:val="left"/>
              <w:rPr/>
            </w:pPr>
            <w:r>
              <w:rPr/>
              <w:t>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5G Network Deployment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5" w:type="dxa"/>
            <w:tcBorders/>
            <w:vAlign w:val="center"/>
          </w:tcPr>
          <w:p>
            <w:pPr>
              <w:pStyle w:val="TableContents"/>
              <w:bidi w:val="0"/>
              <w:spacing w:before="0" w:after="0"/>
              <w:ind w:left="0" w:right="0" w:hanging="0"/>
              <w:jc w:val="left"/>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67"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195" w:type="dxa"/>
            <w:tcBorders/>
            <w:vAlign w:val="center"/>
          </w:tcPr>
          <w:p>
            <w:pPr>
              <w:pStyle w:val="TableContents"/>
              <w:bidi w:val="0"/>
              <w:spacing w:before="0" w:after="0"/>
              <w:ind w:left="0" w:right="0" w:hanging="0"/>
              <w:jc w:val="left"/>
              <w:rPr/>
            </w:pPr>
            <w:r>
              <w:rPr/>
              <w:t>​</w:t>
            </w:r>
          </w:p>
        </w:tc>
      </w:tr>
      <w:tr>
        <w:trPr/>
        <w:tc>
          <w:tcPr>
            <w:tcW w:w="4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43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2021, net of accumulated impairment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98,657</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225,017</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43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2022, net of accumulated impairment losses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98,657</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225,017</w:t>
            </w:r>
          </w:p>
        </w:tc>
        <w:tc>
          <w:tcPr>
            <w:tcW w:w="195" w:type="dxa"/>
            <w:tcBorders/>
            <w:vAlign w:val="center"/>
          </w:tcPr>
          <w:p>
            <w:pPr>
              <w:pStyle w:val="TableContents"/>
              <w:bidi w:val="0"/>
              <w:spacing w:before="0" w:after="0"/>
              <w:ind w:left="0" w:right="0" w:hanging="0"/>
              <w:jc w:val="left"/>
              <w:rPr/>
            </w:pPr>
            <w:r>
              <w:rPr/>
              <w:t>​</w:t>
            </w:r>
          </w:p>
        </w:tc>
      </w:tr>
      <w:tr>
        <w:trPr/>
        <w:tc>
          <w:tcPr>
            <w:tcW w:w="43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(98,657)</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(225,017)</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43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2023, net of accumulated impairment losses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431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43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Accumulated impairment losses as of December 31, 2023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(98,657)</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(225,017)</w:t>
            </w:r>
          </w:p>
        </w:tc>
        <w:tc>
          <w:tcPr>
            <w:tcW w:w="195" w:type="dxa"/>
            <w:tcBorders/>
            <w:vAlign w:val="center"/>
          </w:tcPr>
          <w:p>
            <w:pPr>
              <w:pStyle w:val="TableContents"/>
              <w:bidi w:val="0"/>
              <w:spacing w:before="0" w:after="0"/>
              <w:ind w:left="0" w:right="0" w:hanging="0"/>
              <w:jc w:val="left"/>
              <w:rPr/>
            </w:pPr>
            <w:r>
              <w:rPr/>
              <w:t>​</w:t>
            </w:r>
          </w:p>
        </w:tc>
      </w:tr>
      <w:tr>
        <w:trPr/>
        <w:tc>
          <w:tcPr>
            <w:tcW w:w="4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 However, as the qualifying assets, including certain bands of wireless spectrum licenses, are placed into service, we will no longer capitalize interest on those assets and we will begin to expense interest on our Consolidated Statements of Operations and Comprehensive Income (Loss).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20 years</w:t>
      </w:r>
      <w:r>
        <w:rPr>
          <w:rFonts w:ascii="Times New Roman;Times;serif" w:hAnsi="Times New Roman;Times;serif"/>
          <w:sz w:val="24"/>
        </w:rPr>
        <w:t xml:space="preserve"> </w:t>
      </w:r>
      <w:r>
        <w:rPr>
          <w:rFonts w:ascii="Times New Roman;Times;serif" w:hAnsi="Times New Roman;Times;serif"/>
          <w:sz w:val="20"/>
        </w:rPr>
        <w:t xml:space="preserve">or in relation to the estimated discounted cash flows over the life of the intangible asset.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Long-Term Deferred Revenue and Other Long-Term Liabilities</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Sales Taxes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pStyle w:val="TextBody"/>
        <w:bidi w:val="0"/>
        <w:spacing w:before="0" w:after="0"/>
        <w:ind w:left="0" w:right="0" w:hanging="0"/>
        <w:jc w:val="left"/>
        <w:rPr/>
      </w:pPr>
      <w:r>
        <w:rPr/>
        <w:t>​</w:t>
      </w:r>
    </w:p>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December 31, 2023 and 2022, the carrying amount for cash and cash equivalents, trade accounts receivable (net of allowance for credit losses) and current liabilities (excluding the “Current portion of long-term debt and finance lease obligations”) was equal to or approximated fair value due to their short-term nature or proximity to current market rates.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There were no transfers between levels during the years ended December 31, 2023 and 2022. See Note 5 for the fair value of our marketable investment securities and derivative instruments.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9 for the fair value of our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Convertible Long-Term Debt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Historically, for embedded conversion features, we valued and bifurcated the conversion option</w:t>
      </w:r>
      <w:r>
        <w:rPr>
          <w:rFonts w:ascii="Times New Roman;Times;serif" w:hAnsi="Times New Roman;Times;serif"/>
          <w:sz w:val="24"/>
        </w:rPr>
        <w:t xml:space="preserve"> </w:t>
      </w:r>
      <w:r>
        <w:rPr>
          <w:rFonts w:ascii="Times New Roman;Times;serif" w:hAnsi="Times New Roman;Times;serif"/>
          <w:sz w:val="20"/>
        </w:rPr>
        <w:t xml:space="preserve">associated with convertible notes (the “equity component”) from the host debt instrument. The initial value of the equity component on the convertible notes was recorded in “Additional paid-in capital” within “Stockholder’s Equity (Deficit)” on our Consolidated Balance Sheets with the offset recorded as the debt discount. In accordance with ASU 2020-06 </w:t>
      </w:r>
      <w:r>
        <w:rPr>
          <w:rFonts w:ascii="Times New Roman;Times;serif" w:hAnsi="Times New Roman;Times;serif"/>
          <w:i/>
          <w:sz w:val="20"/>
        </w:rPr>
        <w:t xml:space="preserve">Debt – Debt with Conversion and Other Options and Derivatives and Hedging – Contracts in Entity’s Own Equity </w:t>
      </w:r>
      <w:r>
        <w:rPr>
          <w:rFonts w:ascii="Times New Roman;Times;serif" w:hAnsi="Times New Roman;Times;serif"/>
          <w:sz w:val="20"/>
        </w:rPr>
        <w:t>(“ASU 2020-06”), which we adopted during the first quarter of 2021, the equity component related to our convertible notes of $1.051</w:t>
      </w:r>
      <w:r>
        <w:rPr>
          <w:rFonts w:ascii="Times New Roman;Times;serif" w:hAnsi="Times New Roman;Times;serif"/>
          <w:sz w:val="24"/>
        </w:rPr>
        <w:t xml:space="preserve"> </w:t>
      </w:r>
      <w:r>
        <w:rPr>
          <w:rFonts w:ascii="Times New Roman;Times;serif" w:hAnsi="Times New Roman;Times;serif"/>
          <w:sz w:val="20"/>
        </w:rPr>
        <w:t>billion has been reclassified from “</w:t>
      </w:r>
      <w:r>
        <w:rPr>
          <w:rFonts w:ascii="Times New Roman;Times;serif" w:hAnsi="Times New Roman;Times;serif"/>
          <w:b w:val="false"/>
          <w:i w:val="false"/>
          <w:caps w:val="false"/>
          <w:smallCaps w:val="false"/>
          <w:sz w:val="20"/>
        </w:rPr>
        <w:t>Additional paid-in capital</w:t>
      </w:r>
      <w:r>
        <w:rPr>
          <w:rFonts w:ascii="Times New Roman;Times;serif" w:hAnsi="Times New Roman;Times;serif"/>
          <w:sz w:val="24"/>
        </w:rPr>
        <w:t xml:space="preserve">” </w:t>
      </w:r>
      <w:r>
        <w:rPr>
          <w:rFonts w:ascii="Times New Roman;Times;serif" w:hAnsi="Times New Roman;Times;serif"/>
          <w:sz w:val="20"/>
        </w:rPr>
        <w:t>within “Stockholder’s Equity (Deficit)” to “Long-term debt and finance lease obligations, net of current portion” and the associated deferred taxes of $246</w:t>
      </w:r>
      <w:r>
        <w:rPr>
          <w:rFonts w:ascii="Times New Roman;Times;serif" w:hAnsi="Times New Roman;Times;serif"/>
          <w:sz w:val="24"/>
        </w:rPr>
        <w:t xml:space="preserve"> </w:t>
      </w:r>
      <w:r>
        <w:rPr>
          <w:rFonts w:ascii="Times New Roman;Times;serif" w:hAnsi="Times New Roman;Times;serif"/>
          <w:sz w:val="20"/>
        </w:rPr>
        <w:t>million has been reclassified from “</w:t>
      </w:r>
      <w:r>
        <w:rPr>
          <w:rFonts w:ascii="Times New Roman;Times;serif" w:hAnsi="Times New Roman;Times;serif"/>
          <w:b w:val="false"/>
          <w:i w:val="false"/>
          <w:caps w:val="false"/>
          <w:smallCaps w:val="false"/>
          <w:sz w:val="20"/>
        </w:rPr>
        <w:t>Additional paid-in capital</w:t>
      </w:r>
      <w:r>
        <w:rPr>
          <w:rFonts w:ascii="Times New Roman;Times;serif" w:hAnsi="Times New Roman;Times;serif"/>
          <w:sz w:val="24"/>
        </w:rPr>
        <w:t xml:space="preserve">” </w:t>
      </w:r>
      <w:r>
        <w:rPr>
          <w:rFonts w:ascii="Times New Roman;Times;serif" w:hAnsi="Times New Roman;Times;serif"/>
          <w:sz w:val="20"/>
        </w:rPr>
        <w:t>within “Stockholder’s Equity (Deficit)” to “Deferred tax liabilities, net” on our Consolidated Balance Sheets.  As a result of the merger with EchoStar, we have reassessed the classification of the embedded conversion features on all of our convertible debt. Historically, we concluded that these financial instruments were not derivatives. However, as a result in the change of equity issuer (from us to our parent EchoStar) we concluded that the financial instruments are no longer indexed to their own equity and now require derivative accounting.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Deferred Debt Issuance Costs and Debt Discounts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9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Pay-TV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Pay-TV segment revenue is primarily derived from Pay-TV subscriber revenue. We also generate revenue from equipment rental fees and other hardware related fees, including DVRs and fees from subscribers with multiple receivers; advertising services; fees earned from our in-home service operations; broadband services; warranty services; sales of digital receivers and related equipment to third-party pay-TV providers; satellite uplink and telemetry, tracking and control (“TT&amp;C”) services; and revenue from in-home services. See Note 14 for further information, including revenue disaggregated by major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58" w:name="_DV_M5"/>
      <w:bookmarkEnd w:id="958"/>
      <w:r>
        <w:rPr>
          <w:rFonts w:ascii="Times New Roman;Times;serif" w:hAnsi="Times New Roman;Times;serif"/>
          <w:sz w:val="20"/>
        </w:rPr>
        <w:t xml:space="preserve">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our residential video subscribers, we have concluded that the contract term under Accounting Standard Codification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is one month and as a result the revenue recognized for these subscribers for a given month is equal to the amount billed in that month, except for certain nonrefundable upfront fees that are accounted for as material rights, as discussed above.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Retail Wireless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Retail Wireless segment revenue is primarily derived from Wireless subscriber revenue and selling wireless devices to prepaid and postpaid subscribers. The majority of our subscribers are prepaid under the Boost Mobile and Gen Mobile brands with a smaller subset of postpaid subscribers serviced under the Boost postpaid brand. Prepaid subscribers prepay for their monthly service on a month-to-month contract. Our contracts with prepaid customers are determined to be one month. Postpaid subscribers are qualified to pay for their service after it has been provided and pay for their monthly service on a month-to-month contract. Our contracts with postpaid customers typically have an enforceable duration of one month. However, promotional bill credits offered to a customer on an equipment sale that are paid over time and are contingent on the customer maintaining a service contract may result in an extended service contract based on whether a substantive penalty is deemed to exist.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both an indirect sales channel, which includes third-party owned retail stores and big box stores, as well as online through Amazon, and a direct sales channel, which services customers online through each respective brand’s website. To deliver products to third-party retail stores through the indirect sales channel, we use direct distribution partners to facilitate product delivery. Our contracts with customers may involve more than one performance obligation, which include wireless services, wireless devices or a combination thereof, and we allocate the transaction price between each performance obligation based on its relative standalone selling price. Although our Retail Wireless segment offers both products and services, we have determined that not all contracts with customers are bundled arrangements as the wireless device and service are sometimes sold at different times, and in the case of certain sales arrangements through the indirect sales channel, have different customers. When control of the product is transferred to an intermediary other than the end customer in the indirect channel, the customer for the wireless device is the intermediary, such as the direct distribution partner, whereas for the service the subscriber is the end consumer. When control of the product is not transferred to the intermediary, in the indirect channel the product is accounted for as consigned inventory and the customer for both the wireless device and service is the end customer. Service revenues may also include other value added services to subscribers, which may be recorded either gross or net within our Consolidated Statements of Operations and Comprehensive Income (Loss) depending on whether we are deemed to be the principal or agent in the relationship with the subscriber. Service revenues are recognized when the service has been provided and no further obligation exists. Concessions given to subscribers are recorded as a reduction to revenue.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bookmarkStart w:id="959" w:name="_Hlk729553"/>
      <w:bookmarkStart w:id="960" w:name="_Hlk183758"/>
      <w:bookmarkEnd w:id="959"/>
      <w:bookmarkEnd w:id="960"/>
      <w:r>
        <w:rPr>
          <w:rFonts w:ascii="Times New Roman;Times;serif" w:hAnsi="Times New Roman;Times;serif"/>
          <w:sz w:val="20"/>
        </w:rPr>
        <w:t xml:space="preserve">Equipment revenues are primarily related to the sale of wireless devices. Equipment revenue is recognized when control of the product is transferred to our customer, either the direct distribution partner or the end customer, as described above. We offer postpaid customers the option to pay for devices in installments, generally over </w:t>
      </w:r>
      <w:r>
        <w:rPr>
          <w:rFonts w:ascii="Times New Roman;Times;serif" w:hAnsi="Times New Roman;Times;serif"/>
          <w:b w:val="false"/>
          <w:i w:val="false"/>
          <w:caps w:val="false"/>
          <w:smallCaps w:val="false"/>
          <w:sz w:val="20"/>
        </w:rPr>
        <w:t>36 months</w:t>
      </w:r>
      <w:r>
        <w:rPr>
          <w:rFonts w:ascii="Times New Roman;Times;serif" w:hAnsi="Times New Roman;Times;serif"/>
          <w:sz w:val="20"/>
        </w:rPr>
        <w:t xml:space="preserve">. We recognize the effects of a financing component as a reduction of the transaction price in contracts where customers purchase their devices with an installment term of more than one year, including those financing components that are not considered to be significant to the contract. We have elected the practical expedient of not recognizing the effects of a significant financing component for contracts where we expect, at contract inception, that the period between the transfer of a performance obligation to a customer and the customer’s payment for that performance obligation will be one year or less. We may offer certain promotions that provide our customers on device installment plans with the right to upgrade to a new device after paying a specified portion of their device payment plan agreement amount and trading in their device in good working order. We account for this trade-in right as a guarantee obligation. The full amount of the trade-in right’s fair value is recognized as a guarantee liability and results in a reduction to the revenue recognized upon the sale of the device. The total transaction price is reduced by the guarantee, which is accounted for outside the scope of ASC 606, and the remaining transaction price is allocated between the performance obligations within the contract. Sales of equipment in the indirect sales channel often include credits subsequently paid to the direct distribution partner as a reimbursement for any discount promotions offered to the end consumer. These credits (payments to a customer) are accounted for as variable consideration when estimating the amount of revenue to recognize from the sales of equipment to indirect dealers and are estimated based on historical experience and other factors, such as expected promotional activity. For wireless devices sold with a right of return, we defer a portion of equipment revenue and cost of sales to reflect this variable consideration.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Governmental Funding. </w:t>
      </w:r>
      <w:r>
        <w:rPr>
          <w:rFonts w:ascii="Times New Roman;Times;serif" w:hAnsi="Times New Roman;Times;serif"/>
          <w:sz w:val="20"/>
        </w:rPr>
        <w:t xml:space="preserve">We participate in various United States federal and state programs, including the Affordable Connectivity Program (“ACP”) under which eligible low-income households may receive a discount off the cost of broadband service and certain connected devices, and participating providers can receive a reimbursement for such discounts. This revenue is included in “Service and other revenue” on our Consolidated Statements of Operations and Comprehensive Income (Loss). Corresponding receivables are recorded when services have been provided to the customers and costs incurred, but cash has not been received. These amounts are included in “Trade accounts receivable, net” on our Consolidated Balance Sheets.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residential video subscribers are typically billed monthly, and the contract balances for those customers arise from the timing of the monthly billing cycle. Our current Wireless subscribers, the majority of which are prepaid, generate deferred revenue. We do not adjust the amount of consideration for financing impacts when we anticipate that the period between transfer of goods and services and eventual payment for those goods and services will be less than one year. Contract assets are included in “Trade accounts receivable, net” and contract liabilities are included in “Deferred revenue and other” and “Long-term deferred revenue and other long-term liabilities” on our Consolidated Balance Sheets. Contract balances are amortized over the contract term. See Note 15 for further information, including balance and activity detail about our allowance for credit losses and deferred revenue related to contracts with subscribers.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961" w:name="_Hlk529274112"/>
      <w:bookmarkEnd w:id="961"/>
      <w:r>
        <w:rPr>
          <w:rFonts w:ascii="Times New Roman;Times;serif" w:hAnsi="Times New Roman;Times;serif"/>
          <w:i/>
          <w:sz w:val="20"/>
        </w:rPr>
        <w:t>Assets Recognized Related to the Costs to Obtain a Contract with a Customer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recognize an asset for the incremental costs of obtaining a contract with a customer if we expect the benefit of those costs to be longer than one year.  We have determined that certain sales incentive programs in our Pay-TV and Retail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Lessee Accounting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determine if an arrangement is a lease and classify that lease as either an operating or finance lease at inception. Operating leases are included in “Operating lease assets,” “Other accrued expenses and liabilities” and “Operating lease liabilities” on our Consolidated Balance Sheets. Finance leases are included in “Property and equipment, net,” “Current portion of long-term debt and finance lease obligations” and “Long-term debt and finance lease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8 for further information on our lease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 of use (“ROU”)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lease agreements with lease and non-lease components, which are generally accounted for separately. Our variable lease payments are immaterial and our lease agreements do not contain any material residual value guarantees or material restrictive covenants.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Lessor Accounting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62" w:name="_DV_M269"/>
      <w:bookmarkEnd w:id="962"/>
      <w:r>
        <w:rPr>
          <w:rFonts w:ascii="Times New Roman;Times;serif" w:hAnsi="Times New Roman;Times;serif"/>
          <w:sz w:val="20"/>
        </w:rPr>
        <w:t xml:space="preserve">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non-lease service revenue related to equipment leased to new and existing DISH TV subscribers would have otherwise been accounted for as an operating lease.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Cost of Services </w:t>
      </w:r>
    </w:p>
    <w:p>
      <w:pPr>
        <w:pStyle w:val="TextBody"/>
        <w:bidi w:val="0"/>
        <w:spacing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i/>
          <w:sz w:val="20"/>
        </w:rPr>
      </w:pPr>
      <w:r>
        <w:rPr>
          <w:rFonts w:ascii="Times New Roman;Times;serif" w:hAnsi="Times New Roman;Times;serif"/>
          <w:i/>
          <w:sz w:val="20"/>
        </w:rPr>
        <w:t>Pay-TV Segment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 xml:space="preserve">Cost of services” on our Consolidated Statements of Operations and Comprehensive Income (Loss) principally includes programming expenses and other operating costs related to our Pay-TV segment. 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Retail Wireless Segment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 xml:space="preserve">Cost of services” on our Consolidated Statements of Operations and Comprehensive Income (Loss) principally includes costs incurred under the MNSA and NSA. Costs incurred under the MNSA and NSA are recognized as the services are performed or as incurred.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Sales – Equipment and Other</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i/>
          <w:sz w:val="20"/>
        </w:rPr>
      </w:pPr>
      <w:r>
        <w:rPr>
          <w:rFonts w:ascii="Times New Roman;Times;serif" w:hAnsi="Times New Roman;Times;serif"/>
          <w:i/>
          <w:sz w:val="20"/>
        </w:rPr>
        <w:t>Pay-TV Segment</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Cost of sales – equipment and other” on our Consolidated Statements of Operations and Comprehensive Income (Loss) principally includes costs related to the non-subsidized sales of Pay-TV equipment. Costs are generally recognized as products are delivered to customers and the related revenue is recognized.</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Retail Wireless Segment</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Cost of sales – equipment and other” on our Consolidated Statements of Operations and Comprehensive Income (Loss) principally includes the cost of wireless devices and other related items, certain direct costs of wireless mobile network operations to deliver wireless voice and data services. Costs are generally recognized as products are delivered to customers and the related revenue is recognized.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5G Network Deployment Segment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Cost of sales – equipment and other” on our Consolidated Statements of Operations and Comprehensive Income (Loss) principally includes the lease expense on communication towers and transport as well as cloud services. Lease costs are generally recognized on a straight-line basis over the lease term. Costs related to cloud services are either recognized ratably over the contract term or based on usage.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Advertising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recognize advertising expense when incurred as a component of “Selling, general and administrative expenses” on our Consolidated Statements of Operations and Comprehensive Income (Loss). Advertising expenses totaled $698 million, $633 million and $535 million for the years ended December 31, 2023, 2022 and 2021, respectively.</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20"/>
        </w:rPr>
      </w:pPr>
      <w:r>
        <w:rPr>
          <w:rFonts w:ascii="Times New Roman;Times;serif" w:hAnsi="Times New Roman;Times;serif"/>
          <w:spacing w:val="0"/>
          <w:sz w:val="20"/>
        </w:rPr>
        <w:t>Research and development costs, not incurred in connection with customer requirements, are expensed as incurred and are included</w:t>
      </w:r>
      <w:r>
        <w:rPr>
          <w:rFonts w:ascii="Times New Roman;Times;serif" w:hAnsi="Times New Roman;Times;serif"/>
          <w:spacing w:val="-2"/>
          <w:sz w:val="20"/>
        </w:rPr>
        <w:t xml:space="preserve"> as a component of</w:t>
      </w:r>
      <w:r>
        <w:rPr>
          <w:rFonts w:ascii="Times New Roman;Times;serif" w:hAnsi="Times New Roman;Times;serif"/>
          <w:spacing w:val="0"/>
          <w:sz w:val="20"/>
        </w:rPr>
        <w:t xml:space="preserve"> “Selling, general and administrative expenses” on our Consolidated Statements of Operations and Comprehensive Income (Loss). Research and development costs totaled $42 million, $45 million and $29 million for the years ended December 31, 2023, 2022 and 2021,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Joint Ventures. </w:t>
      </w:r>
      <w:r>
        <w:rPr>
          <w:rFonts w:ascii="Times New Roman;Times;serif" w:hAnsi="Times New Roman;Times;serif"/>
          <w:sz w:val="20"/>
        </w:rPr>
        <w:t xml:space="preserve">On August 23, 2023, the FASB issued ASU 2023-05, </w:t>
      </w:r>
      <w:r>
        <w:rPr>
          <w:rFonts w:ascii="Times New Roman;Times;serif" w:hAnsi="Times New Roman;Times;serif"/>
          <w:i/>
          <w:sz w:val="20"/>
        </w:rPr>
        <w:t>Business Combinations — Joint Venture Formations (Subtopic 805-60)</w:t>
      </w:r>
      <w:r>
        <w:rPr>
          <w:rFonts w:ascii="Times New Roman;Times;serif" w:hAnsi="Times New Roman;Times;serif"/>
          <w:sz w:val="20"/>
        </w:rPr>
        <w:t xml:space="preserve"> (“ASU 2023-05”), which requires an entity that qualifies as either a joint venture or a 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are evaluating the impact the adoption of ASU 2023-05 will have on our Consolidated Financial Statements and related disclosures.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Segment Reporting. </w:t>
      </w:r>
      <w:r>
        <w:rPr>
          <w:rFonts w:ascii="Times New Roman;Times;serif" w:hAnsi="Times New Roman;Times;serif"/>
          <w:sz w:val="20"/>
        </w:rPr>
        <w:t xml:space="preserve">On November 27, 2023, the FASB issued ASU 2023-07 </w:t>
      </w:r>
      <w:r>
        <w:rPr>
          <w:rFonts w:ascii="Times New Roman;Times;serif" w:hAnsi="Times New Roman;Times;serif"/>
          <w:i/>
          <w:sz w:val="20"/>
        </w:rPr>
        <w:t>Segment Reporting (Topic 280): Improvements to Reporting Segment Disclosures</w:t>
      </w:r>
      <w:r>
        <w:rPr>
          <w:rFonts w:ascii="Times New Roman;Times;serif" w:hAnsi="Times New Roman;Times;serif"/>
          <w:sz w:val="20"/>
        </w:rPr>
        <w:t xml:space="preserve"> (“ASU 2023-07”), which will enhance financial reporting by providing 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are evaluating the impact the adoption of ASU 2023-07 will have on our Consolidated Financial Statements and related disclosures.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On December 14, 2023, the FASB issued ASU 2023-9, </w:t>
      </w:r>
      <w:r>
        <w:rPr>
          <w:rFonts w:ascii="Times New Roman;Times;serif" w:hAnsi="Times New Roman;Times;serif"/>
          <w:i/>
          <w:sz w:val="20"/>
        </w:rPr>
        <w:t>Income Taxes (Topic 740)</w:t>
      </w:r>
      <w:r>
        <w:rPr>
          <w:rFonts w:ascii="Times New Roman;Times;serif" w:hAnsi="Times New Roman;Times;serif"/>
          <w:sz w:val="20"/>
        </w:rPr>
        <w:t xml:space="preserve">: </w:t>
      </w:r>
      <w:r>
        <w:rPr>
          <w:rFonts w:ascii="Times New Roman;Times;serif" w:hAnsi="Times New Roman;Times;serif"/>
          <w:i/>
          <w:sz w:val="20"/>
        </w:rPr>
        <w:t>Improvements to Income Tax Disclosures</w:t>
      </w:r>
      <w:r>
        <w:rPr>
          <w:rFonts w:ascii="Times New Roman;Times;serif" w:hAnsi="Times New Roman;Times;serif"/>
          <w:sz w:val="20"/>
        </w:rPr>
        <w:t xml:space="preserve"> (“ASU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 </w:t>
      </w:r>
    </w:p>
    <w:p>
      <w:pPr>
        <w:pStyle w:val="TextBody"/>
        <w:bidi w:val="0"/>
        <w:spacing w:before="0" w:after="0"/>
        <w:ind w:left="0" w:right="0" w:hanging="0"/>
        <w:jc w:val="left"/>
        <w:rPr>
          <w:color w:val="222222"/>
          <w:shd w:fill="FFFF00" w:val="clear"/>
        </w:rPr>
      </w:pPr>
      <w:r>
        <w:rPr>
          <w:color w:val="222222"/>
          <w:shd w:fill="FFFF00" w:val="clear"/>
        </w:rPr>
        <w:t>​</w:t>
      </w:r>
    </w:p>
    <w:p>
      <w:pPr>
        <w:pStyle w:val="TextBody"/>
        <w:bidi w:val="0"/>
        <w:spacing w:before="0" w:after="0"/>
        <w:ind w:left="0" w:right="0" w:hanging="0"/>
        <w:jc w:val="left"/>
        <w:rPr>
          <w:rFonts w:ascii="Times New Roman;Times;serif" w:hAnsi="Times New Roman;Times;serif"/>
          <w:b/>
          <w:sz w:val="20"/>
        </w:rPr>
      </w:pPr>
      <w:bookmarkStart w:id="963" w:name="Tc_ZHueAxaUj06pdf9seM3HzQ_15_9"/>
      <w:bookmarkStart w:id="964" w:name="Tc_bRs1JAGjnEao8KJsKNVrRw_15_3"/>
      <w:bookmarkStart w:id="965" w:name="Tc_EcV7Zk3sgUanKg6x9P0blQ_15_0"/>
      <w:bookmarkStart w:id="966" w:name="Tc_rXSah8S6m0OMRRoNL-6mjw_14_0"/>
      <w:bookmarkStart w:id="967" w:name="Tc_pElohIKFpUS0wvNRHj_Arg_13_0"/>
      <w:bookmarkStart w:id="968" w:name="Tc_LWfsk3ObBk2ZnVomBwMY9g_12_3"/>
      <w:bookmarkStart w:id="969" w:name="Tc_W4gozu9-hESsizJljK6q6w_12_0"/>
      <w:bookmarkStart w:id="970" w:name="Tc_DOt3Ta2W5kK84R_Lxv75-Q_11_0"/>
      <w:bookmarkStart w:id="971" w:name="Tc_tkyt6WpyFEmX0bVznQ4SnQ_10_6"/>
      <w:bookmarkStart w:id="972" w:name="Tc__ENEG8AB_EWRlTPOBuM8Ow_10_3"/>
      <w:bookmarkStart w:id="973" w:name="Tc_Y6luHXmSO0mBkzFxytMOzA_10_0"/>
      <w:bookmarkStart w:id="974" w:name="Tc_1ptpuoY4uk-qX4aIrVI7Fg_9_6"/>
      <w:bookmarkStart w:id="975" w:name="Tc_G8ZWMFefbE6nMyvs0WZqVg_9_3"/>
      <w:bookmarkStart w:id="976" w:name="Tc_5PuTlAXXP0m-Qjh618PBGQ_9_0"/>
      <w:bookmarkStart w:id="977" w:name="Tc_bc0CQGkQiEmTU7u9zavhyQ_8_0"/>
      <w:bookmarkStart w:id="978" w:name="Tc_DJTOyxBamE6Y5ROwaJmcZw_7_0"/>
      <w:bookmarkStart w:id="979" w:name="Tc_W85VuAdT1UyCVq8nT0-8RA_6_0"/>
      <w:bookmarkStart w:id="980" w:name="Tc_74NydM98B0-RKXfGekH7zg_5_0"/>
      <w:bookmarkStart w:id="981" w:name="Tc_Pi9Jg4I6GEuHbWE1PI3CvA_4_8"/>
      <w:bookmarkStart w:id="982" w:name="Tc_k7k7mdjyyESlAzeT7i8Y1Q_4_5"/>
      <w:bookmarkStart w:id="983" w:name="Tc_lfx0ARmudUacVnDXH6gDPQ_4_2"/>
      <w:bookmarkStart w:id="984" w:name="Tc_WUuEF9odqkin1yZ6a_qAzg_4_0"/>
      <w:bookmarkStart w:id="985" w:name="Tc_Vs5aqn7K_0Ck7AekQnxLNA_3_2"/>
      <w:bookmarkStart w:id="986" w:name="Tc_V4Ge-9NPpUWHDO3Ec6O_Ow_2_8"/>
      <w:bookmarkStart w:id="987" w:name="Tc_K7MSx9jXrk-HhyPWP675wQ_2_5"/>
      <w:bookmarkStart w:id="988" w:name="Tc_3SFQnRq780a8zx2L1oT_IQ_2_2"/>
      <w:bookmarkStart w:id="989" w:name="Tc_b7cZm62JMECg14ptoqe2pw_1_2"/>
      <w:bookmarkStart w:id="990" w:name="_e83cca46_b97f_4c39_ba11_939dd6e073f1"/>
      <w:bookmarkStart w:id="991" w:name="_Hlk506205708"/>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b/>
          <w:sz w:val="20"/>
        </w:rPr>
        <w:t>3.     Supplemental Data - Statements of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certain supplemental cash flow and other non-cash data. See Note 8 for supplemental cash flow and non-cash data related to leases.</w:t>
      </w:r>
    </w:p>
    <w:p>
      <w:pPr>
        <w:pStyle w:val="TextBody"/>
        <w:bidi w:val="0"/>
        <w:spacing w:before="0" w:after="0"/>
        <w:ind w:left="0" w:right="0" w:hanging="0"/>
        <w:jc w:val="left"/>
        <w:rPr/>
      </w:pPr>
      <w:r>
        <w:rPr/>
        <w:t>​</w:t>
      </w:r>
    </w:p>
    <w:tbl>
      <w:tblPr>
        <w:tblW w:w="7777" w:type="dxa"/>
        <w:jc w:val="left"/>
        <w:tblInd w:w="0" w:type="dxa"/>
        <w:tblLayout w:type="fixed"/>
        <w:tblCellMar>
          <w:top w:w="0" w:type="dxa"/>
          <w:left w:w="0" w:type="dxa"/>
          <w:bottom w:w="0" w:type="dxa"/>
          <w:right w:w="0" w:type="dxa"/>
        </w:tblCellMar>
      </w:tblPr>
      <w:tblGrid>
        <w:gridCol w:w="3796"/>
        <w:gridCol w:w="326"/>
        <w:gridCol w:w="196"/>
        <w:gridCol w:w="826"/>
        <w:gridCol w:w="326"/>
        <w:gridCol w:w="196"/>
        <w:gridCol w:w="826"/>
        <w:gridCol w:w="109"/>
        <w:gridCol w:w="196"/>
        <w:gridCol w:w="826"/>
        <w:gridCol w:w="154"/>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410460" cy="175260"/>
                      <wp:effectExtent l="0" t="0" r="0" b="0"/>
                      <wp:wrapNone/>
                      <wp:docPr id="199" name="Frame199"/>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24510" cy="175260"/>
                      <wp:effectExtent l="0" t="0" r="0" b="0"/>
                      <wp:wrapNone/>
                      <wp:docPr id="202" name="Frame2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4460" cy="175260"/>
                      <wp:effectExtent l="0" t="0" r="0" b="0"/>
                      <wp:wrapNone/>
                      <wp:docPr id="204" name="Frame2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24510" cy="175260"/>
                      <wp:effectExtent l="0" t="0" r="0" b="0"/>
                      <wp:wrapNone/>
                      <wp:docPr id="205" name="Frame2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24460" cy="175260"/>
                      <wp:effectExtent l="0" t="0" r="0" b="0"/>
                      <wp:wrapNone/>
                      <wp:docPr id="207" name="Frame2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24510" cy="175260"/>
                      <wp:effectExtent l="0" t="0" r="0" b="0"/>
                      <wp:wrapNone/>
                      <wp:docPr id="208" name="Frame2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7790" cy="175260"/>
                      <wp:effectExtent l="0" t="0" r="0" b="0"/>
                      <wp:wrapNone/>
                      <wp:docPr id="209" name="Frame2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1"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54" w:type="dxa"/>
            <w:tcBorders/>
            <w:vAlign w:val="center"/>
          </w:tcPr>
          <w:p>
            <w:pPr>
              <w:pStyle w:val="TableContents"/>
              <w:bidi w:val="0"/>
              <w:spacing w:before="0" w:after="0"/>
              <w:ind w:left="0" w:right="0" w:hanging="0"/>
              <w:jc w:val="left"/>
              <w:rPr/>
            </w:pPr>
            <w:r>
              <w:rPr/>
              <w:t>​</w:t>
            </w:r>
          </w:p>
        </w:tc>
      </w:tr>
      <w:tr>
        <w:trPr/>
        <w:tc>
          <w:tcPr>
            <w:tcW w:w="7777"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1"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 (including capitalized interest)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1,301,783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1,044,276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781,874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received for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8,145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5,455</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income taxes,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57,278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interest (1)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1,291,290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1,040,971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821,455</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Employee benefits paid in Class A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26,348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debt reclassified per ASU 2020-06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1,051,344</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 reclassified per ASU 2020-06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245,778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Vendor financing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108,048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26,627</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FCC licenses reclassification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915,449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397,137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449,093</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122,390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Revaluation of contingent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47,916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tbl>
      <w:tblPr>
        <w:tblW w:w="3272" w:type="dxa"/>
        <w:jc w:val="left"/>
        <w:tblInd w:w="0" w:type="dxa"/>
        <w:tblLayout w:type="fixed"/>
        <w:tblCellMar>
          <w:top w:w="0" w:type="dxa"/>
          <w:left w:w="0" w:type="dxa"/>
          <w:bottom w:w="0" w:type="dxa"/>
          <w:right w:w="0" w:type="dxa"/>
        </w:tblCellMar>
      </w:tblPr>
      <w:tblGrid>
        <w:gridCol w:w="346"/>
        <w:gridCol w:w="29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for further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992" w:name="Tc_kRSOUqcs10O1_ypnnT7H3w_14_8"/>
      <w:bookmarkStart w:id="993" w:name="Tc_0Wei6U5cUUGpBQc2Fmpofg_14_5"/>
      <w:bookmarkStart w:id="994" w:name="Tc_rXqmNNS6oE2MdJgVf923sg_14_2"/>
      <w:bookmarkStart w:id="995" w:name="Tc_8OY0tsQdIU-cg_7JE6dqoA_14_0"/>
      <w:bookmarkStart w:id="996" w:name="Tc_gjXDet0IEkmDLS7RqOjilA_13_3"/>
      <w:bookmarkStart w:id="997" w:name="Tc_QxGN3FGmIkaYB7MpLPvIZA_13_0"/>
      <w:bookmarkStart w:id="998" w:name="Tc_uCu6jCjGZEmgxynPIchIzw_12_3"/>
      <w:bookmarkStart w:id="999" w:name="Tc_Fr4nOYCAlUeU1S6l4EuvYw_12_0"/>
      <w:bookmarkStart w:id="1000" w:name="Tc_onc1RYJmvUGFatmLdTOg9w_11_6"/>
      <w:bookmarkStart w:id="1001" w:name="Tc_rxuXv-z8xky0fSFTUQ7LaQ_11_0"/>
      <w:bookmarkStart w:id="1002" w:name="Tc_DbfNVd5SZk6lQDZaAPrP8g_10_8"/>
      <w:bookmarkStart w:id="1003" w:name="Tc_ZTaNOg4LXkGhqpBHBo6ajg_10_5"/>
      <w:bookmarkStart w:id="1004" w:name="Tc_g5yGtETWC028dVQ_gX_1xQ_10_2"/>
      <w:bookmarkStart w:id="1005" w:name="Tc_bVk6DjnXm0aykk4eXZLv2A_10_0"/>
      <w:bookmarkStart w:id="1006" w:name="Tc_vLFHeymX7EOvGbY5BooneA_9_3"/>
      <w:bookmarkStart w:id="1007" w:name="Tc_sgxP5W8Pp06aiE1zzkR8NQ_9_0"/>
      <w:bookmarkStart w:id="1008" w:name="Tc_n2Ta1j48X0aNzTVKy1NG2w_8_3"/>
      <w:bookmarkStart w:id="1009" w:name="Tc_SaLOWPWuoUmrjuTIQDnHuA_8_0"/>
      <w:bookmarkStart w:id="1010" w:name="Tc_FVOHQqfRIk6-xJtCWWKi_Q_7_6"/>
      <w:bookmarkStart w:id="1011" w:name="Tc__VrPn8WqAkCrkcEosfS3_A_7_0"/>
      <w:bookmarkStart w:id="1012" w:name="Tc_mGHlzzxCGk2rXrtJS8LtBw_6_8"/>
      <w:bookmarkStart w:id="1013" w:name="Tc_wFR_R60R10muMP7xVVP_8w_6_5"/>
      <w:bookmarkStart w:id="1014" w:name="Tc_ulsn4tv1sUC_asgwaLn6Fg_6_2"/>
      <w:bookmarkStart w:id="1015" w:name="Tc_556PkOsyHUOGq8fRg507Xw_6_0"/>
      <w:bookmarkStart w:id="1016" w:name="Tc_Lom2b_z9MEWyOmScvMJq_Q_5_2"/>
      <w:bookmarkStart w:id="1017" w:name="Tc_KnEJtZ4_SEem41fHu8DiLQ_4_8"/>
      <w:bookmarkStart w:id="1018" w:name="Tc_mOw3uJyTAECj41ri69RGBw_4_6"/>
      <w:bookmarkStart w:id="1019" w:name="Tc_3EX2wHlN7E6zvFgBU61VCA_4_3"/>
      <w:bookmarkStart w:id="1020" w:name="Tc_JCSKHVDJwEiGbZTpU904sw_4_0"/>
      <w:bookmarkStart w:id="1021" w:name="Tc_PVSCv0HmQ0KH_jZmWJ2UMA_3_6"/>
      <w:bookmarkStart w:id="1022" w:name="Tc_uRLRdYk7W0Kvcxs5DCSY0Q_3_3"/>
      <w:bookmarkStart w:id="1023" w:name="Tc_hCnSMQMrUE6BCRds37ouaw_2_6"/>
      <w:bookmarkStart w:id="1024" w:name="Tc_Lh5vB7J1OUCWBk7EfCgGAA_2_3"/>
      <w:bookmarkStart w:id="1025" w:name="Tc_E64zA8rETk-xf9G9wUGBqQ_1_6"/>
      <w:bookmarkStart w:id="1026" w:name="Tc_JIvT-cpW_kCUBkhNxk8ffA_1_3"/>
      <w:bookmarkStart w:id="1027" w:name="Tc_rzot3Yx1HE-TKJA1v-kQFA_10_26"/>
      <w:bookmarkStart w:id="1028" w:name="Tc_aYFEKc38mEii753owwwzXA_10_23"/>
      <w:bookmarkStart w:id="1029" w:name="Tc_ONeVqLc7F0SPuAa77VcbLg_10_20"/>
      <w:bookmarkStart w:id="1030" w:name="Tc_QnO9K1zwx0mv1Y62he2CEg_10_17"/>
      <w:bookmarkStart w:id="1031" w:name="Tc_GthflUaV8kOPrHBDYB8Dqw_10_14"/>
      <w:bookmarkStart w:id="1032" w:name="Tc_ZjYsG28ezEGd9u0WjBZJNw_10_11"/>
      <w:bookmarkStart w:id="1033" w:name="Tc_ftLFMTeoq06-RdrAh9ifLQ_10_8"/>
      <w:bookmarkStart w:id="1034" w:name="Tc_pfPEZlCbGEODGuJ-72KIlw_10_5"/>
      <w:bookmarkStart w:id="1035" w:name="Tc_hvbhvAoFRUOl91at6i74Tw_10_2"/>
      <w:bookmarkStart w:id="1036" w:name="Tc_yDaDKnpM9UOsnBgQ3jSk3Q_10_0"/>
      <w:bookmarkStart w:id="1037" w:name="Tc_oYACyBS84USss-vHzHDxZw_9_0"/>
      <w:bookmarkStart w:id="1038" w:name="Tc_Xh1Fbf1m1kyqhZjJGGyWqg_8_0"/>
      <w:bookmarkStart w:id="1039" w:name="Tc_LQZlImAksUKF0GkGSEgymg_7_26"/>
      <w:bookmarkStart w:id="1040" w:name="Tc_g1j2VDnxA0qDY7Qs0A6C8w_7_23"/>
      <w:bookmarkStart w:id="1041" w:name="Tc_Sxy-RHGzkESNoCIdUg3mDA_7_20"/>
      <w:bookmarkStart w:id="1042" w:name="Tc_5Jt49EFz60WOKM9L2yTA4g_7_17"/>
      <w:bookmarkStart w:id="1043" w:name="Tc__hiLXwoc70KYKuYzJuhAEw_7_14"/>
      <w:bookmarkStart w:id="1044" w:name="Tc_hWfvR3FTPEuSLd1y2GbY-w_7_11"/>
      <w:bookmarkStart w:id="1045" w:name="Tc_O1DCk1ovzESScqUqIA-akw_7_8"/>
      <w:bookmarkStart w:id="1046" w:name="Tc_NXRtdDpimUaeXhJAESymoQ_7_5"/>
      <w:bookmarkStart w:id="1047" w:name="Tc_rBNfN_YZ4k2X4TPKNZPYyg_7_2"/>
      <w:bookmarkStart w:id="1048" w:name="Tc_mApFhavnEk-TXs9qNT_6ow_7_0"/>
      <w:bookmarkStart w:id="1049" w:name="Tc_fuOU8klUe0eDn0ysV42y6g_6_2"/>
      <w:bookmarkStart w:id="1050" w:name="Tc_AEp3WMpBwUiHTg5Ddg9V6A_5_26"/>
      <w:bookmarkStart w:id="1051" w:name="Tc_mAoM7atfAEy7y3U-IuW3sg_5_23"/>
      <w:bookmarkStart w:id="1052" w:name="Tc__cpz7fchlE-tbWxPH4FbJQ_5_20"/>
      <w:bookmarkStart w:id="1053" w:name="Tc_DTZj7lLUP0OTczb_nySOag_5_17"/>
      <w:bookmarkStart w:id="1054" w:name="Tc__LHxR1BC4E23UqTz0n1uLg_5_14"/>
      <w:bookmarkStart w:id="1055" w:name="Tc_e0uYaKYSHEWuomqkB5JLYQ_5_11"/>
      <w:bookmarkStart w:id="1056" w:name="Tc_c2UFMVAEpEeYh_-MbNmU6Q_5_8"/>
      <w:bookmarkStart w:id="1057" w:name="Tc_R8uC7xRSNkifVM1T36tE1Q_5_5"/>
      <w:bookmarkStart w:id="1058" w:name="Tc_K2SADdBTXEGEdSF4Y-8ybg_5_2"/>
      <w:bookmarkStart w:id="1059" w:name="Tc_Hgk9Tr76w0StSDeCuRnZUg_4_26"/>
      <w:bookmarkStart w:id="1060" w:name="Tc_HKp1O78b90S78yO6YwwwsQ_4_23"/>
      <w:bookmarkStart w:id="1061" w:name="Tc_gbB7vkNoN06wQACZo2LDmA_4_20"/>
      <w:bookmarkStart w:id="1062" w:name="Tc_-8HuMc1JDU-Zpf0TC55dzg_4_17"/>
      <w:bookmarkStart w:id="1063" w:name="Tc_R6Jmv6tIDkSt6q9dYmFcMA_4_14"/>
      <w:bookmarkStart w:id="1064" w:name="Tc_SMPAtb7n20CHUMeat93Cjg_4_11"/>
      <w:bookmarkStart w:id="1065" w:name="Tc_nZfrfXJXkUqbJ62Y2zwBrQ_4_8"/>
      <w:bookmarkStart w:id="1066" w:name="Tc_epVu3gN6OE-oTEbkx7kxvQ_4_5"/>
      <w:bookmarkStart w:id="1067" w:name="Tc_54LElZ7GsUykKyekqlbU_Q_4_2"/>
      <w:bookmarkStart w:id="1068" w:name="Tc_bUNgZZxqv0iBb6cCy1WJJw_3_26"/>
      <w:bookmarkStart w:id="1069" w:name="Tc_njya-FTVPEem9blb7pDIKw_3_23"/>
      <w:bookmarkStart w:id="1070" w:name="Tc_LCFpb7Ml5kqzCGSGdZ6bow_3_20"/>
      <w:bookmarkStart w:id="1071" w:name="Tc_MDrodOM90EGzDB8t1uDz-A_3_17"/>
      <w:bookmarkStart w:id="1072" w:name="Tc_6JEImLdTX0SdR-IXClnzug_3_14"/>
      <w:bookmarkStart w:id="1073" w:name="Tc_4WE6a0wXs0SsVAZEA3JNDQ_3_11"/>
      <w:bookmarkStart w:id="1074" w:name="Tc_zUoxdzIYKkSbFWHRfkBwPg_3_8"/>
      <w:bookmarkStart w:id="1075" w:name="Tc_dt8O0NZyREaE46MoJUwbWA_3_5"/>
      <w:bookmarkStart w:id="1076" w:name="Tc_SnxdwXF11Uyo0Ml-qJNJuA_3_2"/>
      <w:bookmarkStart w:id="1077" w:name="Tc_E4EVmg7GF0alr1htMl_gFg_2_20"/>
      <w:bookmarkStart w:id="1078" w:name="Tc_rWwmsZSrA0yyF22wMaTcGw_2_11"/>
      <w:bookmarkStart w:id="1079" w:name="Tc_S2NwAcOcd0Ox8Q9uFSk31Q_2_2"/>
      <w:bookmarkStart w:id="1080" w:name="Tc_2rWu22khDEKh7eXpp4tvcw_1_2"/>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     Other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presents the tax effect on each component of “Other comprehensive income (loss).”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13"/>
        <w:gridCol w:w="326"/>
        <w:gridCol w:w="205"/>
        <w:gridCol w:w="426"/>
        <w:gridCol w:w="109"/>
        <w:gridCol w:w="263"/>
        <w:gridCol w:w="439"/>
        <w:gridCol w:w="109"/>
        <w:gridCol w:w="205"/>
        <w:gridCol w:w="426"/>
        <w:gridCol w:w="109"/>
        <w:gridCol w:w="181"/>
        <w:gridCol w:w="507"/>
        <w:gridCol w:w="326"/>
        <w:gridCol w:w="247"/>
        <w:gridCol w:w="454"/>
        <w:gridCol w:w="109"/>
        <w:gridCol w:w="181"/>
        <w:gridCol w:w="507"/>
        <w:gridCol w:w="109"/>
        <w:gridCol w:w="181"/>
        <w:gridCol w:w="451"/>
        <w:gridCol w:w="109"/>
        <w:gridCol w:w="326"/>
        <w:gridCol w:w="387"/>
        <w:gridCol w:w="109"/>
        <w:gridCol w:w="181"/>
        <w:gridCol w:w="451"/>
        <w:gridCol w:w="159"/>
      </w:tblGrid>
      <w:tr>
        <w:trPr/>
        <w:tc>
          <w:tcPr>
            <w:tcW w:w="2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59255" cy="175260"/>
                      <wp:effectExtent l="0" t="0" r="0" b="0"/>
                      <wp:wrapNone/>
                      <wp:docPr id="210" name="Frame210"/>
                      <a:graphic xmlns:a="http://schemas.openxmlformats.org/drawingml/2006/main">
                        <a:graphicData uri="http://schemas.microsoft.com/office/word/2010/wordprocessingShape">
                          <wps:wsp>
                            <wps:cNvSpPr txBox="1"/>
                            <wps:spPr>
                              <a:xfrm>
                                <a:off x="0" y="0"/>
                                <a:ext cx="165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0175" cy="175260"/>
                      <wp:effectExtent l="0" t="0" r="0" b="0"/>
                      <wp:wrapNone/>
                      <wp:docPr id="212" name="Frame212"/>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70510" cy="175260"/>
                      <wp:effectExtent l="0" t="0" r="0" b="0"/>
                      <wp:wrapNone/>
                      <wp:docPr id="213" name="Frame21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7005" cy="175260"/>
                      <wp:effectExtent l="0" t="0" r="0" b="0"/>
                      <wp:wrapNone/>
                      <wp:docPr id="215" name="Frame21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78765" cy="175260"/>
                      <wp:effectExtent l="0" t="0" r="0" b="0"/>
                      <wp:wrapNone/>
                      <wp:docPr id="216" name="Frame216"/>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0175" cy="175260"/>
                      <wp:effectExtent l="0" t="0" r="0" b="0"/>
                      <wp:wrapNone/>
                      <wp:docPr id="218" name="Frame21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70510" cy="175260"/>
                      <wp:effectExtent l="0" t="0" r="0" b="0"/>
                      <wp:wrapNone/>
                      <wp:docPr id="219" name="Frame219"/>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4935" cy="175260"/>
                      <wp:effectExtent l="0" t="0" r="0" b="0"/>
                      <wp:wrapNone/>
                      <wp:docPr id="221" name="Frame2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21945" cy="175260"/>
                      <wp:effectExtent l="0" t="0" r="0" b="0"/>
                      <wp:wrapNone/>
                      <wp:docPr id="222" name="Frame222"/>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6845" cy="175260"/>
                      <wp:effectExtent l="0" t="0" r="0" b="0"/>
                      <wp:wrapNone/>
                      <wp:docPr id="224" name="Frame22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88290" cy="175260"/>
                      <wp:effectExtent l="0" t="0" r="0" b="0"/>
                      <wp:wrapNone/>
                      <wp:docPr id="225" name="Frame225"/>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4935" cy="175260"/>
                      <wp:effectExtent l="0" t="0" r="0" b="0"/>
                      <wp:wrapNone/>
                      <wp:docPr id="227" name="Frame2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21945" cy="175260"/>
                      <wp:effectExtent l="0" t="0" r="0" b="0"/>
                      <wp:wrapNone/>
                      <wp:docPr id="228" name="Frame228"/>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14935" cy="175260"/>
                      <wp:effectExtent l="0" t="0" r="0" b="0"/>
                      <wp:wrapNone/>
                      <wp:docPr id="230" name="Frame2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86385" cy="175260"/>
                      <wp:effectExtent l="0" t="0" r="0" b="0"/>
                      <wp:wrapNone/>
                      <wp:docPr id="231" name="Frame23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45745" cy="175260"/>
                      <wp:effectExtent l="0" t="0" r="0" b="0"/>
                      <wp:wrapNone/>
                      <wp:docPr id="234" name="Frame234"/>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4935" cy="175260"/>
                      <wp:effectExtent l="0" t="0" r="0" b="0"/>
                      <wp:wrapNone/>
                      <wp:docPr id="236" name="Frame2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86385" cy="175260"/>
                      <wp:effectExtent l="0" t="0" r="0" b="0"/>
                      <wp:wrapNone/>
                      <wp:docPr id="237" name="Frame23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00965" cy="175260"/>
                      <wp:effectExtent l="0" t="0" r="0" b="0"/>
                      <wp:wrapNone/>
                      <wp:docPr id="238" name="Frame238"/>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7" w:type="dxa"/>
            <w:gridSpan w:val="2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For the Years Ended December 31, </w:t>
            </w:r>
          </w:p>
        </w:tc>
        <w:tc>
          <w:tcPr>
            <w:tcW w:w="159" w:type="dxa"/>
            <w:tcBorders/>
            <w:vAlign w:val="center"/>
          </w:tcPr>
          <w:p>
            <w:pPr>
              <w:pStyle w:val="TableContents"/>
              <w:bidi w:val="0"/>
              <w:spacing w:before="0" w:after="0"/>
              <w:ind w:left="0" w:right="0" w:hanging="0"/>
              <w:jc w:val="center"/>
              <w:rPr/>
            </w:pPr>
            <w:r>
              <w:rPr/>
              <w:t>​</w:t>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109" w:type="dxa"/>
            <w:tcBorders/>
            <w:vAlign w:val="center"/>
          </w:tcPr>
          <w:p>
            <w:pPr>
              <w:pStyle w:val="TableContents"/>
              <w:bidi w:val="0"/>
              <w:spacing w:before="0" w:after="0"/>
              <w:ind w:left="0" w:right="0" w:hanging="0"/>
              <w:jc w:val="center"/>
              <w:rPr/>
            </w:pPr>
            <w:r>
              <w:rPr/>
              <w:t>​</w:t>
            </w:r>
          </w:p>
        </w:tc>
        <w:tc>
          <w:tcPr>
            <w:tcW w:w="25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109" w:type="dxa"/>
            <w:tcBorders/>
            <w:vAlign w:val="center"/>
          </w:tcPr>
          <w:p>
            <w:pPr>
              <w:pStyle w:val="TableContents"/>
              <w:bidi w:val="0"/>
              <w:spacing w:before="0" w:after="0"/>
              <w:ind w:left="0" w:right="0" w:hanging="0"/>
              <w:jc w:val="center"/>
              <w:rPr/>
            </w:pPr>
            <w:r>
              <w:rPr/>
              <w:t>​</w:t>
            </w:r>
          </w:p>
        </w:tc>
        <w:tc>
          <w:tcPr>
            <w:tcW w:w="219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2021</w:t>
            </w:r>
          </w:p>
        </w:tc>
        <w:tc>
          <w:tcPr>
            <w:tcW w:w="159" w:type="dxa"/>
            <w:tcBorders/>
            <w:vAlign w:val="center"/>
          </w:tcPr>
          <w:p>
            <w:pPr>
              <w:pStyle w:val="TableContents"/>
              <w:bidi w:val="0"/>
              <w:spacing w:before="0" w:after="0"/>
              <w:ind w:left="0" w:right="0" w:hanging="0"/>
              <w:jc w:val="center"/>
              <w:rPr/>
            </w:pPr>
            <w:r>
              <w:rPr/>
              <w:t>​</w:t>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Before </w:t>
            </w:r>
          </w:p>
        </w:tc>
        <w:tc>
          <w:tcPr>
            <w:tcW w:w="109" w:type="dxa"/>
            <w:tcBorders/>
            <w:vAlign w:val="center"/>
          </w:tcPr>
          <w:p>
            <w:pPr>
              <w:pStyle w:val="TableContents"/>
              <w:bidi w:val="0"/>
              <w:spacing w:before="0" w:after="0"/>
              <w:ind w:left="0" w:right="0" w:hanging="0"/>
              <w:jc w:val="center"/>
              <w:rPr/>
            </w:pPr>
            <w:r>
              <w:rPr/>
              <w:t>​</w:t>
            </w:r>
          </w:p>
        </w:tc>
        <w:tc>
          <w:tcPr>
            <w:tcW w:w="7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 </w:t>
            </w:r>
          </w:p>
        </w:tc>
        <w:tc>
          <w:tcPr>
            <w:tcW w:w="109"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w:t>
            </w:r>
          </w:p>
        </w:tc>
        <w:tc>
          <w:tcPr>
            <w:tcW w:w="109"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Before </w:t>
            </w:r>
          </w:p>
        </w:tc>
        <w:tc>
          <w:tcPr>
            <w:tcW w:w="326" w:type="dxa"/>
            <w:tcBorders/>
            <w:vAlign w:val="center"/>
          </w:tcPr>
          <w:p>
            <w:pPr>
              <w:pStyle w:val="TableContents"/>
              <w:bidi w:val="0"/>
              <w:spacing w:before="0" w:after="0"/>
              <w:ind w:left="0" w:right="0" w:hanging="0"/>
              <w:jc w:val="center"/>
              <w:rPr/>
            </w:pPr>
            <w:r>
              <w:rPr/>
              <w:t>​</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 </w:t>
            </w:r>
          </w:p>
        </w:tc>
        <w:tc>
          <w:tcPr>
            <w:tcW w:w="109" w:type="dxa"/>
            <w:tcBorders/>
            <w:vAlign w:val="center"/>
          </w:tcPr>
          <w:p>
            <w:pPr>
              <w:pStyle w:val="TableContents"/>
              <w:bidi w:val="0"/>
              <w:spacing w:before="0" w:after="0"/>
              <w:ind w:left="0" w:right="0" w:hanging="0"/>
              <w:jc w:val="center"/>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Before </w:t>
            </w:r>
          </w:p>
        </w:tc>
        <w:tc>
          <w:tcPr>
            <w:tcW w:w="109" w:type="dxa"/>
            <w:tcBorders/>
            <w:vAlign w:val="center"/>
          </w:tcPr>
          <w:p>
            <w:pPr>
              <w:pStyle w:val="TableContents"/>
              <w:bidi w:val="0"/>
              <w:spacing w:before="0" w:after="0"/>
              <w:ind w:left="0" w:right="0" w:hanging="0"/>
              <w:jc w:val="center"/>
              <w:rPr/>
            </w:pPr>
            <w:r>
              <w:rPr/>
              <w:t>​</w:t>
            </w:r>
          </w:p>
        </w:tc>
        <w:tc>
          <w:tcPr>
            <w:tcW w:w="713"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 </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w:t>
            </w:r>
          </w:p>
        </w:tc>
        <w:tc>
          <w:tcPr>
            <w:tcW w:w="159" w:type="dxa"/>
            <w:tcBorders/>
            <w:vAlign w:val="center"/>
          </w:tcPr>
          <w:p>
            <w:pPr>
              <w:pStyle w:val="TableContents"/>
              <w:bidi w:val="0"/>
              <w:spacing w:before="0" w:after="0"/>
              <w:ind w:left="0" w:right="0" w:hanging="0"/>
              <w:jc w:val="center"/>
              <w:rPr/>
            </w:pPr>
            <w:r>
              <w:rPr/>
              <w:t>​</w:t>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 </w:t>
            </w:r>
          </w:p>
        </w:tc>
        <w:tc>
          <w:tcPr>
            <w:tcW w:w="109" w:type="dxa"/>
            <w:tcBorders/>
            <w:vAlign w:val="center"/>
          </w:tcPr>
          <w:p>
            <w:pPr>
              <w:pStyle w:val="TableContents"/>
              <w:bidi w:val="0"/>
              <w:spacing w:before="0" w:after="0"/>
              <w:ind w:left="0" w:right="0" w:hanging="0"/>
              <w:jc w:val="left"/>
              <w:rPr/>
            </w:pPr>
            <w:r>
              <w:rPr/>
              <w:t>​</w:t>
            </w:r>
          </w:p>
        </w:tc>
        <w:tc>
          <w:tcPr>
            <w:tcW w:w="7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(Expense)</w:t>
            </w:r>
          </w:p>
        </w:tc>
        <w:tc>
          <w:tcPr>
            <w:tcW w:w="109"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of Tax</w:t>
            </w:r>
          </w:p>
        </w:tc>
        <w:tc>
          <w:tcPr>
            <w:tcW w:w="109"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 </w:t>
            </w:r>
          </w:p>
        </w:tc>
        <w:tc>
          <w:tcPr>
            <w:tcW w:w="326" w:type="dxa"/>
            <w:tcBorders/>
            <w:vAlign w:val="center"/>
          </w:tcPr>
          <w:p>
            <w:pPr>
              <w:pStyle w:val="TableContents"/>
              <w:bidi w:val="0"/>
              <w:spacing w:before="0" w:after="0"/>
              <w:ind w:left="0" w:right="0" w:hanging="0"/>
              <w:jc w:val="left"/>
              <w:rPr/>
            </w:pPr>
            <w:r>
              <w:rPr/>
              <w:t>​</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(Expense)</w:t>
            </w:r>
          </w:p>
        </w:tc>
        <w:tc>
          <w:tcPr>
            <w:tcW w:w="109"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of Tax</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Tax </w:t>
            </w:r>
          </w:p>
        </w:tc>
        <w:tc>
          <w:tcPr>
            <w:tcW w:w="109"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(Expense)</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of Tax</w:t>
            </w:r>
          </w:p>
        </w:tc>
        <w:tc>
          <w:tcPr>
            <w:tcW w:w="159" w:type="dxa"/>
            <w:tcBorders/>
            <w:vAlign w:val="center"/>
          </w:tcPr>
          <w:p>
            <w:pPr>
              <w:pStyle w:val="TableContents"/>
              <w:bidi w:val="0"/>
              <w:spacing w:before="0" w:after="0"/>
              <w:ind w:left="0" w:right="0" w:hanging="0"/>
              <w:jc w:val="center"/>
              <w:rPr/>
            </w:pPr>
            <w:r>
              <w:rPr/>
              <w:t>​</w:t>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0"/>
              <w:ind w:left="0" w:right="0" w:hanging="0"/>
              <w:jc w:val="left"/>
              <w:rPr/>
            </w:pPr>
            <w:r>
              <w:rPr/>
              <w:t>​</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Benefit</w:t>
            </w:r>
          </w:p>
        </w:tc>
        <w:tc>
          <w:tcPr>
            <w:tcW w:w="109" w:type="dxa"/>
            <w:tcBorders/>
            <w:vAlign w:val="center"/>
          </w:tcPr>
          <w:p>
            <w:pPr>
              <w:pStyle w:val="TableContents"/>
              <w:bidi w:val="0"/>
              <w:spacing w:before="0" w:after="0"/>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0"/>
              <w:ind w:left="0" w:right="0" w:hanging="0"/>
              <w:jc w:val="left"/>
              <w:rPr/>
            </w:pPr>
            <w:r>
              <w:rPr/>
              <w:t>​</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Benefit</w:t>
            </w:r>
          </w:p>
        </w:tc>
        <w:tc>
          <w:tcPr>
            <w:tcW w:w="109" w:type="dxa"/>
            <w:tcBorders/>
            <w:vAlign w:val="center"/>
          </w:tcPr>
          <w:p>
            <w:pPr>
              <w:pStyle w:val="TableContents"/>
              <w:bidi w:val="0"/>
              <w:spacing w:before="0" w:after="0"/>
              <w:ind w:left="0" w:right="0" w:hanging="0"/>
              <w:jc w:val="left"/>
              <w:rPr/>
            </w:pPr>
            <w:r>
              <w:rPr/>
              <w:t>​</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0"/>
              <w:ind w:left="0" w:right="0" w:hanging="0"/>
              <w:jc w:val="left"/>
              <w:rPr/>
            </w:pPr>
            <w:r>
              <w:rPr/>
              <w:t>​</w:t>
            </w:r>
          </w:p>
        </w:tc>
        <w:tc>
          <w:tcPr>
            <w:tcW w:w="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Benefit</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59" w:type="dxa"/>
            <w:tcBorders/>
            <w:vAlign w:val="center"/>
          </w:tcPr>
          <w:p>
            <w:pPr>
              <w:pStyle w:val="TableContents"/>
              <w:bidi w:val="0"/>
              <w:spacing w:before="0" w:after="0"/>
              <w:ind w:left="0" w:right="0" w:hanging="0"/>
              <w:jc w:val="center"/>
              <w:rPr/>
            </w:pPr>
            <w:r>
              <w:rPr/>
              <w:t>​</w:t>
            </w:r>
          </w:p>
        </w:tc>
      </w:tr>
      <w:tr>
        <w:trPr/>
        <w:tc>
          <w:tcPr>
            <w:tcW w:w="10205" w:type="dxa"/>
            <w:gridSpan w:val="29"/>
            <w:tcBorders/>
            <w:vAlign w:val="center"/>
          </w:tcPr>
          <w:p>
            <w:pPr>
              <w:pStyle w:val="TableContents"/>
              <w:bidi w:val="0"/>
              <w:spacing w:before="0" w:after="283"/>
              <w:ind w:left="0" w:right="0" w:hanging="0"/>
              <w:jc w:val="left"/>
              <w:rPr>
                <w:sz w:val="4"/>
                <w:szCs w:val="4"/>
              </w:rPr>
            </w:pPr>
            <w:r>
              <w:rPr>
                <w:sz w:val="4"/>
                <w:szCs w:val="4"/>
              </w:rPr>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7" w:type="dxa"/>
            <w:gridSpan w:val="26"/>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(In thousands)</w:t>
            </w:r>
          </w:p>
        </w:tc>
        <w:tc>
          <w:tcPr>
            <w:tcW w:w="159" w:type="dxa"/>
            <w:tcBorders/>
            <w:vAlign w:val="center"/>
          </w:tcPr>
          <w:p>
            <w:pPr>
              <w:pStyle w:val="TableContents"/>
              <w:bidi w:val="0"/>
              <w:spacing w:before="0" w:after="0"/>
              <w:ind w:left="0" w:right="0" w:hanging="0"/>
              <w:jc w:val="center"/>
              <w:rPr/>
            </w:pPr>
            <w:r>
              <w:rPr/>
              <w:t>​</w:t>
            </w:r>
          </w:p>
        </w:tc>
      </w:tr>
      <w:tr>
        <w:trPr/>
        <w:tc>
          <w:tcPr>
            <w:tcW w:w="261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356</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(4,160)</w:t>
            </w:r>
          </w:p>
        </w:tc>
        <w:tc>
          <w:tcPr>
            <w:tcW w:w="326"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(3,450)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8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1,305</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61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Unrealized holding gains (losses) on available-for-sale securities</w:t>
            </w:r>
          </w:p>
        </w:tc>
        <w:tc>
          <w:tcPr>
            <w:tcW w:w="32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color w:val="0000FF"/>
              </w:rPr>
            </w:pPr>
            <w:r>
              <w:rPr>
                <w:color w:val="0000FF"/>
              </w:rPr>
              <w:t>​</w:t>
            </w:r>
          </w:p>
        </w:tc>
        <w:tc>
          <w:tcPr>
            <w:tcW w:w="50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191</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c>
          <w:tcPr>
            <w:tcW w:w="159" w:type="dxa"/>
            <w:tcBorders/>
            <w:vAlign w:val="center"/>
          </w:tcPr>
          <w:p>
            <w:pPr>
              <w:pStyle w:val="TableContents"/>
              <w:bidi w:val="0"/>
              <w:spacing w:before="0" w:after="0"/>
              <w:ind w:left="0" w:right="0" w:hanging="0"/>
              <w:jc w:val="left"/>
              <w:rPr/>
            </w:pPr>
            <w:r>
              <w:rPr/>
              <w:t>​</w:t>
            </w:r>
          </w:p>
        </w:tc>
      </w:tr>
      <w:tr>
        <w:trPr/>
        <w:tc>
          <w:tcPr>
            <w:tcW w:w="261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Recognition of previously unrealized (gains) losses on available-for-sale securities included in 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304</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613"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393</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(3,976)</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(3,310)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1,566</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1,136</w:t>
            </w:r>
          </w:p>
        </w:tc>
        <w:tc>
          <w:tcPr>
            <w:tcW w:w="159" w:type="dxa"/>
            <w:tcBorders/>
            <w:vAlign w:val="center"/>
          </w:tcPr>
          <w:p>
            <w:pPr>
              <w:pStyle w:val="TableContents"/>
              <w:bidi w:val="0"/>
              <w:spacing w:before="0" w:after="0"/>
              <w:ind w:left="0" w:right="0" w:hanging="0"/>
              <w:jc w:val="left"/>
              <w:rPr/>
            </w:pPr>
            <w:r>
              <w:rPr/>
              <w:t>​</w:t>
            </w:r>
          </w:p>
        </w:tc>
      </w:tr>
      <w:tr>
        <w:trPr/>
        <w:tc>
          <w:tcPr>
            <w:tcW w:w="2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“Accumulated other comprehensive income (loss)” is detailed in the following table, net of tax:</w:t>
      </w:r>
    </w:p>
    <w:p>
      <w:pPr>
        <w:pStyle w:val="TextBody"/>
        <w:bidi w:val="0"/>
        <w:spacing w:before="0" w:after="0"/>
        <w:ind w:left="0" w:right="0" w:hanging="0"/>
        <w:jc w:val="left"/>
        <w:rPr/>
      </w:pPr>
      <w:r>
        <w:rPr/>
        <w:t>​</w:t>
      </w:r>
    </w:p>
    <w:tbl>
      <w:tblPr>
        <w:tblW w:w="9158" w:type="dxa"/>
        <w:jc w:val="left"/>
        <w:tblInd w:w="0" w:type="dxa"/>
        <w:tblLayout w:type="fixed"/>
        <w:tblCellMar>
          <w:top w:w="0" w:type="dxa"/>
          <w:left w:w="0" w:type="dxa"/>
          <w:bottom w:w="0" w:type="dxa"/>
          <w:right w:w="0" w:type="dxa"/>
        </w:tblCellMar>
      </w:tblPr>
      <w:tblGrid>
        <w:gridCol w:w="5446"/>
        <w:gridCol w:w="109"/>
        <w:gridCol w:w="196"/>
        <w:gridCol w:w="1036"/>
        <w:gridCol w:w="109"/>
        <w:gridCol w:w="196"/>
        <w:gridCol w:w="976"/>
        <w:gridCol w:w="109"/>
        <w:gridCol w:w="196"/>
        <w:gridCol w:w="631"/>
        <w:gridCol w:w="154"/>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458210" cy="175260"/>
                      <wp:effectExtent l="0" t="0" r="0" b="0"/>
                      <wp:wrapNone/>
                      <wp:docPr id="239" name="Frame239"/>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57860" cy="175260"/>
                      <wp:effectExtent l="0" t="0" r="0" b="0"/>
                      <wp:wrapNone/>
                      <wp:docPr id="242" name="Frame2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19760" cy="175260"/>
                      <wp:effectExtent l="0" t="0" r="0" b="0"/>
                      <wp:wrapNone/>
                      <wp:docPr id="245" name="Frame2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00685" cy="175260"/>
                      <wp:effectExtent l="0" t="0" r="0" b="0"/>
                      <wp:wrapNone/>
                      <wp:docPr id="248" name="Frame24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7790" cy="175260"/>
                      <wp:effectExtent l="0" t="0" r="0" b="0"/>
                      <wp:wrapNone/>
                      <wp:docPr id="249" name="Frame2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Foreign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Unrealized/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Currency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Recognized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Translation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Gains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Accumulated Other Comprehensive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Adjustment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(Losses) </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54" w:type="dxa"/>
            <w:tcBorders/>
            <w:vAlign w:val="center"/>
          </w:tcPr>
          <w:p>
            <w:pPr>
              <w:pStyle w:val="TableContents"/>
              <w:bidi w:val="0"/>
              <w:spacing w:before="0" w:after="0"/>
              <w:ind w:left="0" w:right="0" w:hanging="0"/>
              <w:jc w:val="left"/>
              <w:rPr/>
            </w:pPr>
            <w:r>
              <w:rPr/>
              <w:t>​</w:t>
            </w:r>
          </w:p>
        </w:tc>
      </w:tr>
      <w:tr>
        <w:trPr/>
        <w:tc>
          <w:tcPr>
            <w:tcW w:w="9158"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4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before reclassification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reclassified from accumulated other comprehensive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before reclassification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reclassified from accumulated other comprehensive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54"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081" w:name="Tc_fV61LyT8ZEmwNEFgY8N9gg_22_4"/>
      <w:bookmarkStart w:id="1082" w:name="Tc_Wdu5X84KFUKW2xCxq1Mzdg_22_1"/>
      <w:bookmarkStart w:id="1083" w:name="Tc_AqnWiq7mKUWolPtfnBXNRw_22_0"/>
      <w:bookmarkStart w:id="1084" w:name="Tc_koEj1vi4mkC5OrMnbiahlg_20_0"/>
      <w:bookmarkStart w:id="1085" w:name="Tc_NkhneBGciUSoP24GTpOz1g_19_0"/>
      <w:bookmarkStart w:id="1086" w:name="Tc_L1AEau0sU0eKBLYTRHTg5w_18_0"/>
      <w:bookmarkStart w:id="1087" w:name="Tc_1EoWQD_qwkOVTAmajZUifQ_17_0"/>
      <w:bookmarkStart w:id="1088" w:name="Tc_unvC-2l-6EivzqYtzwP8Iw_16_0"/>
      <w:bookmarkStart w:id="1089" w:name="Tc_dQ0B174RIk2ZBI6rrLGPkw_14_0"/>
      <w:bookmarkStart w:id="1090" w:name="Tc_Wtzg-aIPgE2hWwbDSISKvQ_12_0"/>
      <w:bookmarkStart w:id="1091" w:name="Tc_p6cTq1fcXk2In5wSsaRrLQ_11_0"/>
      <w:bookmarkStart w:id="1092" w:name="Tc_4d3DEDHv70KFOVa6dVuC6A_10_0"/>
      <w:bookmarkStart w:id="1093" w:name="Tc_uhw2uJH8xUKs4DLOo1GSRA_9_0"/>
      <w:bookmarkStart w:id="1094" w:name="Tc_oU7M8dxzZEmRJmP20Zdosw_8_0"/>
      <w:bookmarkStart w:id="1095" w:name="Tc_k11uE1ElB0KpjlqEdrbw5w_7_4"/>
      <w:bookmarkStart w:id="1096" w:name="Tc__JzDxnhUck2ymAD4vwOScw_7_1"/>
      <w:bookmarkStart w:id="1097" w:name="Tc_yXDwuzBHhE2u6633BVepxQ_7_0"/>
      <w:bookmarkStart w:id="1098" w:name="Tc_p5uRKZ7i4E-x9PCza57yWA_6_0"/>
      <w:bookmarkStart w:id="1099" w:name="Tc_SwpOXdIidEqA-3VRIbetNQ_5_0"/>
      <w:bookmarkStart w:id="1100" w:name="Tc_VWJqUK6Uikym9pFKUF4Yvg_4_1"/>
      <w:bookmarkStart w:id="1101" w:name="Tc_5LO1nUFoM06DmF7RbDCqgQ_3_4"/>
      <w:bookmarkStart w:id="1102" w:name="Tc_oZb3U8OAuEyG1A19NZak2Q_3_1"/>
      <w:bookmarkStart w:id="1103" w:name="Tc_UMuDPEuzxEuzOVGa_y7Dtg_2_4"/>
      <w:bookmarkStart w:id="1104" w:name="Tc_1ioLqhXt5UaWGbAddGocKg_2_1"/>
      <w:bookmarkStart w:id="1105" w:name="Tc_TUfXSi0n8ka5eRvudk0-Ow_1_1"/>
      <w:bookmarkStart w:id="1106" w:name="_22d287cf_7fb7_416c_b8f4_cce4b5aba8c3"/>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rPr>
          <w:rFonts w:ascii="Times New Roman;Times;serif" w:hAnsi="Times New Roman;Times;serif"/>
          <w:b/>
          <w:sz w:val="20"/>
        </w:rPr>
        <w:t>5.     Marketable Investment Securities, Restricted Cash and Cash Equivalents, and Other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marketable investment securities, restricted cash and cash equivalents, and other investment securities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45"/>
        <w:gridCol w:w="258"/>
        <w:gridCol w:w="913"/>
        <w:gridCol w:w="326"/>
        <w:gridCol w:w="224"/>
        <w:gridCol w:w="947"/>
        <w:gridCol w:w="192"/>
      </w:tblGrid>
      <w:tr>
        <w:trPr/>
        <w:tc>
          <w:tcPr>
            <w:tcW w:w="7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664075" cy="175260"/>
                      <wp:effectExtent l="0" t="0" r="0" b="0"/>
                      <wp:wrapNone/>
                      <wp:docPr id="250" name="Frame250"/>
                      <a:graphic xmlns:a="http://schemas.openxmlformats.org/drawingml/2006/main">
                        <a:graphicData uri="http://schemas.microsoft.com/office/word/2010/wordprocessingShape">
                          <wps:wsp>
                            <wps:cNvSpPr txBox="1"/>
                            <wps:spPr>
                              <a:xfrm>
                                <a:off x="0" y="0"/>
                                <a:ext cx="4664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3830" cy="175260"/>
                      <wp:effectExtent l="0" t="0" r="0" b="0"/>
                      <wp:wrapNone/>
                      <wp:docPr id="251" name="Frame25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79755" cy="175260"/>
                      <wp:effectExtent l="0" t="0" r="0" b="0"/>
                      <wp:wrapNone/>
                      <wp:docPr id="252" name="Frame252"/>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2240" cy="175260"/>
                      <wp:effectExtent l="0" t="0" r="0" b="0"/>
                      <wp:wrapNone/>
                      <wp:docPr id="254" name="Frame25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01345" cy="175260"/>
                      <wp:effectExtent l="0" t="0" r="0" b="0"/>
                      <wp:wrapNone/>
                      <wp:docPr id="255" name="Frame255"/>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21920" cy="175260"/>
                      <wp:effectExtent l="0" t="0" r="0" b="0"/>
                      <wp:wrapNone/>
                      <wp:docPr id="256" name="Frame25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45" w:type="dxa"/>
            <w:tcBorders/>
            <w:vAlign w:val="center"/>
          </w:tcPr>
          <w:p>
            <w:pPr>
              <w:pStyle w:val="TableContents"/>
              <w:bidi w:val="0"/>
              <w:spacing w:before="0" w:after="0"/>
              <w:ind w:left="0" w:right="0" w:hanging="0"/>
              <w:jc w:val="left"/>
              <w:rPr/>
            </w:pPr>
            <w:r>
              <w:rPr/>
              <w:t>​</w:t>
            </w:r>
          </w:p>
        </w:tc>
        <w:tc>
          <w:tcPr>
            <w:tcW w:w="266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2" w:type="dxa"/>
            <w:tcBorders/>
            <w:vAlign w:val="center"/>
          </w:tcPr>
          <w:p>
            <w:pPr>
              <w:pStyle w:val="TableContents"/>
              <w:bidi w:val="0"/>
              <w:spacing w:before="0" w:after="0"/>
              <w:ind w:left="0" w:right="0" w:hanging="0"/>
              <w:jc w:val="left"/>
              <w:rPr/>
            </w:pPr>
            <w:r>
              <w:rPr/>
              <w:t> </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45" w:type="dxa"/>
            <w:tcBorders/>
            <w:vAlign w:val="center"/>
          </w:tcPr>
          <w:p>
            <w:pPr>
              <w:pStyle w:val="TableContents"/>
              <w:bidi w:val="0"/>
              <w:spacing w:before="0" w:after="0"/>
              <w:ind w:left="0" w:right="0" w:hanging="0"/>
              <w:jc w:val="left"/>
              <w:rPr/>
            </w:pPr>
            <w:r>
              <w:rPr/>
              <w:t>​</w:t>
            </w:r>
          </w:p>
        </w:tc>
        <w:tc>
          <w:tcPr>
            <w:tcW w:w="2668"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Marketable investment securities:</w:t>
            </w:r>
          </w:p>
        </w:tc>
        <w:tc>
          <w:tcPr>
            <w:tcW w:w="25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marketable investment securities:</w:t>
            </w:r>
          </w:p>
        </w:tc>
        <w:tc>
          <w:tcPr>
            <w:tcW w:w="25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Strategic - available-for-sale</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Strategic - trading/equity</w:t>
            </w:r>
          </w:p>
        </w:tc>
        <w:tc>
          <w:tcPr>
            <w:tcW w:w="25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7,799</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835,184</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Total current marketable investment securities</w:t>
            </w:r>
          </w:p>
        </w:tc>
        <w:tc>
          <w:tcPr>
            <w:tcW w:w="25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8,122</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835,983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marketable investment securities (1)</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19,772</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41,689</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marketable investment securities</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27,894</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877,672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Restricted cash and cash equivalents (1)</w:t>
            </w:r>
          </w:p>
        </w:tc>
        <w:tc>
          <w:tcPr>
            <w:tcW w:w="25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89,107</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62,925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investment securities, net:</w:t>
            </w:r>
          </w:p>
        </w:tc>
        <w:tc>
          <w:tcPr>
            <w:tcW w:w="25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investments</w:t>
            </w:r>
          </w:p>
        </w:tc>
        <w:tc>
          <w:tcPr>
            <w:tcW w:w="25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126,179</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129,655</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method investments</w:t>
            </w:r>
          </w:p>
        </w:tc>
        <w:tc>
          <w:tcPr>
            <w:tcW w:w="25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method investments</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39,198</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37,795</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other investment securities, net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168,825</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168,200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34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marketable investment securities, restricted cash and cash equivalents, and other investment securities</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285,826</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1,108,797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345"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marketable investment securities and restricted cash and cash equivalents are included in “Restricted cash, cash equivalents and marketable investment securities” on our Consolidated Balance Sheets.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 See Note 2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Current Marketable Investment Securities - Strategic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current strategic marketable investment securities portfolio includes and may include strategic and financial debt and/or equity investments in private and public companies that are highly speculative and have experienced and continue to experience volatility. As of December 31, 2023,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1107" w:name="_Hlk513476071"/>
      <w:bookmarkEnd w:id="1107"/>
      <w:r>
        <w:rPr>
          <w:rFonts w:ascii="Times New Roman;Times;serif" w:hAnsi="Times New Roman;Times;serif"/>
          <w:i/>
          <w:sz w:val="20"/>
        </w:rPr>
        <w:t>Current Marketable Investment Securities - 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current other marketable investment securities portfolio includes investments in various debt instruments including, among others, commercial paper, corporate securities and United States treasury and/or agency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Restricted Cash, Cash Equivalents and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and 2022, our restricted marketable investment securities, together with our restricted cash and cash equivalents, included amounts required as collateral for our letters of credit and trusts.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Other Investments, net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strategic investments in certain debt and/or equity securities that are included in noncurrent “Other investments, net” on our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NagraStar L.L.C.</w:t>
      </w:r>
      <w:r>
        <w:rPr>
          <w:rFonts w:ascii="Times New Roman;Times;serif" w:hAnsi="Times New Roman;Times;serif"/>
          <w:sz w:val="20"/>
        </w:rPr>
        <w:t xml:space="preserve"> We own a 50% interest in NagraStar L.L.C. (“NagraStar”), a joint venture that is our primary 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Invidi Technologies Corporation</w:t>
      </w:r>
      <w:r>
        <w:rPr>
          <w:rFonts w:ascii="Times New Roman;Times;serif" w:hAnsi="Times New Roman;Times;serif"/>
          <w:sz w:val="20"/>
        </w:rPr>
        <w:t>. We own a 35% interest in Invidi 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TerreStar Solutions, Inc.</w:t>
      </w:r>
      <w:r>
        <w:rPr>
          <w:rFonts w:ascii="Times New Roman;Times;serif" w:hAnsi="Times New Roman;Times;serif"/>
          <w:sz w:val="20"/>
        </w:rPr>
        <w:t>  We own a 40% interest in TerreStar Solutions, Inc. (“TSI”), an entity that provides wireless mobile communication coverage in Canada using a satellite user terminal.  TSI’s wireless communications system is based on a satellite and ground-based technology, which provides communication services in hard-to-reach areas and provides a nationwide interoperable, survivable and critical communications infrastructure. TSI also holds and leases certain 2 GHz wireless spectrum licenses in Canada.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1108" w:name="_0ab469a8_201d_4008_a3d8_f97b519f9dfd_3"/>
      <w:bookmarkStart w:id="1109" w:name="_0ab469a8_201d_4008_a3d8_f97b519f9dfd_2"/>
      <w:bookmarkStart w:id="1110" w:name="_0ab469a8_201d_4008_a3d8_f97b519f9dfd"/>
      <w:bookmarkStart w:id="1111" w:name="Tc_865nq5VmUUCfatGlFXzNkg_13_23"/>
      <w:bookmarkStart w:id="1112" w:name="Tc_UDEntURAp0SFQvhb_axHRw_13_20"/>
      <w:bookmarkStart w:id="1113" w:name="Tc_5Od43L0iEkqMp4XgdUgO2w_13_17"/>
      <w:bookmarkStart w:id="1114" w:name="Tc_Yp-kS-YneEmmX-0ciEt9ZA_13_14"/>
      <w:bookmarkStart w:id="1115" w:name="Tc_7gQ_8pYAIk-B2tkTfHeRrw_13_11"/>
      <w:bookmarkStart w:id="1116" w:name="Tc_i393DbNMOEyrylNf0Dex_A_13_8"/>
      <w:bookmarkStart w:id="1117" w:name="Tc_4l5L4SlMykunXVb999pYcQ_13_5"/>
      <w:bookmarkStart w:id="1118" w:name="Tc_eagODNfBG0acbbbyCi32pA_13_2"/>
      <w:bookmarkStart w:id="1119" w:name="Tc_EvhSFoG7qEqYojeORxy_wA_13_0"/>
      <w:bookmarkStart w:id="1120" w:name="Tc_fhbdhkRNYUGn7aV56obraQ_12_24"/>
      <w:bookmarkStart w:id="1121" w:name="Tc_THcQfrUqG0awtSkuY2aRPw_12_21"/>
      <w:bookmarkStart w:id="1122" w:name="Tc_JA1zUEQShEiP7Ag_g-VVdQ_12_12"/>
      <w:bookmarkStart w:id="1123" w:name="Tc_H7hrwX_k1Eit_heTCPjueQ_12_9"/>
      <w:bookmarkStart w:id="1124" w:name="Tc_ilYfo0Z2oUCW9uFEfSwPNg_12_0"/>
      <w:bookmarkStart w:id="1125" w:name="Tc_HVJoz5mklEqADYuwYdodsQ_11_18"/>
      <w:bookmarkStart w:id="1126" w:name="Tc_bh0pKcRaTEGq-FI1ALizmQ_11_6"/>
      <w:bookmarkStart w:id="1127" w:name="Tc_Tqab2ieM9UiA5a9ropkIBg_11_0"/>
      <w:bookmarkStart w:id="1128" w:name="Tc_Jg-vYYe2ik6sSy_Ox294tQ_10_24"/>
      <w:bookmarkStart w:id="1129" w:name="Tc_Lhll28fm00CFgJf3hvbiGQ_10_18"/>
      <w:bookmarkStart w:id="1130" w:name="Tc_ZOrhUMwWIkesENGSARdq3g_10_12"/>
      <w:bookmarkStart w:id="1131" w:name="Tc_rlYRD4vLvE6lfFL7gNpveg_10_6"/>
      <w:bookmarkStart w:id="1132" w:name="Tc_-F-xTXCGy0KypfFdKBmhQQ_10_0"/>
      <w:bookmarkStart w:id="1133" w:name="Tc_REHOhNg52kK7Y_AvhyOSWw_9_24"/>
      <w:bookmarkStart w:id="1134" w:name="Tc_v-qqOw_dIES1LGB8iULAMw_9_18"/>
      <w:bookmarkStart w:id="1135" w:name="Tc_XM7k1m7rbUq-IoOa9pZq8w_9_12"/>
      <w:bookmarkStart w:id="1136" w:name="Tc_mvtAHycBtkq4q3BL2Qx6EQ_9_6"/>
      <w:bookmarkStart w:id="1137" w:name="Tc_0AqKa1WvO0q2dRdvMUr9qQ_9_0"/>
      <w:bookmarkStart w:id="1138" w:name="Tc_MnSz8n2b10SluvdWKwB8WQ_8_24"/>
      <w:bookmarkStart w:id="1139" w:name="Tc_6JAIZF7v_0CD2uMwZK0P0g_8_23"/>
      <w:bookmarkStart w:id="1140" w:name="Tc_kW_fG3wWt0y3cxSFfOlhlg_8_21"/>
      <w:bookmarkStart w:id="1141" w:name="Tc_7RkUpvenSk-JOu8eVtuwxA_8_20"/>
      <w:bookmarkStart w:id="1142" w:name="Tc_fCb9neDPCEa82m6YL-863A_8_17"/>
      <w:bookmarkStart w:id="1143" w:name="Tc_SaOpBSgKFE-r4K_LpTqorQ_8_14"/>
      <w:bookmarkStart w:id="1144" w:name="Tc__S2BmsI-BE-53TOpdK71Wg_8_12"/>
      <w:bookmarkStart w:id="1145" w:name="Tc_0e7k5SlMmEqG9hgzCVMMwQ_8_11"/>
      <w:bookmarkStart w:id="1146" w:name="Tc_m03YCOPsGkmxXldpDc3WmA_8_9"/>
      <w:bookmarkStart w:id="1147" w:name="Tc_j7ENEYI9QkCsT5Y0KsbjRw_8_8"/>
      <w:bookmarkStart w:id="1148" w:name="Tc_wcTM_A0gnECMch71o2UZnw_8_5"/>
      <w:bookmarkStart w:id="1149" w:name="Tc_6iEgHP2W_kmQEVbYCBqP6Q_8_2"/>
      <w:bookmarkStart w:id="1150" w:name="Tc_0dY5tqFW3U-EBXFPaDLkdg_8_0"/>
      <w:bookmarkStart w:id="1151" w:name="Tc_Zcj6YwyHOUKYrZw0UHZwOg_7_0"/>
      <w:bookmarkStart w:id="1152" w:name="Tc_eog6KYAeL0iEPJYR-HGsOw_5_24"/>
      <w:bookmarkStart w:id="1153" w:name="Tc_labshZ3xg02rc5FfN4q1bA_5_23"/>
      <w:bookmarkStart w:id="1154" w:name="Tc_S4dqjXBjfEWUkytRmj4fjQ_5_20"/>
      <w:bookmarkStart w:id="1155" w:name="Tc_ISuYkhtbA0WSqy5SqPqA3g_5_17"/>
      <w:bookmarkStart w:id="1156" w:name="Tc_iV_WWWtVF0-qV4HqYSrVag_5_14"/>
      <w:bookmarkStart w:id="1157" w:name="Tc_RLai5006L0aZqvEUa-4wqA_5_12"/>
      <w:bookmarkStart w:id="1158" w:name="Tc_umvn3yFZak2biCHBkBbn8w_5_11"/>
      <w:bookmarkStart w:id="1159" w:name="Tc_TkcfRnPtnkWV4QlKvfsIlQ_5_8"/>
      <w:bookmarkStart w:id="1160" w:name="Tc__8z1CJ1jY0CdNHts3NRyjA_5_5"/>
      <w:bookmarkStart w:id="1161" w:name="Tc__al6JDYFQUC1moY41JzNZQ_5_2"/>
      <w:bookmarkStart w:id="1162" w:name="Tc_Y202Sk-TcUOqg8eQnEDz6Q_5_0"/>
      <w:bookmarkStart w:id="1163" w:name="Tc_jdAYMGgrjUODIPR5t-Rsow_4_2"/>
      <w:bookmarkStart w:id="1164" w:name="Tc_c3idsbearkyVtu6MY657Mg_3_23"/>
      <w:bookmarkStart w:id="1165" w:name="Tc_j47By-nnrEymEYFkIASqUA_3_20"/>
      <w:bookmarkStart w:id="1166" w:name="Tc_5N1TCOTv2UWJfLtpK1nxuQ_3_17"/>
      <w:bookmarkStart w:id="1167" w:name="Tc_73FG76JCwkmy9LJ_ZK-yXw_3_14"/>
      <w:bookmarkStart w:id="1168" w:name="Tc_5HIkAQkFRkWtUu94cCGfKA_3_11"/>
      <w:bookmarkStart w:id="1169" w:name="Tc_SUJSeGrX70mgi2encqJoog_3_8"/>
      <w:bookmarkStart w:id="1170" w:name="Tc_-Q3cziqiWU-FWoHY9jUGQA_3_5"/>
      <w:bookmarkStart w:id="1171" w:name="Tc_rH0O6HIVxEmU0cvWdcuAmQ_3_2"/>
      <w:bookmarkStart w:id="1172" w:name="Tc_NhRC3bwStE6ix0VfC3RO-A_2_14"/>
      <w:bookmarkStart w:id="1173" w:name="Tc_2rLvnVcv7kWRMRWN2OdIeA_2_2"/>
      <w:bookmarkStart w:id="1174" w:name="Tc_9k-3nNBN8U6qkqZ7JJavoQ_1_2"/>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r>
        <w:rPr>
          <w:rFonts w:ascii="Times New Roman;Times;serif" w:hAnsi="Times New Roman;Times;serif"/>
          <w:b/>
          <w:i/>
          <w:sz w:val="20"/>
        </w:rPr>
        <w:t>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investments measured at fair value on a recurring basis were as follows:</w:t>
      </w:r>
    </w:p>
    <w:p>
      <w:pPr>
        <w:pStyle w:val="TextBody"/>
        <w:bidi w:val="0"/>
        <w:spacing w:before="0" w:after="0"/>
        <w:ind w:left="0" w:right="0" w:hanging="0"/>
        <w:jc w:val="left"/>
        <w:rPr/>
      </w:pPr>
      <w:r>
        <w:rPr/>
        <w:t>​</w:t>
      </w:r>
    </w:p>
    <w:tbl>
      <w:tblPr>
        <w:tblW w:w="10584" w:type="dxa"/>
        <w:jc w:val="left"/>
        <w:tblInd w:w="0" w:type="dxa"/>
        <w:tblLayout w:type="fixed"/>
        <w:tblCellMar>
          <w:top w:w="0" w:type="dxa"/>
          <w:left w:w="0" w:type="dxa"/>
          <w:bottom w:w="0" w:type="dxa"/>
          <w:right w:w="0" w:type="dxa"/>
        </w:tblCellMar>
      </w:tblPr>
      <w:tblGrid>
        <w:gridCol w:w="991"/>
        <w:gridCol w:w="326"/>
        <w:gridCol w:w="196"/>
        <w:gridCol w:w="691"/>
        <w:gridCol w:w="326"/>
        <w:gridCol w:w="196"/>
        <w:gridCol w:w="691"/>
        <w:gridCol w:w="326"/>
        <w:gridCol w:w="196"/>
        <w:gridCol w:w="601"/>
        <w:gridCol w:w="326"/>
        <w:gridCol w:w="221"/>
        <w:gridCol w:w="425"/>
        <w:gridCol w:w="326"/>
        <w:gridCol w:w="196"/>
        <w:gridCol w:w="826"/>
        <w:gridCol w:w="326"/>
        <w:gridCol w:w="196"/>
        <w:gridCol w:w="691"/>
        <w:gridCol w:w="326"/>
        <w:gridCol w:w="196"/>
        <w:gridCol w:w="826"/>
        <w:gridCol w:w="326"/>
        <w:gridCol w:w="221"/>
        <w:gridCol w:w="425"/>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29285" cy="175260"/>
                      <wp:effectExtent l="0" t="0" r="0" b="0"/>
                      <wp:wrapNone/>
                      <wp:docPr id="257" name="Frame25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38785" cy="175260"/>
                      <wp:effectExtent l="0" t="0" r="0" b="0"/>
                      <wp:wrapNone/>
                      <wp:docPr id="260" name="Frame2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4460" cy="175260"/>
                      <wp:effectExtent l="0" t="0" r="0" b="0"/>
                      <wp:wrapNone/>
                      <wp:docPr id="262"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38785" cy="175260"/>
                      <wp:effectExtent l="0" t="0" r="0" b="0"/>
                      <wp:wrapNone/>
                      <wp:docPr id="263" name="Frame2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24460" cy="175260"/>
                      <wp:effectExtent l="0" t="0" r="0" b="0"/>
                      <wp:wrapNone/>
                      <wp:docPr id="265" name="Frame2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81635" cy="175260"/>
                      <wp:effectExtent l="0" t="0" r="0" b="0"/>
                      <wp:wrapNone/>
                      <wp:docPr id="266" name="Frame26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0335" cy="175260"/>
                      <wp:effectExtent l="0" t="0" r="0" b="0"/>
                      <wp:wrapNone/>
                      <wp:docPr id="268" name="Frame26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69875" cy="175260"/>
                      <wp:effectExtent l="0" t="0" r="0" b="0"/>
                      <wp:wrapNone/>
                      <wp:docPr id="269" name="Frame269"/>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4460" cy="175260"/>
                      <wp:effectExtent l="0" t="0" r="0" b="0"/>
                      <wp:wrapNone/>
                      <wp:docPr id="271"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24510" cy="175260"/>
                      <wp:effectExtent l="0" t="0" r="0" b="0"/>
                      <wp:wrapNone/>
                      <wp:docPr id="272" name="Frame2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4460" cy="175260"/>
                      <wp:effectExtent l="0" t="0" r="0" b="0"/>
                      <wp:wrapNone/>
                      <wp:docPr id="274" name="Frame2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38785" cy="175260"/>
                      <wp:effectExtent l="0" t="0" r="0" b="0"/>
                      <wp:wrapNone/>
                      <wp:docPr id="275" name="Frame2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4460" cy="175260"/>
                      <wp:effectExtent l="0" t="0" r="0" b="0"/>
                      <wp:wrapNone/>
                      <wp:docPr id="277" name="Frame2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24510" cy="175260"/>
                      <wp:effectExtent l="0" t="0" r="0" b="0"/>
                      <wp:wrapNone/>
                      <wp:docPr id="278" name="Frame2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40335" cy="175260"/>
                      <wp:effectExtent l="0" t="0" r="0" b="0"/>
                      <wp:wrapNone/>
                      <wp:docPr id="280" name="Frame28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69875" cy="175260"/>
                      <wp:effectExtent l="0" t="0" r="0" b="0"/>
                      <wp:wrapNone/>
                      <wp:docPr id="281" name="Frame281"/>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1285" cy="175260"/>
                      <wp:effectExtent l="0" t="0" r="0" b="0"/>
                      <wp:wrapNone/>
                      <wp:docPr id="282" name="Frame28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76" w:type="dxa"/>
            <w:gridSpan w:val="2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9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c>
          <w:tcPr>
            <w:tcW w:w="326" w:type="dxa"/>
            <w:tcBorders/>
            <w:vAlign w:val="center"/>
          </w:tcPr>
          <w:p>
            <w:pPr>
              <w:pStyle w:val="TableContents"/>
              <w:bidi w:val="0"/>
              <w:spacing w:before="0" w:after="0"/>
              <w:ind w:left="0" w:right="0" w:hanging="0"/>
              <w:jc w:val="left"/>
              <w:rPr/>
            </w:pPr>
            <w:r>
              <w:rPr/>
              <w:t>​</w:t>
            </w:r>
          </w:p>
        </w:tc>
        <w:tc>
          <w:tcPr>
            <w:tcW w:w="455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2022</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191" w:type="dxa"/>
            <w:tcBorders/>
            <w:vAlign w:val="center"/>
          </w:tcPr>
          <w:p>
            <w:pPr>
              <w:pStyle w:val="TableContents"/>
              <w:bidi w:val="0"/>
              <w:spacing w:before="0" w:after="0"/>
              <w:ind w:left="0" w:right="0" w:hanging="0"/>
              <w:jc w:val="left"/>
              <w:rPr/>
            </w:pPr>
            <w:r>
              <w:rPr/>
              <w:t> </w:t>
            </w:r>
          </w:p>
        </w:tc>
      </w:tr>
      <w:tr>
        <w:trPr/>
        <w:tc>
          <w:tcPr>
            <w:tcW w:w="10584" w:type="dxa"/>
            <w:gridSpan w:val="26"/>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76" w:type="dxa"/>
            <w:gridSpan w:val="23"/>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equivalents (including restricted)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347,976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304,410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43,566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1,620,458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174,050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1,446,408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Debt securities (including restricted):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Treasury and agency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696,324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696,324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156,380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Equity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12,384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877,672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854,049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restricted and non-restricted marketable investment securities included debt securities of $20 million with contractual maturities within one year. Actual maturities may differ from contractual maturities as a result of our ability to sell these securities prior to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 Instruments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the option to purchase certain of T-Mobile’s 800 MHz spectrum licenses from T-Mobile at a fixed price.  This instrument meets the definition of a derivative and is valued based upon, among other things, our estimate of the underlying asset price, the expected term, volatility, the risk free rate of return and the probability of us exercising the option. The instrument acquisition date fair value was $713 million. The derivative is remeasured quarterly. As of December 31, 2023 and 2022, the derivative’s fair value was zero and $1.693 billion, respectively, and is included in “Other noncurrent assets, net” on our Consolidated Balance Sheets. The change in the derivative’s carrying value was primarily driven by a decrease in our estimated probability of exercising the option to zero. All changes in the derivative’s fair value are recorded in “Other, net” on our Consolidated Statements of Operations and Comprehensive Income (Loss). See the table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On June 30, 2023, the United States Department of Justice, Antitrust Division (the “DOJ”) provided notice to the United States District Court for the District of Columbia (the “District Court”) that, pursuant to its discretion under the Final Judgment, it granted a </w:t>
      </w:r>
      <w:r>
        <w:rPr>
          <w:rFonts w:ascii="Times New Roman;Times;serif" w:hAnsi="Times New Roman;Times;serif"/>
          <w:b w:val="false"/>
          <w:i w:val="false"/>
          <w:caps w:val="false"/>
          <w:smallCaps w:val="false"/>
          <w:sz w:val="20"/>
        </w:rPr>
        <w:t>60-day</w:t>
      </w:r>
      <w:r>
        <w:rPr>
          <w:rFonts w:ascii="Times New Roman;Times;serif" w:hAnsi="Times New Roman;Times;serif"/>
          <w:sz w:val="24"/>
        </w:rPr>
        <w:t xml:space="preserve"> </w:t>
      </w:r>
      <w:r>
        <w:rPr>
          <w:rFonts w:ascii="Times New Roman;Times;serif" w:hAnsi="Times New Roman;Times;serif"/>
          <w:sz w:val="20"/>
        </w:rPr>
        <w:t>extension of the deadline for T-Mobile to divest the 800 MHz spectrum licenses, which expired on August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17, 2023, we filed a petition with the District Court seeking an extension of the deadline for T-Mobile to divest the </w:t>
      </w:r>
      <w:r>
        <w:rPr>
          <w:rFonts w:ascii="Times New Roman;Times;serif" w:hAnsi="Times New Roman;Times;serif"/>
          <w:sz w:val="20"/>
          <w:shd w:fill="FFFFFF" w:val="clear"/>
        </w:rPr>
        <w:t>800 MHz spectrum licenses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15, 2023, we and T-Mobile entered into an amendment to the License Purchase Agreement (the “Amendment”) that, among other things, extends the date by which we may purchase the </w:t>
      </w:r>
      <w:r>
        <w:rPr>
          <w:rFonts w:ascii="Times New Roman;Times;serif" w:hAnsi="Times New Roman;Times;serif"/>
          <w:sz w:val="20"/>
          <w:shd w:fill="FFFFFF" w:val="clear"/>
        </w:rPr>
        <w:t xml:space="preserve">800 MHz spectrum licenses </w:t>
      </w:r>
      <w:r>
        <w:rPr>
          <w:rFonts w:ascii="Times New Roman;Times;serif" w:hAnsi="Times New Roman;Times;serif"/>
          <w:sz w:val="20"/>
        </w:rPr>
        <w:t>to April 1, 2024 (the “Extension”). In connection with the Extension, we agreed to make an upfront payment of $100 million (the “Upfront Payment”) to T-Mobile. The Amendment also resolves all outstanding disputes between the parties with respect to the License Purchase Agreement. On October 25, 2023, we paid the $100 million Upfront Payment to T-Mobile.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Amendment has been approved by the DOJ in accordance with the Stipulation and Order filed in the District Court on July 26, 2019 and the Final Judgment entered by the District Court on April 1, 2020. The Amendment became effective upon the District Court entering the Amended Final Judgment on October 23, 2023.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175" w:name="Tc_InngMMUnqk-BgwfI6qOUqQ_10_9"/>
      <w:bookmarkStart w:id="1176" w:name="Tc_EHyMsRU1GU-hKsL7U9Jn8Q_10_6"/>
      <w:bookmarkStart w:id="1177" w:name="Tc_twEiRIvrFku6UjpNnbW5Bw_10_3"/>
      <w:bookmarkStart w:id="1178" w:name="Tc_WNIsfaKlHkSwmKAViC5hwQ_10_0"/>
      <w:bookmarkStart w:id="1179" w:name="Tc_2EVcr-LMaEy9rRAfL_rFOw_9_0"/>
      <w:bookmarkStart w:id="1180" w:name="Tc_IQr5X5gc3U2Mg-CzO8qijg_8_0"/>
      <w:bookmarkStart w:id="1181" w:name="Tc_0KVaV95ygkKCrY_w012k8w_7_0"/>
      <w:bookmarkStart w:id="1182" w:name="Tc_NJJnACOtmkCUcnRchhWKJw_6_0"/>
      <w:bookmarkStart w:id="1183" w:name="Tc_Wx8I82r6Y0WFH26YTaOr1A_5_9"/>
      <w:bookmarkStart w:id="1184" w:name="Tc_3iG-j6GoZUGwaXzznJslfg_5_6"/>
      <w:bookmarkStart w:id="1185" w:name="Tc_3jzardOewU-fxjt5lcV03Q_5_3"/>
      <w:bookmarkStart w:id="1186" w:name="Tc_p_BvnCeWfEWywBNmXIynEA_5_0"/>
      <w:bookmarkStart w:id="1187" w:name="Tc_PMRyYolSl0q1ppgsTZ4Srg_4_3"/>
      <w:bookmarkStart w:id="1188" w:name="Tc_pJcNFPGsHEasfIqHIan0LQ_3_9"/>
      <w:bookmarkStart w:id="1189" w:name="Tc_iCCgVNz0oEeJlDSCaE_6DQ_3_6"/>
      <w:bookmarkStart w:id="1190" w:name="Tc_m3fMe562Bk25l60PFynSgA_3_3"/>
      <w:bookmarkStart w:id="1191" w:name="Tc_FjXWX7FAl0y2w_tGlFkmyg_3_0"/>
      <w:bookmarkStart w:id="1192" w:name="Tc_m9Baq6ffxEap7Xdxk6LaCg_2_3"/>
      <w:bookmarkStart w:id="1193" w:name="_d647160e_4e64_4d5c_ac3c_ed65340f9471"/>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sz w:val="20"/>
        </w:rPr>
        <w:t xml:space="preserve">The Upfront Payment is fully creditable against the purchase price in the event we exercise our option to purchase the </w:t>
      </w:r>
      <w:r>
        <w:rPr>
          <w:rFonts w:ascii="Times New Roman;Times;serif" w:hAnsi="Times New Roman;Times;serif"/>
          <w:sz w:val="20"/>
          <w:shd w:fill="FFFFFF" w:val="clear"/>
        </w:rPr>
        <w:t xml:space="preserve">800 MHz spectrum licenses </w:t>
      </w:r>
      <w:r>
        <w:rPr>
          <w:rFonts w:ascii="Times New Roman;Times;serif" w:hAnsi="Times New Roman;Times;serif"/>
          <w:sz w:val="20"/>
        </w:rPr>
        <w:t xml:space="preserve">from T-Mobile. T-Mobile has the right (but not the obligation) to pursue an alternative offer between now and April 1, 2024 provided that we retain the first right to purchase the spectrum before April 1, 2024. If we elect to not exercise the option to purchase the </w:t>
      </w:r>
      <w:r>
        <w:rPr>
          <w:rFonts w:ascii="Times New Roman;Times;serif" w:hAnsi="Times New Roman;Times;serif"/>
          <w:sz w:val="20"/>
          <w:shd w:fill="FFFFFF" w:val="clear"/>
        </w:rPr>
        <w:t xml:space="preserve">800 MHz spectrum licenses </w:t>
      </w:r>
      <w:r>
        <w:rPr>
          <w:rFonts w:ascii="Times New Roman;Times;serif" w:hAnsi="Times New Roman;Times;serif"/>
          <w:sz w:val="20"/>
        </w:rPr>
        <w:t xml:space="preserve">pursuant to the </w:t>
      </w:r>
      <w:r>
        <w:rPr>
          <w:rFonts w:ascii="Times New Roman;Times;serif" w:hAnsi="Times New Roman;Times;serif"/>
          <w:sz w:val="20"/>
          <w:shd w:fill="FFFFFF" w:val="clear"/>
        </w:rPr>
        <w:t>License Purchase Agreement</w:t>
      </w:r>
      <w:r>
        <w:rPr>
          <w:rFonts w:ascii="Times New Roman;Times;serif" w:hAnsi="Times New Roman;Times;serif"/>
          <w:sz w:val="20"/>
        </w:rPr>
        <w:t xml:space="preserve"> or it expires, T-Mobile will retain the $100 million Upfront Payment per the </w:t>
      </w:r>
      <w:r>
        <w:rPr>
          <w:rFonts w:ascii="Times New Roman;Times;serif" w:hAnsi="Times New Roman;Times;serif"/>
          <w:sz w:val="20"/>
          <w:shd w:fill="FFFFFF" w:val="clear"/>
        </w:rPr>
        <w:t>Amendment.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Throughout 2023, we were actively involved in negotiations with counterparties to obtain the financing necessary to exercise the 800 MHz purchase option. However, we have been unsuccessful in our attempts to reach terms for a definitive financing agreement. Due to the relatively short time remaining before the 800 MHz purchase option’s expiration on April 1, 2024, we no longer believe it is probable that we will exercise the option. Therefore, we reduced the probability weighted value of the spectrum option to zero.</w:t>
      </w:r>
      <w:r>
        <w:rPr>
          <w:rFonts w:ascii="Times New Roman;Times;serif" w:hAnsi="Times New Roman;Times;serif"/>
          <w:sz w:val="20"/>
        </w:rPr>
        <w:t xml:space="preserve"> </w:t>
      </w:r>
      <w:r>
        <w:rPr>
          <w:rFonts w:ascii="Times New Roman;Times;serif" w:hAnsi="Times New Roman;Times;serif"/>
          <w:sz w:val="20"/>
          <w:shd w:fill="FFFFFF" w:val="clear"/>
        </w:rPr>
        <w:t xml:space="preserve">As a result of the probability weighted derivative’s fair value being zero, during the fourth quarter and the year ended December 31, 2023, a loss of $1.601 billion and $1.793 billion, respectively, (both including </w:t>
      </w:r>
      <w:r>
        <w:rPr>
          <w:rFonts w:ascii="Times New Roman;Times;serif" w:hAnsi="Times New Roman;Times;serif"/>
          <w:sz w:val="20"/>
        </w:rPr>
        <w:t xml:space="preserve">the $100 million prepayment previously made to T-Mobile) was recorded in “Other, net” on our Consolidated Statements of Operations and Comprehensive Income (Loss). </w:t>
      </w:r>
      <w:r>
        <w:rPr>
          <w:rFonts w:ascii="Times New Roman;Times;serif" w:hAnsi="Times New Roman;Times;serif"/>
          <w:sz w:val="20"/>
          <w:shd w:fill="FFFFFF" w:val="clear"/>
        </w:rPr>
        <w:t>We still maintain the right to exercise the purchase option until it expires on April 1, 2024. If we elect to exercise the option and purchase these licenses, we will record the licenses at fair value at that date in “</w:t>
      </w:r>
      <w:r>
        <w:rPr>
          <w:rFonts w:ascii="Times New Roman;Times;serif" w:hAnsi="Times New Roman;Times;serif"/>
          <w:sz w:val="20"/>
        </w:rPr>
        <w:t>Regulatory authorizations, net</w:t>
      </w:r>
      <w:r>
        <w:rPr>
          <w:rFonts w:ascii="Times New Roman;Times;serif" w:hAnsi="Times New Roman;Times;serif"/>
          <w:sz w:val="20"/>
          <w:shd w:fill="FFFFFF" w:val="clear"/>
        </w:rPr>
        <w:t xml:space="preserve">” on our Consolidated Balance Sheets and record a corresponding gain, net of our exercise price, on our Consolidated Statements </w:t>
      </w:r>
      <w:r>
        <w:rPr>
          <w:rFonts w:ascii="Times New Roman;Times;serif" w:hAnsi="Times New Roman;Times;serif"/>
          <w:color w:val="222222"/>
          <w:sz w:val="20"/>
          <w:shd w:fill="FFFFFF" w:val="clear"/>
        </w:rPr>
        <w:t xml:space="preserve">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account for our option to purchase certain T-Mobile’s 800 MHz spectrum licenses under the License Purchase Agreement as a Level 3 instrument within the fair value hierarchy.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Gains and Losses on Sales and Changes in Carrying Amounts of Investments and Other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r>
        <w:rPr>
          <w:rFonts w:ascii="Times New Roman;Times;serif" w:hAnsi="Times New Roman;Times;serif"/>
          <w:sz w:val="20"/>
        </w:rPr>
        <w:t>Other, net” within “Other Income (Expense)” included on our Consolidated Statements of Operations and Comprehensive Income (Loss)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99"/>
        <w:gridCol w:w="109"/>
        <w:gridCol w:w="326"/>
        <w:gridCol w:w="196"/>
        <w:gridCol w:w="937"/>
        <w:gridCol w:w="326"/>
        <w:gridCol w:w="196"/>
        <w:gridCol w:w="826"/>
        <w:gridCol w:w="326"/>
        <w:gridCol w:w="196"/>
        <w:gridCol w:w="712"/>
        <w:gridCol w:w="156"/>
      </w:tblGrid>
      <w:tr>
        <w:trPr/>
        <w:tc>
          <w:tcPr>
            <w:tcW w:w="5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745865" cy="175260"/>
                      <wp:effectExtent l="0" t="0" r="0" b="0"/>
                      <wp:wrapNone/>
                      <wp:docPr id="283" name="Frame283"/>
                      <a:graphic xmlns:a="http://schemas.openxmlformats.org/drawingml/2006/main">
                        <a:graphicData uri="http://schemas.microsoft.com/office/word/2010/wordprocessingShape">
                          <wps:wsp>
                            <wps:cNvSpPr txBox="1"/>
                            <wps:spPr>
                              <a:xfrm>
                                <a:off x="0" y="0"/>
                                <a:ext cx="3745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4460" cy="175260"/>
                      <wp:effectExtent l="0" t="0" r="0" b="0"/>
                      <wp:wrapNone/>
                      <wp:docPr id="286" name="Frame2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94995" cy="175260"/>
                      <wp:effectExtent l="0" t="0" r="0" b="0"/>
                      <wp:wrapNone/>
                      <wp:docPr id="287" name="Frame287"/>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4510" cy="175260"/>
                      <wp:effectExtent l="0" t="0" r="0" b="0"/>
                      <wp:wrapNone/>
                      <wp:docPr id="290" name="Frame2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4460" cy="175260"/>
                      <wp:effectExtent l="0" t="0" r="0" b="0"/>
                      <wp:wrapNone/>
                      <wp:docPr id="292" name="Frame2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52120" cy="175260"/>
                      <wp:effectExtent l="0" t="0" r="0" b="0"/>
                      <wp:wrapNone/>
                      <wp:docPr id="293" name="Frame29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9060" cy="175260"/>
                      <wp:effectExtent l="0" t="0" r="0" b="0"/>
                      <wp:wrapNone/>
                      <wp:docPr id="294" name="Frame294"/>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15" w:type="dxa"/>
            <w:gridSpan w:val="8"/>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center"/>
              <w:rPr/>
            </w:pPr>
            <w:r>
              <w:rPr/>
              <w:t>​</w:t>
            </w:r>
          </w:p>
        </w:tc>
      </w:tr>
      <w:tr>
        <w:trPr/>
        <w:tc>
          <w:tcPr>
            <w:tcW w:w="58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15"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56" w:type="dxa"/>
            <w:tcBorders/>
            <w:vAlign w:val="center"/>
          </w:tcPr>
          <w:p>
            <w:pPr>
              <w:pStyle w:val="TableContents"/>
              <w:bidi w:val="0"/>
              <w:spacing w:before="0" w:after="0"/>
              <w:ind w:left="0" w:right="0" w:hanging="0"/>
              <w:jc w:val="center"/>
              <w:rPr/>
            </w:pPr>
            <w:r>
              <w:rPr/>
              <w:t>​</w:t>
            </w:r>
          </w:p>
        </w:tc>
      </w:tr>
      <w:tr>
        <w:trPr/>
        <w:tc>
          <w:tcPr>
            <w:tcW w:w="58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net: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56" w:type="dxa"/>
            <w:tcBorders/>
            <w:vAlign w:val="center"/>
          </w:tcPr>
          <w:p>
            <w:pPr>
              <w:pStyle w:val="TableContents"/>
              <w:bidi w:val="0"/>
              <w:spacing w:before="0" w:after="0"/>
              <w:ind w:left="0" w:right="0" w:hanging="0"/>
              <w:jc w:val="center"/>
              <w:rPr/>
            </w:pPr>
            <w:r>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899"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15"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6" w:type="dxa"/>
            <w:tcBorders/>
            <w:vAlign w:val="center"/>
          </w:tcPr>
          <w:p>
            <w:pPr>
              <w:pStyle w:val="TableContents"/>
              <w:bidi w:val="0"/>
              <w:spacing w:before="0" w:after="0"/>
              <w:ind w:left="0" w:right="0" w:hanging="0"/>
              <w:jc w:val="center"/>
              <w:rPr/>
            </w:pPr>
            <w:r>
              <w:rPr/>
              <w:t>​</w:t>
            </w:r>
          </w:p>
        </w:tc>
      </w:tr>
      <w:tr>
        <w:trPr/>
        <w:tc>
          <w:tcPr>
            <w:tcW w:w="5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and non-marketable investment securities - realized and unrealized gains (losses)</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8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instruments - net realized and/or unrealized gains (losses) (1)</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(1,793,387)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1,015,387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w:t>
            </w:r>
          </w:p>
        </w:tc>
        <w:tc>
          <w:tcPr>
            <w:tcW w:w="156" w:type="dxa"/>
            <w:tcBorders/>
            <w:vAlign w:val="center"/>
          </w:tcPr>
          <w:p>
            <w:pPr>
              <w:pStyle w:val="TableContents"/>
              <w:bidi w:val="0"/>
              <w:spacing w:before="0" w:after="0"/>
              <w:ind w:left="0" w:right="0" w:hanging="0"/>
              <w:jc w:val="left"/>
              <w:rPr/>
            </w:pPr>
            <w:r>
              <w:rPr/>
              <w:t>​</w:t>
            </w:r>
          </w:p>
        </w:tc>
      </w:tr>
      <w:tr>
        <w:trPr/>
        <w:tc>
          <w:tcPr>
            <w:tcW w:w="5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Gains (losses) related to early redemption of debt (2)</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8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in earnings (losses) of affiliates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w:t>
            </w:r>
          </w:p>
        </w:tc>
        <w:tc>
          <w:tcPr>
            <w:tcW w:w="156" w:type="dxa"/>
            <w:tcBorders/>
            <w:vAlign w:val="center"/>
          </w:tcPr>
          <w:p>
            <w:pPr>
              <w:pStyle w:val="TableContents"/>
              <w:bidi w:val="0"/>
              <w:spacing w:before="0" w:after="0"/>
              <w:ind w:left="0" w:right="0" w:hanging="0"/>
              <w:jc w:val="left"/>
              <w:rPr/>
            </w:pPr>
            <w:r>
              <w:rPr/>
              <w:t>​</w:t>
            </w:r>
          </w:p>
        </w:tc>
      </w:tr>
      <w:tr>
        <w:trPr/>
        <w:tc>
          <w:tcPr>
            <w:tcW w:w="5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41,332</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89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(1,741,876)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1,038,982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20,557</w:t>
            </w:r>
          </w:p>
        </w:tc>
        <w:tc>
          <w:tcPr>
            <w:tcW w:w="156" w:type="dxa"/>
            <w:tcBorders/>
            <w:vAlign w:val="center"/>
          </w:tcPr>
          <w:p>
            <w:pPr>
              <w:pStyle w:val="TableContents"/>
              <w:bidi w:val="0"/>
              <w:spacing w:before="0" w:after="0"/>
              <w:ind w:left="0" w:right="0" w:hanging="0"/>
              <w:jc w:val="left"/>
              <w:rPr/>
            </w:pPr>
            <w:r>
              <w:rPr/>
              <w:t>​</w:t>
            </w:r>
          </w:p>
        </w:tc>
      </w:tr>
      <w:tr>
        <w:trPr/>
        <w:tc>
          <w:tcPr>
            <w:tcW w:w="58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change in the derivative’s carrying value for the year ended December 31, 2023 was primarily driven by a decrease in our estimated probability of exercising the option. This amount includes the $100</w:t>
            </w:r>
            <w:r>
              <w:rPr>
                <w:caps w:val="false"/>
                <w:smallCaps w:val="false"/>
              </w:rPr>
              <w:t xml:space="preserve"> </w:t>
            </w:r>
            <w:r>
              <w:rPr>
                <w:rFonts w:ascii="Times New Roman;Times;serif" w:hAnsi="Times New Roman;Times;serif"/>
                <w:b w:val="false"/>
                <w:i w:val="false"/>
                <w:caps w:val="false"/>
                <w:smallCaps w:val="false"/>
                <w:sz w:val="20"/>
              </w:rPr>
              <w:t xml:space="preserve">million prepayment previously made to T-Mobile.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This change primarily resulted from repurchases of our Convertible Notes and 5</w:t>
            </w:r>
            <w:r>
              <w:rPr>
                <w:caps w:val="false"/>
                <w:smallCaps w:val="false"/>
              </w:rPr>
              <w:t> </w:t>
            </w:r>
            <w:r>
              <w:rPr>
                <w:rFonts w:ascii="Times New Roman;Times;serif" w:hAnsi="Times New Roman;Times;serif"/>
                <w:b w:val="false"/>
                <w:i w:val="false"/>
                <w:caps w:val="false"/>
                <w:smallCaps w:val="false"/>
                <w:sz w:val="20"/>
              </w:rPr>
              <w:t>7/8% Senior Notes due 2024</w:t>
            </w:r>
            <w:r>
              <w:rPr>
                <w:caps w:val="false"/>
                <w:smallCaps w:val="false"/>
              </w:rPr>
              <w:t xml:space="preserve"> </w:t>
            </w:r>
            <w:r>
              <w:rPr>
                <w:rFonts w:ascii="Times New Roman;Times;serif" w:hAnsi="Times New Roman;Times;serif"/>
                <w:b w:val="false"/>
                <w:i w:val="false"/>
                <w:caps w:val="false"/>
                <w:smallCaps w:val="false"/>
                <w:sz w:val="20"/>
              </w:rPr>
              <w:t>during the year ended December 31, 2023. See Note 9 for further information.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4" w:name="Tc_2H1sHy06PU2wSy-8KXEHgQ_9_5"/>
      <w:bookmarkStart w:id="1195" w:name="Tc_FDUSkMBf_EyvDTH9bVuSWQ_9_2"/>
      <w:bookmarkStart w:id="1196" w:name="Tc_gdEaBOFUvEClxodsNiM16A_9_0"/>
      <w:bookmarkStart w:id="1197" w:name="Tc_Ty9CCIAlW0eT3jXL9J2Cfw_8_0"/>
      <w:bookmarkStart w:id="1198" w:name="Tc_E4yPLL7FgUa-0oIM1lsB9A_7_0"/>
      <w:bookmarkStart w:id="1199" w:name="Tc_lNWPW1bf6E-QQa43ts1JjA_6_0"/>
      <w:bookmarkStart w:id="1200" w:name="Tc_Yd0JxDRlSEqUiJuR9crWtg_5_5"/>
      <w:bookmarkStart w:id="1201" w:name="Tc_BAgH1n6TPE6cnr2rD4-4UA_5_2"/>
      <w:bookmarkStart w:id="1202" w:name="Tc_XrlMCjCrdEe4t77SbolguA_5_0"/>
      <w:bookmarkStart w:id="1203" w:name="Tc_7y5rSWaZakW-SgB33aEl1g_4_2"/>
      <w:bookmarkStart w:id="1204" w:name="Tc_Wctc9eIQqUKdj0gXtRnZig_3_5"/>
      <w:bookmarkStart w:id="1205" w:name="Tc_noUJ3kMjoUW4axiTaDioSg_3_2"/>
      <w:bookmarkStart w:id="1206" w:name="Tc_cDOTWJR_WUiPU9BgMwRrDQ_2_5"/>
      <w:bookmarkStart w:id="1207" w:name="Tc_gP5osIQLV0SVodPBum_HPg_2_2"/>
      <w:bookmarkStart w:id="1208" w:name="Tc_RQRWGHja-kGJuazTqKvfPw_1_2"/>
      <w:bookmarkStart w:id="1209" w:name="_d42f11d3_1132_443c_b112_79269a167035"/>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Pr>
          <w:rFonts w:ascii="Times New Roman;Times;serif" w:hAnsi="Times New Roman;Times;serif"/>
          <w:b/>
          <w:sz w:val="20"/>
        </w:rPr>
        <w:t>6.     Inventory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Inventory consisted of the following: </w:t>
      </w:r>
    </w:p>
    <w:p>
      <w:pPr>
        <w:pStyle w:val="TextBody"/>
        <w:bidi w:val="0"/>
        <w:spacing w:before="0" w:after="0"/>
        <w:ind w:left="0" w:right="0" w:hanging="0"/>
        <w:jc w:val="left"/>
        <w:rPr/>
      </w:pPr>
      <w:r>
        <w:rPr/>
        <w:t>​</w:t>
      </w:r>
    </w:p>
    <w:tbl>
      <w:tblPr>
        <w:tblW w:w="5899" w:type="dxa"/>
        <w:jc w:val="left"/>
        <w:tblInd w:w="0" w:type="dxa"/>
        <w:tblLayout w:type="fixed"/>
        <w:tblCellMar>
          <w:top w:w="0" w:type="dxa"/>
          <w:left w:w="0" w:type="dxa"/>
          <w:bottom w:w="0" w:type="dxa"/>
          <w:right w:w="0" w:type="dxa"/>
        </w:tblCellMar>
      </w:tblPr>
      <w:tblGrid>
        <w:gridCol w:w="2686"/>
        <w:gridCol w:w="326"/>
        <w:gridCol w:w="261"/>
        <w:gridCol w:w="924"/>
        <w:gridCol w:w="326"/>
        <w:gridCol w:w="261"/>
        <w:gridCol w:w="924"/>
        <w:gridCol w:w="1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705610" cy="175260"/>
                      <wp:effectExtent l="0" t="0" r="0" b="0"/>
                      <wp:wrapNone/>
                      <wp:docPr id="295" name="Frame295"/>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65735" cy="175260"/>
                      <wp:effectExtent l="0" t="0" r="0" b="0"/>
                      <wp:wrapNone/>
                      <wp:docPr id="297" name="Frame29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86740" cy="175260"/>
                      <wp:effectExtent l="0" t="0" r="0" b="0"/>
                      <wp:wrapNone/>
                      <wp:docPr id="298" name="Frame298"/>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5735" cy="175260"/>
                      <wp:effectExtent l="0" t="0" r="0" b="0"/>
                      <wp:wrapNone/>
                      <wp:docPr id="300" name="Frame30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86740" cy="175260"/>
                      <wp:effectExtent l="0" t="0" r="0" b="0"/>
                      <wp:wrapNone/>
                      <wp:docPr id="301" name="Frame30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1285" cy="175260"/>
                      <wp:effectExtent l="0" t="0" r="0" b="0"/>
                      <wp:wrapNone/>
                      <wp:docPr id="302" name="Frame30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5899"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Finished goods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407,620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447,322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Work-in-process and service repairs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35,464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19,351</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Consignment (1)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47,723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Raw materials</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6,251</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20,908</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497,058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502,373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both"/>
              <w:rPr/>
            </w:pPr>
            <w:r>
              <w:rPr/>
              <w:t>​</w:t>
            </w:r>
          </w:p>
        </w:tc>
        <w:tc>
          <w:tcPr>
            <w:tcW w:w="191" w:type="dxa"/>
            <w:tcBorders/>
            <w:vAlign w:val="center"/>
          </w:tcPr>
          <w:p>
            <w:pPr>
              <w:pStyle w:val="TableContents"/>
              <w:bidi w:val="0"/>
              <w:spacing w:before="0" w:after="0"/>
              <w:ind w:left="0" w:right="0" w:hanging="0"/>
              <w:jc w:val="left"/>
              <w:rPr/>
            </w:pPr>
            <w:r>
              <w:rPr/>
              <w:t>​</w:t>
            </w:r>
          </w:p>
        </w:tc>
      </w:tr>
    </w:tbl>
    <w:tbl>
      <w:tblPr>
        <w:tblW w:w="9497" w:type="dxa"/>
        <w:jc w:val="left"/>
        <w:tblInd w:w="0" w:type="dxa"/>
        <w:tblLayout w:type="fixed"/>
        <w:tblCellMar>
          <w:top w:w="0" w:type="dxa"/>
          <w:left w:w="0" w:type="dxa"/>
          <w:bottom w:w="0" w:type="dxa"/>
          <w:right w:w="0" w:type="dxa"/>
        </w:tblCellMar>
      </w:tblPr>
      <w:tblGrid>
        <w:gridCol w:w="346"/>
        <w:gridCol w:w="91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change primarily resulted from a distribution agreement related to certain Boost postpaid wireless devices.</w:t>
            </w:r>
          </w:p>
        </w:tc>
      </w:tr>
    </w:tbl>
    <w:p>
      <w:pPr>
        <w:pStyle w:val="TextBody"/>
        <w:bidi w:val="0"/>
        <w:spacing w:before="0" w:after="0"/>
        <w:ind w:left="360" w:right="0" w:hanging="0"/>
        <w:jc w:val="left"/>
        <w:rPr/>
      </w:pPr>
      <w:r>
        <w:rPr/>
        <w:t>​</w:t>
      </w:r>
    </w:p>
    <w:p>
      <w:pPr>
        <w:pStyle w:val="TextBody"/>
        <w:bidi w:val="0"/>
        <w:spacing w:lineRule="auto" w:line="300"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210" w:name="Tc_wOgwdnAaAkG8R36IoN61Sw_8_5"/>
      <w:bookmarkStart w:id="1211" w:name="Tc_sJjaY3MHpEuGnvO-Eua66w_8_2"/>
      <w:bookmarkStart w:id="1212" w:name="Tc_r_CgaMh0TkaXKSdg6bXUyA_8_0"/>
      <w:bookmarkStart w:id="1213" w:name="Tc_SE-1Oul-AU6E3m0bGe-aDg_7_0"/>
      <w:bookmarkStart w:id="1214" w:name="Tc_RlVqGXI-_Uie4iuHg1q2YQ_6_6"/>
      <w:bookmarkStart w:id="1215" w:name="Tc_ohR2tnrs30uG367e0WS_CA_6_3"/>
      <w:bookmarkStart w:id="1216" w:name="Tc_B5ABRUDNJUiL3jkrf5omVQ_6_0"/>
      <w:bookmarkStart w:id="1217" w:name="Tc_I4WEJRZUK064UXBNk7QRXw_5_5"/>
      <w:bookmarkStart w:id="1218" w:name="Tc_aIXa6_5EZk-U1PkOxGXc1A_5_2"/>
      <w:bookmarkStart w:id="1219" w:name="Tc_mSOcSPuVDkulhrRuWmxI1Q_5_0"/>
      <w:bookmarkStart w:id="1220" w:name="Tc_khAxjYAdukqBXhiKvlUIZg_4_2"/>
      <w:bookmarkStart w:id="1221" w:name="Tc_wsDTeOeJtkOGLPl6EJIErQ_3_5"/>
      <w:bookmarkStart w:id="1222" w:name="Tc_IsvmGROzx0aBn2mzHKU7aA_3_2"/>
      <w:bookmarkStart w:id="1223" w:name="Tc_VO04tL9z9EiQ3_WYhyGijg_2_5"/>
      <w:bookmarkStart w:id="1224" w:name="Tc___9F63Ef1EurC2Yzh41rtA_2_2"/>
      <w:bookmarkStart w:id="1225" w:name="Tc_LxGt0N3CVUyCGU0DzSjzPA_1_2"/>
      <w:bookmarkStart w:id="1226" w:name="Tc_mH6tTFhCYUmfIdhN_o7PwQ_17_9"/>
      <w:bookmarkStart w:id="1227" w:name="Tc_Bk3QM3hQGEmXoKTkzm0lhQ_17_6"/>
      <w:bookmarkStart w:id="1228" w:name="Tc_hqG3uBYHAU-bhnUE_r2m0Q_17_0"/>
      <w:bookmarkStart w:id="1229" w:name="Tc_V1x-RbMaekiaE2FWcNyjpQ_16_0"/>
      <w:bookmarkStart w:id="1230" w:name="Tc_FwkHpNEZyki0gCY_FdeqAQ_15_0"/>
      <w:bookmarkStart w:id="1231" w:name="Tc_IGXvbakqdkGJ68pXAORG2A_14_3"/>
      <w:bookmarkStart w:id="1232" w:name="Tc_5mpPqRz_zU-QMT9hhEiE0w_14_0"/>
      <w:bookmarkStart w:id="1233" w:name="Tc_sXn0V-iWHkmf5j81JKpa3w_13_3"/>
      <w:bookmarkStart w:id="1234" w:name="Tc_Y0UD13weEEWdKjiLRxEp6g_13_0"/>
      <w:bookmarkStart w:id="1235" w:name="Tc_-_WSH3wb60yM93uhiRp3bA_12_3"/>
      <w:bookmarkStart w:id="1236" w:name="Tc_1nnU3iW7Dk-NDVt5FXwAEw_12_0"/>
      <w:bookmarkStart w:id="1237" w:name="Tc_eegCpTCZgkWCAcz3J-6Fbg_11_3"/>
      <w:bookmarkStart w:id="1238" w:name="Tc_O49P0ciGBEmRvYRZn1c9uQ_11_0"/>
      <w:bookmarkStart w:id="1239" w:name="Tc_y_1vlVV9t06__LpKirIOvw_10_3"/>
      <w:bookmarkStart w:id="1240" w:name="Tc_35qswQPyqki4WJazDHKnwQ_10_0"/>
      <w:bookmarkStart w:id="1241" w:name="Tc_nPHT9S2mOkSQqKsE8QmmbQ_9_3"/>
      <w:bookmarkStart w:id="1242" w:name="Tc_yZbahs-EoEKTgkOFzLhFDw_9_0"/>
      <w:bookmarkStart w:id="1243" w:name="Tc__Yzd_9Vu1Uikv9s-raseTA_8_0"/>
      <w:bookmarkStart w:id="1244" w:name="Tc_ydFU7PDY2U-gENh8tK8nww_7_3"/>
      <w:bookmarkStart w:id="1245" w:name="Tc_uEs8Gx6O40CZ7M1rhSTWbw_7_0"/>
      <w:bookmarkStart w:id="1246" w:name="Tc_6341oEAyBEimz_7odCdBJQ_6_9"/>
      <w:bookmarkStart w:id="1247" w:name="Tc_492njTw-5k6yL5-EsdCGUA_6_6"/>
      <w:bookmarkStart w:id="1248" w:name="Tc_Hi55UF1LKEesXJBO2Kq_eQ_6_3"/>
      <w:bookmarkStart w:id="1249" w:name="Tc_dPqD7X9CsEeI92RnFCcnrQ_6_0"/>
      <w:bookmarkStart w:id="1250" w:name="Tc_PgrR0Ea41kW4vmrYB5lkhw_5_6"/>
      <w:bookmarkStart w:id="1251" w:name="Tc_3ASi-lMYvEyrpSpgLqdwtA_4_9"/>
      <w:bookmarkStart w:id="1252" w:name="Tc_lqXM-vMI5E-67fGJxzKabw_4_6"/>
      <w:bookmarkStart w:id="1253" w:name="Tc_ZyxK6EZhhkOFlJ2OhismfA_4_2"/>
      <w:bookmarkStart w:id="1254" w:name="Tc_CavsM6rjm0ODZczZh5FHVA_3_9"/>
      <w:bookmarkStart w:id="1255" w:name="Tc_GiKYME8HZUy73Xh0BVGcBQ_3_6"/>
      <w:bookmarkStart w:id="1256" w:name="Tc_klxwO7bCvEWMmiGU0CLcAA_3_2"/>
      <w:bookmarkStart w:id="1257" w:name="Tc_LPl7Gi5jj0ixzQJ_YGrlmQ_2_6"/>
      <w:bookmarkStart w:id="1258" w:name="Tc_Y5eM1Ydo90iYGoPFy82Zvw_2_2"/>
      <w:bookmarkStart w:id="1259" w:name="_c9d3fb10_6c43_46c7_a433_648e65dc2b5b"/>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r>
        <w:rPr>
          <w:rFonts w:ascii="Times New Roman;Times;serif" w:hAnsi="Times New Roman;Times;serif"/>
          <w:b/>
          <w:sz w:val="20"/>
        </w:rPr>
        <w:t>7.     Property and Equipment and Intangible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consisted of the following:</w:t>
      </w:r>
    </w:p>
    <w:p>
      <w:pPr>
        <w:pStyle w:val="TextBody"/>
        <w:bidi w:val="0"/>
        <w:spacing w:before="0" w:after="0"/>
        <w:ind w:left="0" w:right="0" w:hanging="0"/>
        <w:jc w:val="left"/>
        <w:rPr/>
      </w:pPr>
      <w:r>
        <w:rPr/>
        <w:t>​</w:t>
      </w:r>
    </w:p>
    <w:tbl>
      <w:tblPr>
        <w:tblW w:w="8221" w:type="dxa"/>
        <w:jc w:val="left"/>
        <w:tblInd w:w="0" w:type="dxa"/>
        <w:tblLayout w:type="fixed"/>
        <w:tblCellMar>
          <w:top w:w="0" w:type="dxa"/>
          <w:left w:w="0" w:type="dxa"/>
          <w:bottom w:w="0" w:type="dxa"/>
          <w:right w:w="0" w:type="dxa"/>
        </w:tblCellMar>
      </w:tblPr>
      <w:tblGrid>
        <w:gridCol w:w="3676"/>
        <w:gridCol w:w="326"/>
        <w:gridCol w:w="256"/>
        <w:gridCol w:w="374"/>
        <w:gridCol w:w="376"/>
        <w:gridCol w:w="326"/>
        <w:gridCol w:w="203"/>
        <w:gridCol w:w="982"/>
        <w:gridCol w:w="326"/>
        <w:gridCol w:w="203"/>
        <w:gridCol w:w="982"/>
        <w:gridCol w:w="19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334260" cy="175260"/>
                      <wp:effectExtent l="0" t="0" r="0" b="0"/>
                      <wp:wrapNone/>
                      <wp:docPr id="303" name="Frame303"/>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2560" cy="175260"/>
                      <wp:effectExtent l="0" t="0" r="0" b="0"/>
                      <wp:wrapNone/>
                      <wp:docPr id="305" name="Frame30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37490" cy="175260"/>
                      <wp:effectExtent l="0" t="0" r="0" b="0"/>
                      <wp:wrapNone/>
                      <wp:docPr id="306" name="Frame30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38760" cy="175260"/>
                      <wp:effectExtent l="0" t="0" r="0" b="0"/>
                      <wp:wrapNone/>
                      <wp:docPr id="307" name="Frame30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8905" cy="175260"/>
                      <wp:effectExtent l="0" t="0" r="0" b="0"/>
                      <wp:wrapNone/>
                      <wp:docPr id="309" name="Frame30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23570" cy="175260"/>
                      <wp:effectExtent l="0" t="0" r="0" b="0"/>
                      <wp:wrapNone/>
                      <wp:docPr id="310" name="Frame310"/>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8905" cy="175260"/>
                      <wp:effectExtent l="0" t="0" r="0" b="0"/>
                      <wp:wrapNone/>
                      <wp:docPr id="312" name="Frame31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23570" cy="175260"/>
                      <wp:effectExtent l="0" t="0" r="0" b="0"/>
                      <wp:wrapNone/>
                      <wp:docPr id="313" name="Frame313"/>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1285" cy="175260"/>
                      <wp:effectExtent l="0" t="0" r="0" b="0"/>
                      <wp:wrapNone/>
                      <wp:docPr id="314" name="Frame31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3"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3"/>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Depreciable</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3"/>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Life</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Years)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822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c>
          <w:tcPr>
            <w:tcW w:w="3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1,181,193</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1,318,272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Satellites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w:t>
            </w:r>
          </w:p>
        </w:tc>
        <w:tc>
          <w:tcPr>
            <w:tcW w:w="3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1,718,865</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1,718,865</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Satellites acquired under finance lease agreements </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3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c>
          <w:tcPr>
            <w:tcW w:w="3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344,447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344,447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Furniture, fixtures, equipment and other</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c>
          <w:tcPr>
            <w:tcW w:w="3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908,924</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903,190</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 equipment (1)</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w:t>
            </w:r>
          </w:p>
        </w:tc>
        <w:tc>
          <w:tcPr>
            <w:tcW w:w="3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4,263,327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770,153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and computer equipment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c>
          <w:tcPr>
            <w:tcW w:w="3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2,111,305</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1,666,962</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Buildings and improvements </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w:t>
            </w:r>
          </w:p>
        </w:tc>
        <w:tc>
          <w:tcPr>
            <w:tcW w:w="3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381,757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380,519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Land </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17,513</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17,513</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3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1,802,000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3,170,623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12,729,331</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10,290,544</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(5,327,384)</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(4,650,425)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7,401,947</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5,640,119</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tbl>
      <w:tblPr>
        <w:tblW w:w="7127" w:type="dxa"/>
        <w:jc w:val="left"/>
        <w:tblInd w:w="0" w:type="dxa"/>
        <w:tblLayout w:type="fixed"/>
        <w:tblCellMar>
          <w:top w:w="0" w:type="dxa"/>
          <w:left w:w="0" w:type="dxa"/>
          <w:bottom w:w="0" w:type="dxa"/>
          <w:right w:w="0" w:type="dxa"/>
        </w:tblCellMar>
      </w:tblPr>
      <w:tblGrid>
        <w:gridCol w:w="346"/>
        <w:gridCol w:w="67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5G Network Deployment assets acquired under finance lease agreements.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 consisted of the following:</w:t>
      </w:r>
    </w:p>
    <w:p>
      <w:pPr>
        <w:pStyle w:val="TextBody"/>
        <w:bidi w:val="0"/>
        <w:spacing w:before="0" w:after="0"/>
        <w:ind w:left="0" w:right="0" w:hanging="0"/>
        <w:jc w:val="left"/>
        <w:rPr/>
      </w:pPr>
      <w:r>
        <w:rPr/>
        <w:t>​</w:t>
      </w:r>
    </w:p>
    <w:tbl>
      <w:tblPr>
        <w:tblW w:w="5644" w:type="dxa"/>
        <w:jc w:val="left"/>
        <w:tblInd w:w="0" w:type="dxa"/>
        <w:tblLayout w:type="fixed"/>
        <w:tblCellMar>
          <w:top w:w="0" w:type="dxa"/>
          <w:left w:w="0" w:type="dxa"/>
          <w:bottom w:w="0" w:type="dxa"/>
          <w:right w:w="0" w:type="dxa"/>
        </w:tblCellMar>
      </w:tblPr>
      <w:tblGrid>
        <w:gridCol w:w="2431"/>
        <w:gridCol w:w="326"/>
        <w:gridCol w:w="227"/>
        <w:gridCol w:w="958"/>
        <w:gridCol w:w="326"/>
        <w:gridCol w:w="227"/>
        <w:gridCol w:w="958"/>
        <w:gridCol w:w="19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43685" cy="175260"/>
                      <wp:effectExtent l="0" t="0" r="0" b="0"/>
                      <wp:wrapNone/>
                      <wp:docPr id="315" name="Frame31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4145" cy="175260"/>
                      <wp:effectExtent l="0" t="0" r="0" b="0"/>
                      <wp:wrapNone/>
                      <wp:docPr id="317" name="Frame317"/>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08330" cy="175260"/>
                      <wp:effectExtent l="0" t="0" r="0" b="0"/>
                      <wp:wrapNone/>
                      <wp:docPr id="318" name="Frame318"/>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4145" cy="175260"/>
                      <wp:effectExtent l="0" t="0" r="0" b="0"/>
                      <wp:wrapNone/>
                      <wp:docPr id="320" name="Frame32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08330" cy="175260"/>
                      <wp:effectExtent l="0" t="0" r="0" b="0"/>
                      <wp:wrapNone/>
                      <wp:docPr id="321" name="Frame321"/>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1285" cy="175260"/>
                      <wp:effectExtent l="0" t="0" r="0" b="0"/>
                      <wp:wrapNone/>
                      <wp:docPr id="322" name="Frame3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5644"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162,055</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Wireless</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1,639,945</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3,133,687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construction in progress</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1,802,000</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3,170,623</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260" w:name="_Hlk535252045"/>
      <w:bookmarkStart w:id="1261" w:name="Tc_H1800haq1kq0xtSRdBcC_w_10_5"/>
      <w:bookmarkStart w:id="1262" w:name="Tc_COPSYApVN0qTfKErlcOLYg_10_2"/>
      <w:bookmarkStart w:id="1263" w:name="Tc_aBm7clE-GUKFna8VVtJ1WA_10_0"/>
      <w:bookmarkStart w:id="1264" w:name="Tc_Va0N7jSDzkqf9JdWxBjt0A_8_5"/>
      <w:bookmarkStart w:id="1265" w:name="Tc_wyMDg2ploUa012gXw9o7OQ_8_2"/>
      <w:bookmarkStart w:id="1266" w:name="Tc_jariy8lK9UWNf24G7-PlFw_8_0"/>
      <w:bookmarkStart w:id="1267" w:name="Tc_gcfRQhGb6keXrTWpD6Q1BA_7_6"/>
      <w:bookmarkStart w:id="1268" w:name="Tc_I3wr1hPFD06vmtqAQcU7hA_7_3"/>
      <w:bookmarkStart w:id="1269" w:name="Tc_xp9FQjtNRUW4ERl4iZ9Lfg_7_0"/>
      <w:bookmarkStart w:id="1270" w:name="Tc_R29fNvKC302ypUW3azp0dg_6_0"/>
      <w:bookmarkStart w:id="1271" w:name="Tc_8OY8tdOHQ0GsvEwujvaMVA_5_0"/>
      <w:bookmarkStart w:id="1272" w:name="Tc_TVsxWEybQEuqRlDDMzf4LA_4_5"/>
      <w:bookmarkStart w:id="1273" w:name="Tc_MILYvqmNa0u5a672e7DdGw_4_2"/>
      <w:bookmarkStart w:id="1274" w:name="Tc_Y6Fh2E1-KUSqcNOXaglEfA_4_0"/>
      <w:bookmarkStart w:id="1275" w:name="Tc_FwMuuzFYpkevomx8xkf0UQ_3_2"/>
      <w:bookmarkStart w:id="1276" w:name="Tc_eSPyW8189kKPpCfAEFY42Q_2_5"/>
      <w:bookmarkStart w:id="1277" w:name="Tc_Irwrwl1aMkiF9vE-Bo7NoA_2_2"/>
      <w:bookmarkStart w:id="1278" w:name="Tc_C5ZHAY7bOUGkBLpH28IRBA_1_2"/>
      <w:bookmarkStart w:id="1279" w:name="Tc_pDgYlPCZxESHxwzg_6fgtg_11_8"/>
      <w:bookmarkStart w:id="1280" w:name="Tc_9n_-Ak3Mu0mvdg2YfmoGxQ_11_5"/>
      <w:bookmarkStart w:id="1281" w:name="Tc_HMxv3P3YaU6ntbeygOpAIg_11_2"/>
      <w:bookmarkStart w:id="1282" w:name="Tc_6Dj1OxWv_kO_T1eOOFysJQ_11_0"/>
      <w:bookmarkStart w:id="1283" w:name="Tc_uGEd1y2VwUep5zrhp-sApQ_10_0"/>
      <w:bookmarkStart w:id="1284" w:name="Tc_4E23VMsJqEKUH5g-BPLopQ_9_0"/>
      <w:bookmarkStart w:id="1285" w:name="Tc_3p1Q96fxSUGMpNYkJF76yQ_8_0"/>
      <w:bookmarkStart w:id="1286" w:name="Tc_vDRrRvOu3UWWydM6Ov3DHA_7_0"/>
      <w:bookmarkStart w:id="1287" w:name="Tc_ccL7_afQdUyKpyqO0biQ0g_6_0"/>
      <w:bookmarkStart w:id="1288" w:name="Tc_PSHRFTPFt0KpeMQ5IluSyg_5_8"/>
      <w:bookmarkStart w:id="1289" w:name="Tc_XteC7dD5TEWfpUaR9GSZ7A_5_5"/>
      <w:bookmarkStart w:id="1290" w:name="Tc_MLwE7ipD4EyX_OLJEEcgcg_5_2"/>
      <w:bookmarkStart w:id="1291" w:name="Tc_LzEZoNx-0UqiV2hMtXMHuA_5_0"/>
      <w:bookmarkStart w:id="1292" w:name="Tc_vVlSmFAIIEyxHMLkGjunwQ_4_2"/>
      <w:bookmarkStart w:id="1293" w:name="Tc_uTcp_3GcUEaN0AomOeCjKw_3_8"/>
      <w:bookmarkStart w:id="1294" w:name="Tc_VwmzVPMVbESHIOYvwd58Bw_3_5"/>
      <w:bookmarkStart w:id="1295" w:name="Tc__NpIW-_CC0mArgJWm-Un_w_3_2"/>
      <w:bookmarkStart w:id="1296" w:name="Tc_PLsqOpO2iUWsE5ilba8tqg_2_2"/>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expense consisted of the following: </w:t>
      </w:r>
    </w:p>
    <w:p>
      <w:pPr>
        <w:pStyle w:val="TextBody"/>
        <w:bidi w:val="0"/>
        <w:spacing w:before="0" w:after="0"/>
        <w:ind w:left="0" w:right="0" w:hanging="0"/>
        <w:jc w:val="left"/>
        <w:rPr/>
      </w:pPr>
      <w:r>
        <w:rPr/>
        <w:t>​</w:t>
      </w:r>
    </w:p>
    <w:tbl>
      <w:tblPr>
        <w:tblW w:w="7424" w:type="dxa"/>
        <w:jc w:val="left"/>
        <w:tblInd w:w="0" w:type="dxa"/>
        <w:tblLayout w:type="fixed"/>
        <w:tblCellMar>
          <w:top w:w="0" w:type="dxa"/>
          <w:left w:w="0" w:type="dxa"/>
          <w:bottom w:w="0" w:type="dxa"/>
          <w:right w:w="0" w:type="dxa"/>
        </w:tblCellMar>
      </w:tblPr>
      <w:tblGrid>
        <w:gridCol w:w="3676"/>
        <w:gridCol w:w="146"/>
        <w:gridCol w:w="196"/>
        <w:gridCol w:w="826"/>
        <w:gridCol w:w="326"/>
        <w:gridCol w:w="196"/>
        <w:gridCol w:w="691"/>
        <w:gridCol w:w="326"/>
        <w:gridCol w:w="196"/>
        <w:gridCol w:w="691"/>
        <w:gridCol w:w="15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334260" cy="175260"/>
                      <wp:effectExtent l="0" t="0" r="0" b="0"/>
                      <wp:wrapNone/>
                      <wp:docPr id="323" name="Frame323"/>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92710" cy="175260"/>
                      <wp:effectExtent l="0" t="0" r="0" b="0"/>
                      <wp:wrapNone/>
                      <wp:docPr id="324" name="Frame3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4460" cy="175260"/>
                      <wp:effectExtent l="0" t="0" r="0" b="0"/>
                      <wp:wrapNone/>
                      <wp:docPr id="325" name="Frame3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24510" cy="175260"/>
                      <wp:effectExtent l="0" t="0" r="0" b="0"/>
                      <wp:wrapNone/>
                      <wp:docPr id="326" name="Frame3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24460" cy="175260"/>
                      <wp:effectExtent l="0" t="0" r="0" b="0"/>
                      <wp:wrapNone/>
                      <wp:docPr id="328" name="Frame3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38785" cy="175260"/>
                      <wp:effectExtent l="0" t="0" r="0" b="0"/>
                      <wp:wrapNone/>
                      <wp:docPr id="329" name="Frame3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4460" cy="175260"/>
                      <wp:effectExtent l="0" t="0" r="0" b="0"/>
                      <wp:wrapNone/>
                      <wp:docPr id="331" name="Frame3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8785" cy="175260"/>
                      <wp:effectExtent l="0" t="0" r="0" b="0"/>
                      <wp:wrapNone/>
                      <wp:docPr id="332" name="Frame3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7790" cy="175260"/>
                      <wp:effectExtent l="0" t="0" r="0" b="0"/>
                      <wp:wrapNone/>
                      <wp:docPr id="333" name="Frame3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4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54" w:type="dxa"/>
            <w:tcBorders/>
            <w:vAlign w:val="center"/>
          </w:tcPr>
          <w:p>
            <w:pPr>
              <w:pStyle w:val="TableContents"/>
              <w:bidi w:val="0"/>
              <w:spacing w:before="0" w:after="0"/>
              <w:ind w:left="0" w:right="0" w:hanging="0"/>
              <w:jc w:val="center"/>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54" w:type="dxa"/>
            <w:tcBorders/>
            <w:vAlign w:val="center"/>
          </w:tcPr>
          <w:p>
            <w:pPr>
              <w:pStyle w:val="TableContents"/>
              <w:bidi w:val="0"/>
              <w:spacing w:before="0" w:after="0"/>
              <w:ind w:left="0" w:right="0" w:hanging="0"/>
              <w:jc w:val="center"/>
              <w:rPr/>
            </w:pPr>
            <w:r>
              <w:rPr/>
              <w:t>​</w:t>
            </w:r>
          </w:p>
        </w:tc>
      </w:tr>
      <w:tr>
        <w:trPr/>
        <w:tc>
          <w:tcPr>
            <w:tcW w:w="7424"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48"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leased to customers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244,755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Satellites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189,126</w:t>
            </w:r>
          </w:p>
        </w:tc>
        <w:tc>
          <w:tcPr>
            <w:tcW w:w="154"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Buildings, furniture, fixtures, equipment and other</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25,279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 equipment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8,263</w:t>
            </w:r>
          </w:p>
        </w:tc>
        <w:tc>
          <w:tcPr>
            <w:tcW w:w="154"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and computer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235,820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93,119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and other amortization expense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153,541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164,310</w:t>
            </w:r>
          </w:p>
        </w:tc>
        <w:tc>
          <w:tcPr>
            <w:tcW w:w="154"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1,181,921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724,852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and operating expense categories included in our accompanying Consolidated Statements of Operations and Comprehensive Income (Loss) do not include depreciation and amortization expense related to satellites, equipment leased to customers, or our 5G Network Deployment equipment and software.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Activity relating to our asset retirement obligations was as follows:</w:t>
      </w:r>
    </w:p>
    <w:p>
      <w:pPr>
        <w:pStyle w:val="TextBody"/>
        <w:bidi w:val="0"/>
        <w:spacing w:before="0" w:after="0"/>
        <w:ind w:left="0" w:right="0" w:hanging="0"/>
        <w:jc w:val="left"/>
        <w:rPr/>
      </w:pPr>
      <w:r>
        <w:rPr/>
        <w:t>​</w:t>
      </w:r>
    </w:p>
    <w:tbl>
      <w:tblPr>
        <w:tblW w:w="6053" w:type="dxa"/>
        <w:jc w:val="left"/>
        <w:tblInd w:w="0" w:type="dxa"/>
        <w:tblLayout w:type="fixed"/>
        <w:tblCellMar>
          <w:top w:w="0" w:type="dxa"/>
          <w:left w:w="0" w:type="dxa"/>
          <w:bottom w:w="0" w:type="dxa"/>
          <w:right w:w="0" w:type="dxa"/>
        </w:tblCellMar>
      </w:tblPr>
      <w:tblGrid>
        <w:gridCol w:w="3436"/>
        <w:gridCol w:w="326"/>
        <w:gridCol w:w="196"/>
        <w:gridCol w:w="691"/>
        <w:gridCol w:w="326"/>
        <w:gridCol w:w="196"/>
        <w:gridCol w:w="691"/>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81860" cy="175260"/>
                      <wp:effectExtent l="0" t="0" r="0" b="0"/>
                      <wp:wrapNone/>
                      <wp:docPr id="334" name="Frame33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38785" cy="175260"/>
                      <wp:effectExtent l="0" t="0" r="0" b="0"/>
                      <wp:wrapNone/>
                      <wp:docPr id="337" name="Frame3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4460" cy="175260"/>
                      <wp:effectExtent l="0" t="0" r="0" b="0"/>
                      <wp:wrapNone/>
                      <wp:docPr id="339"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38785" cy="175260"/>
                      <wp:effectExtent l="0" t="0" r="0" b="0"/>
                      <wp:wrapNone/>
                      <wp:docPr id="340" name="Frame3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1285" cy="175260"/>
                      <wp:effectExtent l="0" t="0" r="0" b="0"/>
                      <wp:wrapNone/>
                      <wp:docPr id="341" name="Frame34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December 31, </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605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183,135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Liabilities incurred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124,822</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Revision to estimated cash flows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278,287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183,135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included in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278,287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183,135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corresponding assets, net of accumulated depreciation, related to asset retirement obligations were $217 million and $162 million as of December 31, 2023 and 2022,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Satellites Pay-TV Segment</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Our Pay-TV segment currently utilizes nine satellites in geostationary orbit approximately 22,300 miles above the equator, seven of which we own and depreciate over their estimated useful life. We also lease two satellites from third parties: Anik F3, which is accounted for as an operating lease, and Nimiq 5, which is accounted for as a finance lease and is depreciated over its economic life. As of July 2023, we no longer lease the Ciel II satellite.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our Pay-TV segment satellite fleet consisted of the following:</w:t>
      </w:r>
    </w:p>
    <w:p>
      <w:pPr>
        <w:pStyle w:val="TextBody"/>
        <w:bidi w:val="0"/>
        <w:spacing w:before="0" w:after="0"/>
        <w:ind w:left="0" w:right="0" w:hanging="0"/>
        <w:jc w:val="left"/>
        <w:rPr/>
      </w:pPr>
      <w:r>
        <w:rPr/>
        <w:t>​</w:t>
      </w:r>
    </w:p>
    <w:tbl>
      <w:tblPr>
        <w:tblW w:w="7046" w:type="dxa"/>
        <w:jc w:val="left"/>
        <w:tblInd w:w="0" w:type="dxa"/>
        <w:tblLayout w:type="fixed"/>
        <w:tblCellMar>
          <w:top w:w="0" w:type="dxa"/>
          <w:left w:w="0" w:type="dxa"/>
          <w:bottom w:w="0" w:type="dxa"/>
          <w:right w:w="0" w:type="dxa"/>
        </w:tblCellMar>
      </w:tblPr>
      <w:tblGrid>
        <w:gridCol w:w="2611"/>
        <w:gridCol w:w="326"/>
        <w:gridCol w:w="1261"/>
        <w:gridCol w:w="326"/>
        <w:gridCol w:w="781"/>
        <w:gridCol w:w="326"/>
        <w:gridCol w:w="1261"/>
        <w:gridCol w:w="154"/>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657985" cy="175895"/>
                      <wp:effectExtent l="0" t="0" r="0" b="0"/>
                      <wp:wrapNone/>
                      <wp:docPr id="342" name="Frame342"/>
                      <a:graphic xmlns:a="http://schemas.openxmlformats.org/drawingml/2006/main">
                        <a:graphicData uri="http://schemas.microsoft.com/office/word/2010/wordprocessingShape">
                          <wps:wsp>
                            <wps:cNvSpPr txBox="1"/>
                            <wps:spPr>
                              <a:xfrm>
                                <a:off x="0" y="0"/>
                                <a:ext cx="1657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895"/>
                      <wp:effectExtent l="0" t="0" r="0" b="0"/>
                      <wp:wrapNone/>
                      <wp:docPr id="343" name="Frame34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800735" cy="175895"/>
                      <wp:effectExtent l="0" t="0" r="0" b="0"/>
                      <wp:wrapNone/>
                      <wp:docPr id="344" name="Frame344"/>
                      <a:graphic xmlns:a="http://schemas.openxmlformats.org/drawingml/2006/main">
                        <a:graphicData uri="http://schemas.microsoft.com/office/word/2010/wordprocessingShape">
                          <wps:wsp>
                            <wps:cNvSpPr txBox="1"/>
                            <wps:spPr>
                              <a:xfrm>
                                <a:off x="0" y="0"/>
                                <a:ext cx="800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895"/>
                      <wp:effectExtent l="0" t="0" r="0" b="0"/>
                      <wp:wrapNone/>
                      <wp:docPr id="345" name="Frame34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5935" cy="175895"/>
                      <wp:effectExtent l="0" t="0" r="0" b="0"/>
                      <wp:wrapNone/>
                      <wp:docPr id="346" name="Frame346"/>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895"/>
                      <wp:effectExtent l="0" t="0" r="0" b="0"/>
                      <wp:wrapNone/>
                      <wp:docPr id="347" name="Frame34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800735" cy="175895"/>
                      <wp:effectExtent l="0" t="0" r="0" b="0"/>
                      <wp:wrapNone/>
                      <wp:docPr id="348" name="Frame348"/>
                      <a:graphic xmlns:a="http://schemas.openxmlformats.org/drawingml/2006/main">
                        <a:graphicData uri="http://schemas.microsoft.com/office/word/2010/wordprocessingShape">
                          <wps:wsp>
                            <wps:cNvSpPr txBox="1"/>
                            <wps:spPr>
                              <a:xfrm>
                                <a:off x="0" y="0"/>
                                <a:ext cx="800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97790" cy="175895"/>
                      <wp:effectExtent l="0" t="0" r="0" b="0"/>
                      <wp:wrapNone/>
                      <wp:docPr id="349" name="Frame349"/>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center"/>
              <w:rPr/>
            </w:pPr>
            <w:r>
              <w:rPr/>
              <w:t>​</w:t>
            </w:r>
          </w:p>
        </w:tc>
        <w:tc>
          <w:tcPr>
            <w:tcW w:w="126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Degree</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Lease</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center"/>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Launch</w:t>
            </w:r>
          </w:p>
        </w:tc>
        <w:tc>
          <w:tcPr>
            <w:tcW w:w="326"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Orbital</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Termination </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8"/>
              </w:rPr>
            </w:pPr>
            <w:r>
              <w:rPr>
                <w:rFonts w:ascii="Times New Roman;Times;serif" w:hAnsi="Times New Roman;Times;serif"/>
                <w:b/>
                <w:sz w:val="18"/>
              </w:rPr>
              <w:t>Satellites</w:t>
            </w:r>
          </w:p>
        </w:tc>
        <w:tc>
          <w:tcPr>
            <w:tcW w:w="326" w:type="dxa"/>
            <w:tcBorders/>
            <w:vAlign w:val="center"/>
          </w:tcPr>
          <w:p>
            <w:pPr>
              <w:pStyle w:val="TableContents"/>
              <w:bidi w:val="0"/>
              <w:spacing w:before="1"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326" w:type="dxa"/>
            <w:tcBorders/>
            <w:vAlign w:val="center"/>
          </w:tcPr>
          <w:p>
            <w:pPr>
              <w:pStyle w:val="TableContents"/>
              <w:bidi w:val="0"/>
              <w:spacing w:before="1"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Location</w:t>
            </w:r>
          </w:p>
        </w:tc>
        <w:tc>
          <w:tcPr>
            <w:tcW w:w="326" w:type="dxa"/>
            <w:tcBorders/>
            <w:vAlign w:val="center"/>
          </w:tcPr>
          <w:p>
            <w:pPr>
              <w:pStyle w:val="TableContents"/>
              <w:bidi w:val="0"/>
              <w:spacing w:before="1"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b/>
                <w:sz w:val="18"/>
              </w:rPr>
            </w:pPr>
            <w:r>
              <w:rPr>
                <w:rFonts w:ascii="Times New Roman;Times;serif" w:hAnsi="Times New Roman;Times;serif"/>
                <w:b/>
                <w:sz w:val="18"/>
              </w:rPr>
              <w:t>Owned:</w:t>
            </w:r>
          </w:p>
        </w:tc>
        <w:tc>
          <w:tcPr>
            <w:tcW w:w="326" w:type="dxa"/>
            <w:tcBorders/>
            <w:shd w:fill="CCEEFF" w:val="clear"/>
            <w:vAlign w:val="center"/>
          </w:tcPr>
          <w:p>
            <w:pPr>
              <w:pStyle w:val="TableContents"/>
              <w:bidi w:val="0"/>
              <w:spacing w:before="1" w:after="1"/>
              <w:ind w:left="0" w:right="0" w:hanging="0"/>
              <w:jc w:val="center"/>
              <w:rPr/>
            </w:pPr>
            <w:r>
              <w:rPr/>
              <w:t>​</w:t>
            </w:r>
          </w:p>
        </w:tc>
        <w:tc>
          <w:tcPr>
            <w:tcW w:w="1261" w:type="dxa"/>
            <w:tcBorders/>
            <w:shd w:fill="CCEEFF" w:val="clear"/>
            <w:vAlign w:val="center"/>
          </w:tcPr>
          <w:p>
            <w:pPr>
              <w:pStyle w:val="TableContents"/>
              <w:bidi w:val="0"/>
              <w:spacing w:before="1" w:after="1"/>
              <w:ind w:left="0" w:right="0" w:hanging="0"/>
              <w:jc w:val="center"/>
              <w:rPr/>
            </w:pPr>
            <w:r>
              <w:rPr/>
              <w:t>​</w:t>
            </w:r>
          </w:p>
        </w:tc>
        <w:tc>
          <w:tcPr>
            <w:tcW w:w="326" w:type="dxa"/>
            <w:tcBorders/>
            <w:shd w:fill="CCEEFF" w:val="clear"/>
            <w:vAlign w:val="center"/>
          </w:tcPr>
          <w:p>
            <w:pPr>
              <w:pStyle w:val="TableContents"/>
              <w:bidi w:val="0"/>
              <w:spacing w:before="1" w:after="1"/>
              <w:ind w:left="0" w:right="0" w:hanging="0"/>
              <w:jc w:val="center"/>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left"/>
              <w:rPr/>
            </w:pPr>
            <w:r>
              <w:rPr/>
              <w:t>​</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w:t>
            </w:r>
          </w:p>
        </w:tc>
        <w:tc>
          <w:tcPr>
            <w:tcW w:w="326" w:type="dxa"/>
            <w:tcBorders/>
            <w:vAlign w:val="center"/>
          </w:tcPr>
          <w:p>
            <w:pPr>
              <w:pStyle w:val="TableContents"/>
              <w:bidi w:val="0"/>
              <w:spacing w:before="1" w:after="1"/>
              <w:ind w:left="0" w:right="0" w:hanging="0"/>
              <w:jc w:val="center"/>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February 2006</w:t>
            </w:r>
          </w:p>
        </w:tc>
        <w:tc>
          <w:tcPr>
            <w:tcW w:w="326"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110</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XI</w:t>
            </w:r>
          </w:p>
        </w:tc>
        <w:tc>
          <w:tcPr>
            <w:tcW w:w="326" w:type="dxa"/>
            <w:tcBorders/>
            <w:shd w:fill="CCEEFF" w:val="clear"/>
            <w:vAlign w:val="center"/>
          </w:tcPr>
          <w:p>
            <w:pPr>
              <w:pStyle w:val="TableContents"/>
              <w:bidi w:val="0"/>
              <w:spacing w:before="1" w:after="1"/>
              <w:ind w:left="0" w:right="0" w:hanging="0"/>
              <w:jc w:val="center"/>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July 2008</w:t>
            </w:r>
          </w:p>
        </w:tc>
        <w:tc>
          <w:tcPr>
            <w:tcW w:w="326" w:type="dxa"/>
            <w:tcBorders/>
            <w:shd w:fill="CCEEFF" w:val="clear"/>
            <w:vAlign w:val="center"/>
          </w:tcPr>
          <w:p>
            <w:pPr>
              <w:pStyle w:val="TableContents"/>
              <w:bidi w:val="0"/>
              <w:spacing w:before="1" w:after="1"/>
              <w:ind w:left="0" w:right="0" w:hanging="0"/>
              <w:jc w:val="center"/>
              <w:rPr/>
            </w:pPr>
            <w:r>
              <w:rPr/>
              <w:t>​</w:t>
            </w:r>
          </w:p>
        </w:tc>
        <w:tc>
          <w:tcPr>
            <w:tcW w:w="78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110</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XIV</w:t>
            </w:r>
          </w:p>
        </w:tc>
        <w:tc>
          <w:tcPr>
            <w:tcW w:w="326" w:type="dxa"/>
            <w:tcBorders/>
            <w:vAlign w:val="center"/>
          </w:tcPr>
          <w:p>
            <w:pPr>
              <w:pStyle w:val="TableContents"/>
              <w:bidi w:val="0"/>
              <w:spacing w:before="1" w:after="1"/>
              <w:ind w:left="0" w:right="0" w:hanging="0"/>
              <w:jc w:val="center"/>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March 2010</w:t>
            </w:r>
          </w:p>
        </w:tc>
        <w:tc>
          <w:tcPr>
            <w:tcW w:w="326"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119</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XV</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July 2010</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61.5</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XVI</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November 2012</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61.5</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XVIII</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June 2016</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61.5</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XXIII</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March 2017</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110</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center"/>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pPr>
            <w:r>
              <w:rPr/>
              <w:t>​</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rFonts w:ascii="Times New Roman;Times;serif" w:hAnsi="Times New Roman;Times;serif"/>
                <w:b/>
                <w:sz w:val="18"/>
              </w:rPr>
            </w:pPr>
            <w:r>
              <w:rPr>
                <w:rFonts w:ascii="Times New Roman;Times;serif" w:hAnsi="Times New Roman;Times;serif"/>
                <w:b/>
                <w:sz w:val="18"/>
              </w:rPr>
              <w:t>Under Construction:</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pPr>
            <w:r>
              <w:rPr/>
              <w:t>​</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EchoStar XXV</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2026</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110</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pPr>
            <w:r>
              <w:rPr/>
              <w:t>​</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b/>
                <w:sz w:val="18"/>
              </w:rPr>
            </w:pPr>
            <w:r>
              <w:rPr>
                <w:rFonts w:ascii="Times New Roman;Times;serif" w:hAnsi="Times New Roman;Times;serif"/>
                <w:b/>
                <w:sz w:val="18"/>
              </w:rPr>
              <w:t>Leased from Other Third-Party:</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center"/>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pPr>
            <w:r>
              <w:rPr/>
              <w:t>​</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Anik F3</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April 2007</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118.7</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April 2025</w:t>
            </w:r>
          </w:p>
        </w:tc>
        <w:tc>
          <w:tcPr>
            <w:tcW w:w="154" w:type="dxa"/>
            <w:tcBorders/>
            <w:vAlign w:val="center"/>
          </w:tcPr>
          <w:p>
            <w:pPr>
              <w:pStyle w:val="TableContents"/>
              <w:bidi w:val="0"/>
              <w:spacing w:before="1" w:after="1"/>
              <w:ind w:left="0" w:right="0" w:hanging="0"/>
              <w:jc w:val="left"/>
              <w:rPr/>
            </w:pPr>
            <w:r>
              <w:rPr/>
              <w:t>​</w:t>
            </w:r>
          </w:p>
        </w:tc>
      </w:tr>
      <w:tr>
        <w:trPr/>
        <w:tc>
          <w:tcPr>
            <w:tcW w:w="2611"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Nimiq 5</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September 2009</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72.7</w:t>
            </w:r>
          </w:p>
        </w:tc>
        <w:tc>
          <w:tcPr>
            <w:tcW w:w="326" w:type="dxa"/>
            <w:tcBorders/>
            <w:shd w:fill="CCEEFF" w:val="clear"/>
            <w:vAlign w:val="center"/>
          </w:tcPr>
          <w:p>
            <w:pPr>
              <w:pStyle w:val="TableContents"/>
              <w:bidi w:val="0"/>
              <w:spacing w:before="1" w:after="1"/>
              <w:ind w:left="0" w:right="0" w:hanging="0"/>
              <w:jc w:val="left"/>
              <w:rPr/>
            </w:pPr>
            <w:r>
              <w:rPr/>
              <w:t>​</w:t>
            </w:r>
          </w:p>
        </w:tc>
        <w:tc>
          <w:tcPr>
            <w:tcW w:w="1261" w:type="dxa"/>
            <w:tcBorders/>
            <w:shd w:fill="CCEEFF" w:val="clear"/>
            <w:vAlign w:val="center"/>
          </w:tcPr>
          <w:p>
            <w:pPr>
              <w:pStyle w:val="TableContents"/>
              <w:bidi w:val="0"/>
              <w:spacing w:before="1" w:after="1"/>
              <w:ind w:left="0" w:right="0" w:hanging="0"/>
              <w:jc w:val="center"/>
              <w:rPr>
                <w:rFonts w:ascii="Times New Roman;Times;serif" w:hAnsi="Times New Roman;Times;serif"/>
                <w:sz w:val="18"/>
              </w:rPr>
            </w:pPr>
            <w:r>
              <w:rPr>
                <w:rFonts w:ascii="Times New Roman;Times;serif" w:hAnsi="Times New Roman;Times;serif"/>
                <w:sz w:val="18"/>
              </w:rPr>
              <w:t>September 2024</w:t>
            </w:r>
          </w:p>
        </w:tc>
        <w:tc>
          <w:tcPr>
            <w:tcW w:w="154" w:type="dxa"/>
            <w:tcBorders/>
            <w:shd w:fill="CCEEFF" w:val="clear"/>
            <w:vAlign w:val="center"/>
          </w:tcPr>
          <w:p>
            <w:pPr>
              <w:pStyle w:val="TableContents"/>
              <w:bidi w:val="0"/>
              <w:spacing w:before="1" w:after="1"/>
              <w:ind w:left="0" w:right="0" w:hanging="0"/>
              <w:jc w:val="left"/>
              <w:rPr/>
            </w:pPr>
            <w:r>
              <w:rPr/>
              <w:t>​</w:t>
            </w:r>
          </w:p>
        </w:tc>
      </w:tr>
      <w:tr>
        <w:trPr/>
        <w:tc>
          <w:tcPr>
            <w:tcW w:w="261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61" w:type="dxa"/>
            <w:tcBorders/>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Satellite Under Construction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EchoStar XXV</w:t>
      </w:r>
      <w:r>
        <w:rPr>
          <w:rFonts w:ascii="Times New Roman;Times;serif" w:hAnsi="Times New Roman;Times;serif"/>
          <w:sz w:val="20"/>
        </w:rPr>
        <w:t>. On March 20, 2023, we entered into a contract with Maxar Space LLC for the construction of 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Satellite Anomalies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generally do not carry commercial launch or in-orbit insurance on any of the satellites that we own and therefore, we will bear the risk associated with any uninsured launch or in-orbit satellite failures.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1297" w:name="Tc_uy-VBm80pEm0d1jN2Oveow_8_5"/>
      <w:bookmarkStart w:id="1298" w:name="Tc_cvWIWAWxU0CMtTWBJKFpwg_8_3"/>
      <w:bookmarkStart w:id="1299" w:name="Tc_VctaH3r_k0ubwuTLDwnchg_8_2"/>
      <w:bookmarkStart w:id="1300" w:name="Tc_5iSMED4aIUyUqKoAY4MPYg_8_0"/>
      <w:bookmarkStart w:id="1301" w:name="Tc_h2Shw5ZiWUOrYzi_B_a-iw_7_3"/>
      <w:bookmarkStart w:id="1302" w:name="Tc_UsBOA3MUw0ul-hW9r1BVTg_7_0"/>
      <w:bookmarkStart w:id="1303" w:name="Tc_16XvotnLoEKpLMto8z7uUw_6_3"/>
      <w:bookmarkStart w:id="1304" w:name="Tc_cjJckkf4jUuvDs0neMkf9g_6_0"/>
      <w:bookmarkStart w:id="1305" w:name="Tc_e_N1c7zThUqfg4hlY-HjRg_5_5"/>
      <w:bookmarkStart w:id="1306" w:name="Tc_lK7MFKaDYkyKyEull3Az8g_5_3"/>
      <w:bookmarkStart w:id="1307" w:name="Tc_GSajO3aFtkCWTw10gwpQKw_5_2"/>
      <w:bookmarkStart w:id="1308" w:name="Tc_urLqdv0gJUWhO5_qUk8I7g_5_0"/>
      <w:bookmarkStart w:id="1309" w:name="Tc_Rju2QSoIy0mO83fcxPxEjw_4_2"/>
      <w:bookmarkStart w:id="1310" w:name="Tc_vAPts-v2xUSU41neFsNSpg_3_5"/>
      <w:bookmarkStart w:id="1311" w:name="Tc_KeEA0s4Ax0yZR6QGiGlizA_3_2"/>
      <w:bookmarkStart w:id="1312" w:name="Tc_p-Zj5KH5ekeC3TKd8-vFnw_2_5"/>
      <w:bookmarkStart w:id="1313" w:name="Tc_aXMKhlI8mkWexNJD7qncrw_2_2"/>
      <w:bookmarkStart w:id="1314" w:name="Tc_rRsPQaQDBU6MbMIbasZrYQ_1_2"/>
      <w:bookmarkStart w:id="1315" w:name="Tc_Xkcn8oRVPkWXqWfOsp7rZw_9_2"/>
      <w:bookmarkStart w:id="1316" w:name="Tc_Viz6ptPOg0ufngdMyA3Y7Q_9_0"/>
      <w:bookmarkStart w:id="1317" w:name="Tc_CQuk0RacnUuzhlwxaRtwHQ_8_0"/>
      <w:bookmarkStart w:id="1318" w:name="Tc_XzJQxfL6tkqRdIyRNmGDuw_7_0"/>
      <w:bookmarkStart w:id="1319" w:name="Tc_jC4rqB11G0GiwNh3frkgJQ_6_0"/>
      <w:bookmarkStart w:id="1320" w:name="Tc_-CXAyxfKaEOxeL2SDX40KA_5_0"/>
      <w:bookmarkStart w:id="1321" w:name="Tc_elaojTvUR0GmFaa5l_7RBg_4_0"/>
      <w:bookmarkStart w:id="1322" w:name="Tc_SrsNlzoRLEmlI8KUw2_I1A_3_2"/>
      <w:bookmarkStart w:id="1323" w:name="Tc_sNmwP0GezEOM5zLa_i7lGw_3_0"/>
      <w:bookmarkStart w:id="1324" w:name="Tc_IkuaaRWsJUqT1JORsUw3og_2_2"/>
      <w:bookmarkStart w:id="1325" w:name="Tc_MdyEhv7RS0aUqPTPPn3NpQ_1_0"/>
      <w:bookmarkStart w:id="1326" w:name="_74ad0a7c_660e_41b1_8414_0ee5f13073d9"/>
      <w:bookmarkStart w:id="1327" w:name="Tc_-jKi1rMq4EyFdtuJGOvYog_10_11"/>
      <w:bookmarkStart w:id="1328" w:name="Tc_wrJZM6JBMEiwxLT-WwReVA_10_8"/>
      <w:bookmarkStart w:id="1329" w:name="Tc_Wz5zVnHmMEKuB6TfWH0Yww_10_5"/>
      <w:bookmarkStart w:id="1330" w:name="Tc_IujaGMg4X0aI_xJqIHbU0A_10_2"/>
      <w:bookmarkStart w:id="1331" w:name="Tc_P9orV8krek-79xAGnvUqRg_10_0"/>
      <w:bookmarkStart w:id="1332" w:name="Tc_2F-ibisJ2UmX-2qzFvJmxw_9_0"/>
      <w:bookmarkStart w:id="1333" w:name="Tc_jRhbwXS-_UGFdwStmoD5LA_8_0"/>
      <w:bookmarkStart w:id="1334" w:name="Tc_K6uEEFqb90OjeALksIrWPQ_7_0"/>
      <w:bookmarkStart w:id="1335" w:name="Tc_2O-wN2F9qEadfZbmzq7ZaA_6_11"/>
      <w:bookmarkStart w:id="1336" w:name="Tc_kQtNQc0g7kqwSlm0nfzajg_6_8"/>
      <w:bookmarkStart w:id="1337" w:name="Tc_Qv3COoMGwkWDF_MKkz7AwA_6_5"/>
      <w:bookmarkStart w:id="1338" w:name="Tc_tdDL2tmaakeBN4mYeNBz5Q_6_2"/>
      <w:bookmarkStart w:id="1339" w:name="Tc_S4LjI27q6k6kd6TLVksDRg_6_0"/>
      <w:bookmarkStart w:id="1340" w:name="Tc_4jQhwpUOGkq4rmFmPOxImg_5_2"/>
      <w:bookmarkStart w:id="1341" w:name="Tc__0J3keBBVkmrLbFdJc0D1w_4_11"/>
      <w:bookmarkStart w:id="1342" w:name="Tc_Qyp9Eh540k6dG1fWD2Qzeg_4_8"/>
      <w:bookmarkStart w:id="1343" w:name="Tc_dlgv4YLlNUCNiBuYyNdHWw_4_5"/>
      <w:bookmarkStart w:id="1344" w:name="Tc_c52QfCHrn0y8ORPDTcrGAg_4_2"/>
      <w:bookmarkStart w:id="1345" w:name="Tc_Bh-ZT31jNk-Nb3Emgb8G2g_3_11"/>
      <w:bookmarkStart w:id="1346" w:name="Tc_CDgtTvNc7kSf_W0U0ZSSHg_3_8"/>
      <w:bookmarkStart w:id="1347" w:name="Tc_6kHywcUdUkqpl1tX1s_x4Q_3_5"/>
      <w:bookmarkStart w:id="1348" w:name="Tc_slX2WTLg70CL4lLdZX5lqQ_3_2"/>
      <w:bookmarkStart w:id="1349" w:name="Tc_eXekrXI0ZkWYvGOKnWhlYA_2_8"/>
      <w:bookmarkStart w:id="1350" w:name="Tc_PuHcKl_D8EqbPr6tnwEzRA_2_2"/>
      <w:bookmarkStart w:id="1351" w:name="Tc_5KpLcHRmBEe7d7vlleox3A_1_2"/>
      <w:bookmarkStart w:id="1352" w:name="_Hlk535330439"/>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Pr>
          <w:rFonts w:ascii="Times New Roman;Times;serif" w:hAnsi="Times New Roman;Times;serif"/>
          <w:b/>
          <w:i/>
          <w:sz w:val="20"/>
        </w:rPr>
        <w:t>Intangible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and 2022, our identifiable intangibles subject to amortization consisted of the following:</w:t>
      </w:r>
    </w:p>
    <w:p>
      <w:pPr>
        <w:pStyle w:val="TextBody"/>
        <w:bidi w:val="0"/>
        <w:spacing w:before="0" w:after="0"/>
        <w:ind w:left="0" w:right="0" w:hanging="0"/>
        <w:jc w:val="left"/>
        <w:rPr/>
      </w:pPr>
      <w:r>
        <w:rPr/>
        <w:t>​</w:t>
      </w:r>
    </w:p>
    <w:tbl>
      <w:tblPr>
        <w:tblW w:w="7350" w:type="dxa"/>
        <w:jc w:val="left"/>
        <w:tblInd w:w="0" w:type="dxa"/>
        <w:tblLayout w:type="fixed"/>
        <w:tblCellMar>
          <w:top w:w="0" w:type="dxa"/>
          <w:left w:w="0" w:type="dxa"/>
          <w:bottom w:w="0" w:type="dxa"/>
          <w:right w:w="0" w:type="dxa"/>
        </w:tblCellMar>
      </w:tblPr>
      <w:tblGrid>
        <w:gridCol w:w="1801"/>
        <w:gridCol w:w="326"/>
        <w:gridCol w:w="199"/>
        <w:gridCol w:w="702"/>
        <w:gridCol w:w="326"/>
        <w:gridCol w:w="233"/>
        <w:gridCol w:w="893"/>
        <w:gridCol w:w="326"/>
        <w:gridCol w:w="199"/>
        <w:gridCol w:w="702"/>
        <w:gridCol w:w="326"/>
        <w:gridCol w:w="233"/>
        <w:gridCol w:w="893"/>
        <w:gridCol w:w="19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143635" cy="175260"/>
                      <wp:effectExtent l="0" t="0" r="0" b="0"/>
                      <wp:wrapNone/>
                      <wp:docPr id="350" name="Frame350"/>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6365" cy="175260"/>
                      <wp:effectExtent l="0" t="0" r="0" b="0"/>
                      <wp:wrapNone/>
                      <wp:docPr id="352" name="Frame352"/>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45770" cy="175260"/>
                      <wp:effectExtent l="0" t="0" r="0" b="0"/>
                      <wp:wrapNone/>
                      <wp:docPr id="353" name="Frame353"/>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7955" cy="175260"/>
                      <wp:effectExtent l="0" t="0" r="0" b="0"/>
                      <wp:wrapNone/>
                      <wp:docPr id="355" name="Frame35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67055" cy="175260"/>
                      <wp:effectExtent l="0" t="0" r="0" b="0"/>
                      <wp:wrapNone/>
                      <wp:docPr id="356" name="Frame35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6365" cy="175260"/>
                      <wp:effectExtent l="0" t="0" r="0" b="0"/>
                      <wp:wrapNone/>
                      <wp:docPr id="358" name="Frame35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45770" cy="175260"/>
                      <wp:effectExtent l="0" t="0" r="0" b="0"/>
                      <wp:wrapNone/>
                      <wp:docPr id="359" name="Frame35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7955" cy="175260"/>
                      <wp:effectExtent l="0" t="0" r="0" b="0"/>
                      <wp:wrapNone/>
                      <wp:docPr id="361" name="Frame36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67055" cy="175260"/>
                      <wp:effectExtent l="0" t="0" r="0" b="0"/>
                      <wp:wrapNone/>
                      <wp:docPr id="362" name="Frame36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21285" cy="175260"/>
                      <wp:effectExtent l="0" t="0" r="0" b="0"/>
                      <wp:wrapNone/>
                      <wp:docPr id="363" name="Frame36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2"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December 31,</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Intangible</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Intangible</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191" w:type="dxa"/>
            <w:tcBorders/>
            <w:vAlign w:val="center"/>
          </w:tcPr>
          <w:p>
            <w:pPr>
              <w:pStyle w:val="TableContents"/>
              <w:bidi w:val="0"/>
              <w:spacing w:before="0" w:after="0"/>
              <w:ind w:left="0" w:right="0" w:hanging="0"/>
              <w:jc w:val="left"/>
              <w:rPr/>
            </w:pPr>
            <w:r>
              <w:rPr/>
              <w:t> </w:t>
            </w:r>
          </w:p>
        </w:tc>
      </w:tr>
      <w:tr>
        <w:trPr/>
        <w:tc>
          <w:tcPr>
            <w:tcW w:w="735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2" w:type="dxa"/>
            <w:gridSpan w:val="11"/>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Technology-based</w:t>
            </w:r>
          </w:p>
        </w:tc>
        <w:tc>
          <w:tcPr>
            <w:tcW w:w="326"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63,766</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(60,590)</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63,545</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135,134</w:t>
            </w:r>
          </w:p>
        </w:tc>
        <w:tc>
          <w:tcPr>
            <w:tcW w:w="32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(71,640)</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135,134</w:t>
            </w:r>
          </w:p>
        </w:tc>
        <w:tc>
          <w:tcPr>
            <w:tcW w:w="32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(61,007)</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Contract-based</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41,500</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(41,500)</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41,500</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Customer relationships </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628,598</w:t>
            </w:r>
          </w:p>
        </w:tc>
        <w:tc>
          <w:tcPr>
            <w:tcW w:w="326" w:type="dxa"/>
            <w:tcBorders/>
            <w:vAlign w:val="center"/>
          </w:tcPr>
          <w:p>
            <w:pPr>
              <w:pStyle w:val="TableContents"/>
              <w:bidi w:val="0"/>
              <w:spacing w:before="0" w:after="0"/>
              <w:ind w:left="0" w:right="0" w:hanging="0"/>
              <w:jc w:val="center"/>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(535,778)</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628,598</w:t>
            </w:r>
          </w:p>
        </w:tc>
        <w:tc>
          <w:tcPr>
            <w:tcW w:w="326" w:type="dxa"/>
            <w:tcBorders/>
            <w:vAlign w:val="center"/>
          </w:tcPr>
          <w:p>
            <w:pPr>
              <w:pStyle w:val="TableContents"/>
              <w:bidi w:val="0"/>
              <w:spacing w:before="0" w:after="0"/>
              <w:ind w:left="0" w:right="0" w:hanging="0"/>
              <w:jc w:val="center"/>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(366,357)</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868,998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(709,508)</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868,777</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These identifiable intangibles are included in “Intangible assets, net” on our Consolidated Balance Sheets. Amortization of these intangible assets is recorded on a straight-line basis over an average finite useful life primarily ranging from approximately </w:t>
      </w:r>
      <w:r>
        <w:rPr>
          <w:rFonts w:ascii="Times New Roman;Times;serif" w:hAnsi="Times New Roman;Times;serif"/>
          <w:b w:val="false"/>
          <w:i w:val="false"/>
          <w:caps w:val="false"/>
          <w:smallCaps w:val="false"/>
          <w:sz w:val="20"/>
        </w:rPr>
        <w:t>two</w:t>
      </w:r>
      <w:r>
        <w:rPr>
          <w:rFonts w:ascii="Times New Roman;Times;serif" w:hAnsi="Times New Roman;Times;serif"/>
          <w:sz w:val="24"/>
        </w:rPr>
        <w:t xml:space="preserve"> </w:t>
      </w:r>
      <w:r>
        <w:rPr>
          <w:rFonts w:ascii="Times New Roman;Times;serif" w:hAnsi="Times New Roman;Times;serif"/>
          <w:sz w:val="20"/>
        </w:rPr>
        <w:t>to 20 years. Amortization was $181</w:t>
      </w:r>
      <w:r>
        <w:rPr>
          <w:rFonts w:ascii="Times New Roman;Times;serif" w:hAnsi="Times New Roman;Times;serif"/>
          <w:sz w:val="24"/>
        </w:rPr>
        <w:t xml:space="preserve"> </w:t>
      </w:r>
      <w:r>
        <w:rPr>
          <w:rFonts w:ascii="Times New Roman;Times;serif" w:hAnsi="Times New Roman;Times;serif"/>
          <w:sz w:val="20"/>
        </w:rPr>
        <w:t>million, $154</w:t>
      </w:r>
      <w:r>
        <w:rPr>
          <w:rFonts w:ascii="Times New Roman;Times;serif" w:hAnsi="Times New Roman;Times;serif"/>
          <w:sz w:val="24"/>
        </w:rPr>
        <w:t xml:space="preserve"> </w:t>
      </w:r>
      <w:r>
        <w:rPr>
          <w:rFonts w:ascii="Times New Roman;Times;serif" w:hAnsi="Times New Roman;Times;serif"/>
          <w:sz w:val="20"/>
        </w:rPr>
        <w:t>million and $164</w:t>
      </w:r>
      <w:r>
        <w:rPr>
          <w:rFonts w:ascii="Times New Roman;Times;serif" w:hAnsi="Times New Roman;Times;serif"/>
          <w:sz w:val="24"/>
        </w:rPr>
        <w:t xml:space="preserve"> </w:t>
      </w:r>
      <w:r>
        <w:rPr>
          <w:rFonts w:ascii="Times New Roman;Times;serif" w:hAnsi="Times New Roman;Times;serif"/>
          <w:sz w:val="20"/>
        </w:rPr>
        <w:t>million for the years ended December 31, 2023, 2022 and 2021,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future amortization of our identifiable intangible assets as of December 31, 2023 is as follows (in thousands):</w:t>
      </w:r>
    </w:p>
    <w:p>
      <w:pPr>
        <w:pStyle w:val="TextBody"/>
        <w:bidi w:val="0"/>
        <w:spacing w:before="0" w:after="0"/>
        <w:ind w:left="0" w:right="0" w:hanging="0"/>
        <w:jc w:val="left"/>
        <w:rPr/>
      </w:pPr>
      <w:r>
        <w:rPr/>
        <w:t>​</w:t>
      </w:r>
    </w:p>
    <w:tbl>
      <w:tblPr>
        <w:tblW w:w="2994" w:type="dxa"/>
        <w:jc w:val="left"/>
        <w:tblInd w:w="0" w:type="dxa"/>
        <w:tblLayout w:type="fixed"/>
        <w:tblCellMar>
          <w:top w:w="0" w:type="dxa"/>
          <w:left w:w="0" w:type="dxa"/>
          <w:bottom w:w="0" w:type="dxa"/>
          <w:right w:w="0" w:type="dxa"/>
        </w:tblCellMar>
      </w:tblPr>
      <w:tblGrid>
        <w:gridCol w:w="1148"/>
        <w:gridCol w:w="445"/>
        <w:gridCol w:w="267"/>
        <w:gridCol w:w="943"/>
        <w:gridCol w:w="191"/>
      </w:tblGrid>
      <w:tr>
        <w:trPr/>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28980" cy="175260"/>
                      <wp:effectExtent l="0" t="0" r="0" b="0"/>
                      <wp:wrapNone/>
                      <wp:docPr id="364" name="Frame364"/>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82575" cy="175260"/>
                      <wp:effectExtent l="0" t="0" r="0" b="0"/>
                      <wp:wrapNone/>
                      <wp:docPr id="365" name="Frame365"/>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69545" cy="175260"/>
                      <wp:effectExtent l="0" t="0" r="0" b="0"/>
                      <wp:wrapNone/>
                      <wp:docPr id="366" name="Frame36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98805" cy="175260"/>
                      <wp:effectExtent l="0" t="0" r="0" b="0"/>
                      <wp:wrapNone/>
                      <wp:docPr id="367" name="Frame367"/>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1285" cy="175260"/>
                      <wp:effectExtent l="0" t="0" r="0" b="0"/>
                      <wp:wrapNone/>
                      <wp:docPr id="368" name="Frame36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3" w:type="dxa"/>
            <w:gridSpan w:val="4"/>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Years Ended December 31,</w:t>
            </w:r>
          </w:p>
        </w:tc>
        <w:tc>
          <w:tcPr>
            <w:tcW w:w="191" w:type="dxa"/>
            <w:tcBorders/>
            <w:vAlign w:val="center"/>
          </w:tcPr>
          <w:p>
            <w:pPr>
              <w:pStyle w:val="TableContents"/>
              <w:bidi w:val="0"/>
              <w:spacing w:before="0" w:after="0"/>
              <w:ind w:left="0" w:right="0" w:hanging="0"/>
              <w:jc w:val="left"/>
              <w:rPr/>
            </w:pPr>
            <w:r>
              <w:rPr/>
              <w:t> </w:t>
            </w:r>
          </w:p>
        </w:tc>
      </w:tr>
      <w:tr>
        <w:trPr/>
        <w:tc>
          <w:tcPr>
            <w:tcW w:w="1148"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210"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w:t>
            </w:r>
          </w:p>
        </w:tc>
        <w:tc>
          <w:tcPr>
            <w:tcW w:w="445"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95,641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2025</w:t>
            </w:r>
          </w:p>
        </w:tc>
        <w:tc>
          <w:tcPr>
            <w:tcW w:w="445"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13,534</w:t>
            </w:r>
          </w:p>
        </w:tc>
        <w:tc>
          <w:tcPr>
            <w:tcW w:w="191" w:type="dxa"/>
            <w:tcBorders/>
            <w:vAlign w:val="center"/>
          </w:tcPr>
          <w:p>
            <w:pPr>
              <w:pStyle w:val="TableContents"/>
              <w:bidi w:val="0"/>
              <w:spacing w:before="0" w:after="0"/>
              <w:ind w:left="0" w:right="0" w:hanging="0"/>
              <w:jc w:val="left"/>
              <w:rPr/>
            </w:pPr>
            <w:r>
              <w:rPr/>
              <w:t>​</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445"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11,838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445"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11,355</w:t>
            </w:r>
          </w:p>
        </w:tc>
        <w:tc>
          <w:tcPr>
            <w:tcW w:w="191" w:type="dxa"/>
            <w:tcBorders/>
            <w:vAlign w:val="center"/>
          </w:tcPr>
          <w:p>
            <w:pPr>
              <w:pStyle w:val="TableContents"/>
              <w:bidi w:val="0"/>
              <w:spacing w:before="0" w:after="0"/>
              <w:ind w:left="0" w:right="0" w:hanging="0"/>
              <w:jc w:val="left"/>
              <w:rPr/>
            </w:pPr>
            <w:r>
              <w:rPr/>
              <w:t>​</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445"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445"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16,029</w:t>
            </w:r>
          </w:p>
        </w:tc>
        <w:tc>
          <w:tcPr>
            <w:tcW w:w="191" w:type="dxa"/>
            <w:tcBorders/>
            <w:vAlign w:val="center"/>
          </w:tcPr>
          <w:p>
            <w:pPr>
              <w:pStyle w:val="TableContents"/>
              <w:bidi w:val="0"/>
              <w:spacing w:before="0" w:after="0"/>
              <w:ind w:left="0" w:right="0" w:hanging="0"/>
              <w:jc w:val="left"/>
              <w:rPr/>
            </w:pPr>
            <w:r>
              <w:rPr/>
              <w:t>​</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445"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159,269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148"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2023 we recorded a noncash impairment charge for goodwill of $225 million in “Impairment of long-lived assets and goodwill” on our Consolidated Statements of Operations and Comprehensive Income (Loss). See Note 2 for further information. The non-recurring measurement of fair value of goodwill is classified as Level 3 in the fair value hierarchy.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and 2022, our goodwill consisted of the following:</w:t>
      </w:r>
    </w:p>
    <w:p>
      <w:pPr>
        <w:pStyle w:val="TextBody"/>
        <w:bidi w:val="0"/>
        <w:spacing w:before="0" w:after="0"/>
        <w:ind w:left="0" w:right="0" w:hanging="0"/>
        <w:jc w:val="left"/>
        <w:rPr/>
      </w:pPr>
      <w:r>
        <w:rPr/>
        <w:t>​</w:t>
      </w:r>
    </w:p>
    <w:tbl>
      <w:tblPr>
        <w:tblW w:w="5149" w:type="dxa"/>
        <w:jc w:val="left"/>
        <w:tblInd w:w="0" w:type="dxa"/>
        <w:tblLayout w:type="fixed"/>
        <w:tblCellMar>
          <w:top w:w="0" w:type="dxa"/>
          <w:left w:w="0" w:type="dxa"/>
          <w:bottom w:w="0" w:type="dxa"/>
          <w:right w:w="0" w:type="dxa"/>
        </w:tblCellMar>
      </w:tblPr>
      <w:tblGrid>
        <w:gridCol w:w="1936"/>
        <w:gridCol w:w="326"/>
        <w:gridCol w:w="428"/>
        <w:gridCol w:w="757"/>
        <w:gridCol w:w="326"/>
        <w:gridCol w:w="261"/>
        <w:gridCol w:w="924"/>
        <w:gridCol w:w="19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229360" cy="175260"/>
                      <wp:effectExtent l="0" t="0" r="0" b="0"/>
                      <wp:wrapNone/>
                      <wp:docPr id="369" name="Frame369"/>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71780" cy="175260"/>
                      <wp:effectExtent l="0" t="0" r="0" b="0"/>
                      <wp:wrapNone/>
                      <wp:docPr id="371" name="Frame371"/>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80695" cy="175260"/>
                      <wp:effectExtent l="0" t="0" r="0" b="0"/>
                      <wp:wrapNone/>
                      <wp:docPr id="372" name="Frame37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65735" cy="175260"/>
                      <wp:effectExtent l="0" t="0" r="0" b="0"/>
                      <wp:wrapNone/>
                      <wp:docPr id="374" name="Frame37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86740" cy="175260"/>
                      <wp:effectExtent l="0" t="0" r="0" b="0"/>
                      <wp:wrapNone/>
                      <wp:docPr id="375" name="Frame375"/>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1285" cy="175260"/>
                      <wp:effectExtent l="0" t="0" r="0" b="0"/>
                      <wp:wrapNone/>
                      <wp:docPr id="376" name="Frame37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w:t>
            </w:r>
          </w:p>
        </w:tc>
        <w:tc>
          <w:tcPr>
            <w:tcW w:w="191"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5149"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Wireless</w:t>
            </w:r>
          </w:p>
        </w:tc>
        <w:tc>
          <w:tcPr>
            <w:tcW w:w="32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98,657</w:t>
            </w:r>
          </w:p>
        </w:tc>
        <w:tc>
          <w:tcPr>
            <w:tcW w:w="191" w:type="dxa"/>
            <w:tcBorders/>
            <w:vAlign w:val="center"/>
          </w:tcPr>
          <w:p>
            <w:pPr>
              <w:pStyle w:val="TableContents"/>
              <w:bidi w:val="0"/>
              <w:spacing w:before="0" w:after="0"/>
              <w:ind w:left="0" w:right="0" w:hanging="0"/>
              <w:jc w:val="left"/>
              <w:rPr/>
            </w:pPr>
            <w:r>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goodwill</w:t>
            </w:r>
          </w:p>
        </w:tc>
        <w:tc>
          <w:tcPr>
            <w:tcW w:w="326"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225,017</w:t>
            </w:r>
          </w:p>
        </w:tc>
        <w:tc>
          <w:tcPr>
            <w:tcW w:w="191"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1353" w:name="Tc_WakNRqRWmkWvB4j1ou4gCg_24_5"/>
      <w:bookmarkStart w:id="1354" w:name="Tc_KBLB9XPdrE6S5hgQpM4hVw_24_2"/>
      <w:bookmarkStart w:id="1355" w:name="Tc_RSZ_8q-99EWYY9mQeR3rxg_24_0"/>
      <w:bookmarkStart w:id="1356" w:name="Tc_6_2KEEnTAk63fRnkquwvTg_23_0"/>
      <w:bookmarkStart w:id="1357" w:name="Tc_nUtR9UqOUE-qqo46YjY6vA_21_0"/>
      <w:bookmarkStart w:id="1358" w:name="Tc_yZAydyxT-kOhufZGwz_DZw_20_0"/>
      <w:bookmarkStart w:id="1359" w:name="Tc_zXqQvZfCzk-NbfzL7d3wZw_19_0"/>
      <w:bookmarkStart w:id="1360" w:name="Tc__LSQdxAquk61MkerJG_N6Q_18_0"/>
      <w:bookmarkStart w:id="1361" w:name="Tc_5i3JK6YYHUeb_YfArbaHvw_17_6"/>
      <w:bookmarkStart w:id="1362" w:name="Tc_j9t4gsAA8EihJ-SSbxdJiA_17_0"/>
      <w:bookmarkStart w:id="1363" w:name="Tc_KJUC9T2Z_kC78_4pK_9PsQ_16_0"/>
      <w:bookmarkStart w:id="1364" w:name="Tc_zXPb1A6Nh06YRxd4RshYqQ_15_0"/>
      <w:bookmarkStart w:id="1365" w:name="Tc_dcsAMOgmnE-n1er7aIuvdQ_14_0"/>
      <w:bookmarkStart w:id="1366" w:name="Tc_Pxw260sr-kir8Wb8AvFJrw_13_0"/>
      <w:bookmarkStart w:id="1367" w:name="Tc_SD8W30Yb6U6kSDeaXJkvYA_12_0"/>
      <w:bookmarkStart w:id="1368" w:name="Tc_as5Wmof9tk2ZPHsd1s_hZg_11_0"/>
      <w:bookmarkStart w:id="1369" w:name="Tc_1Zr5G3pcqUCORyZjo6Xsew_10_0"/>
      <w:bookmarkStart w:id="1370" w:name="Tc_rNNWI_Cs6ku449ETKBzsBA_9_0"/>
      <w:bookmarkStart w:id="1371" w:name="Tc_-zSeiW9hk0i-7i6eisX90w_8_0"/>
      <w:bookmarkStart w:id="1372" w:name="Tc_F0gq83zO9UuUeaCBFoNPXA_7_0"/>
      <w:bookmarkStart w:id="1373" w:name="Tc_ao4gdP50bEGRa0E3YkIISQ_6_0"/>
      <w:bookmarkStart w:id="1374" w:name="Tc_WKlDgPEam0i09BEqojNTdg_5_5"/>
      <w:bookmarkStart w:id="1375" w:name="Tc_Zv4jUO3C6UeZBEta9vmGpw_5_2"/>
      <w:bookmarkStart w:id="1376" w:name="Tc_YUM9MbzfXkukVbGLYQBVkQ_5_0"/>
      <w:bookmarkStart w:id="1377" w:name="Tc_8l6yZNSy_E6ydDXeXoFJNg_4_0"/>
      <w:bookmarkStart w:id="1378" w:name="Tc_ZFbiLlyvk0S65FeETbfE2A_3_2"/>
      <w:bookmarkStart w:id="1379" w:name="Tc_1PZc8o8w_EWAhsNAhHb3RA_2_5"/>
      <w:bookmarkStart w:id="1380" w:name="Tc_DiGj1-ftC0WBLQ4RH80JWA_2_2"/>
      <w:bookmarkStart w:id="1381" w:name="Tc_2DC8AKoBm0OxE0cNVt1_TQ_1_2"/>
      <w:bookmarkStart w:id="1382" w:name="_5605387a_8fd3_4edf_a541_2cf74edd169b"/>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r>
        <w:rPr>
          <w:rFonts w:ascii="Times New Roman;Times;serif" w:hAnsi="Times New Roman;Times;serif"/>
          <w:i/>
          <w:sz w:val="20"/>
        </w:rPr>
        <w:t>Regulatory Authorizations – Pay-TV and 5G Network Deployment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December 31, 2023 and 2022, our Regulatory Authorizations with indefinite lives consisted of the following: </w:t>
      </w:r>
    </w:p>
    <w:p>
      <w:pPr>
        <w:pStyle w:val="TextBody"/>
        <w:bidi w:val="0"/>
        <w:spacing w:before="0" w:after="0"/>
        <w:ind w:left="0" w:right="0" w:hanging="0"/>
        <w:jc w:val="left"/>
        <w:rPr/>
      </w:pPr>
      <w:r>
        <w:rPr/>
        <w:t>​</w:t>
      </w:r>
    </w:p>
    <w:tbl>
      <w:tblPr>
        <w:tblW w:w="7141" w:type="dxa"/>
        <w:jc w:val="left"/>
        <w:tblInd w:w="0" w:type="dxa"/>
        <w:tblLayout w:type="fixed"/>
        <w:tblCellMar>
          <w:top w:w="0" w:type="dxa"/>
          <w:left w:w="0" w:type="dxa"/>
          <w:bottom w:w="0" w:type="dxa"/>
          <w:right w:w="0" w:type="dxa"/>
        </w:tblCellMar>
      </w:tblPr>
      <w:tblGrid>
        <w:gridCol w:w="4111"/>
        <w:gridCol w:w="326"/>
        <w:gridCol w:w="196"/>
        <w:gridCol w:w="916"/>
        <w:gridCol w:w="326"/>
        <w:gridCol w:w="196"/>
        <w:gridCol w:w="916"/>
        <w:gridCol w:w="15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610485" cy="175260"/>
                      <wp:effectExtent l="0" t="0" r="0" b="0"/>
                      <wp:wrapNone/>
                      <wp:docPr id="377" name="Frame377"/>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24460" cy="175260"/>
                      <wp:effectExtent l="0" t="0" r="0" b="0"/>
                      <wp:wrapNone/>
                      <wp:docPr id="379" name="Frame3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81660" cy="175260"/>
                      <wp:effectExtent l="0" t="0" r="0" b="0"/>
                      <wp:wrapNone/>
                      <wp:docPr id="380" name="Frame38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24460" cy="175260"/>
                      <wp:effectExtent l="0" t="0" r="0" b="0"/>
                      <wp:wrapNone/>
                      <wp:docPr id="382" name="Frame3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81660" cy="175260"/>
                      <wp:effectExtent l="0" t="0" r="0" b="0"/>
                      <wp:wrapNone/>
                      <wp:docPr id="383" name="Frame38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97790" cy="175260"/>
                      <wp:effectExtent l="0" t="0" r="0" b="0"/>
                      <wp:wrapNone/>
                      <wp:docPr id="384" name="Frame3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714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DBS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677,409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677,409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700 MHz Licenses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711,871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711,871</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AWS-4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 Block Licenses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1,671,506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1,671,506</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 MHz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6,213,335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6,212,579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MVDDS Licenses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24,000</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28 GHz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24 GHz Licenses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11,772</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37 GHz, 39 GHz &amp; 47 GHz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3550-3650 MHz Licenses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912,939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912,939</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3.7-3.98 GHz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3.45-3.55 GHz Licenses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7,327,989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7,327,989</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1695-1710 MHz, 1755-1780 MHz, and 2155-2180 MHz</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AWS-3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5,618,930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5,618,930</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Subtotal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25,319,108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25,317,099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Noncontrolling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SNR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4,271,459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Interest (1)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8,523,682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7,344,515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38,114,249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36,933,073</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tbl>
      <w:tblPr>
        <w:tblW w:w="3381" w:type="dxa"/>
        <w:jc w:val="left"/>
        <w:tblInd w:w="0" w:type="dxa"/>
        <w:tblLayout w:type="fixed"/>
        <w:tblCellMar>
          <w:top w:w="28" w:type="dxa"/>
          <w:left w:w="28" w:type="dxa"/>
          <w:bottom w:w="28" w:type="dxa"/>
          <w:right w:w="28" w:type="dxa"/>
        </w:tblCellMar>
      </w:tblPr>
      <w:tblGrid>
        <w:gridCol w:w="124"/>
        <w:gridCol w:w="331"/>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for further information.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Lessee Accounting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We enter into non-cancelable operating and finance leases for, among other things, communication towers, satellites, office space, dark fiber and transport equipment, warehouses and distribution centers, vehicles and other equipment. Substantially all of our leases have remaining lease terms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0"/>
        </w:rPr>
        <w:t>to</w:t>
      </w:r>
      <w:r>
        <w:rPr>
          <w:rFonts w:ascii="Times New Roman;Times;serif" w:hAnsi="Times New Roman;Times;serif"/>
          <w:sz w:val="24"/>
        </w:rPr>
        <w:t xml:space="preserve"> </w:t>
      </w:r>
      <w:r>
        <w:rPr>
          <w:rFonts w:ascii="Times New Roman;Times;serif" w:hAnsi="Times New Roman;Times;serif"/>
          <w:sz w:val="20"/>
        </w:rPr>
        <w:t xml:space="preserve">13 years, </w:t>
      </w:r>
      <w:r>
        <w:rPr>
          <w:rFonts w:ascii="Times New Roman;Times;serif" w:hAnsi="Times New Roman;Times;serif"/>
          <w:b w:val="false"/>
          <w:i w:val="false"/>
          <w:caps w:val="false"/>
          <w:smallCaps w:val="false"/>
          <w:sz w:val="20"/>
        </w:rPr>
        <w:t>some</w:t>
      </w:r>
      <w:r>
        <w:rPr>
          <w:rFonts w:ascii="Times New Roman;Times;serif" w:hAnsi="Times New Roman;Times;serif"/>
          <w:sz w:val="24"/>
        </w:rPr>
        <w:t xml:space="preserve"> </w:t>
      </w:r>
      <w:r>
        <w:rPr>
          <w:rFonts w:ascii="Times New Roman;Times;serif" w:hAnsi="Times New Roman;Times;serif"/>
          <w:sz w:val="20"/>
        </w:rPr>
        <w:t>of which include renewal</w:t>
      </w:r>
      <w:r>
        <w:rPr>
          <w:rFonts w:ascii="Times New Roman;Times;serif" w:hAnsi="Times New Roman;Times;serif"/>
          <w:sz w:val="24"/>
        </w:rPr>
        <w:t xml:space="preserve"> </w:t>
      </w:r>
      <w:r>
        <w:rPr>
          <w:rFonts w:ascii="Times New Roman;Times;serif" w:hAnsi="Times New Roman;Times;serif"/>
          <w:sz w:val="20"/>
        </w:rPr>
        <w:t>options, and some of which include options to terminate</w:t>
      </w:r>
      <w:r>
        <w:rPr>
          <w:rFonts w:ascii="Times New Roman;Times;serif" w:hAnsi="Times New Roman;Times;serif"/>
          <w:sz w:val="24"/>
        </w:rPr>
        <w:t xml:space="preserve"> </w:t>
      </w:r>
      <w:r>
        <w:rPr>
          <w:rFonts w:ascii="Times New Roman;Times;serif" w:hAnsi="Times New Roman;Times;serif"/>
          <w:sz w:val="20"/>
        </w:rPr>
        <w:t>the</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0"/>
        </w:rPr>
        <w:t>leases</w:t>
      </w:r>
      <w:r>
        <w:rPr>
          <w:rFonts w:ascii="Times New Roman;Times;serif" w:hAnsi="Times New Roman;Times;serif"/>
          <w:sz w:val="24"/>
        </w:rPr>
        <w:t xml:space="preserve"> </w:t>
      </w:r>
      <w:r>
        <w:rPr>
          <w:rFonts w:ascii="Times New Roman;Times;serif" w:hAnsi="Times New Roman;Times;serif"/>
          <w:sz w:val="20"/>
        </w:rPr>
        <w:t>within one year. For certain arrangements (generally communication towers), the lease term includes the non-cancelable period plus the renewal period that we are reasonably certain to exercise.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 the first quarter of 2022, our Anik F3 and Nimiq 5 satellites were accounted for as finance leases within our Pay-TV segment. However, during April 2022, we extended the Anik F3 lease and as a result it is currently accounted for as an operating lease. Substantially all of our remaining leases are accounted for as operating leases.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383" w:name="Tc_CRIqmCE410GMMozLe2iv2w_11_9"/>
      <w:bookmarkStart w:id="1384" w:name="Tc_heLR-Bbrxke09Mtb5_SlIQ_11_8"/>
      <w:bookmarkStart w:id="1385" w:name="Tc_mXXyLxGPGkuHnE_rrsyy1g_11_5"/>
      <w:bookmarkStart w:id="1386" w:name="Tc_hj2Immn0nECVNY5zpFbhTw_11_2"/>
      <w:bookmarkStart w:id="1387" w:name="Tc_S91-KkLbbk-a47OL7Z-OvQ_11_0"/>
      <w:bookmarkStart w:id="1388" w:name="Tc_cNABMe5dZ0KCmFpZC9R49Q_10_8"/>
      <w:bookmarkStart w:id="1389" w:name="Tc_CLCYU5WctECrNyKatO9PFQ_10_5"/>
      <w:bookmarkStart w:id="1390" w:name="Tc_s4Yh74Ev6UOphJ-smqA5IQ_10_2"/>
      <w:bookmarkStart w:id="1391" w:name="Tc_admKtQMvU0ugAvd99WnJeA_10_0"/>
      <w:bookmarkStart w:id="1392" w:name="Tc_6XlWS-zOC0y7DjeFYtwJaw_9_0"/>
      <w:bookmarkStart w:id="1393" w:name="Tc_eLNaEZCTek-iMj-SyS3BuA_7_8"/>
      <w:bookmarkStart w:id="1394" w:name="Tc_WmSUZiYt4U6ncPtHQhhMng_7_5"/>
      <w:bookmarkStart w:id="1395" w:name="Tc_D4BQZjZ0nUCoIpyxFb2HvQ_7_2"/>
      <w:bookmarkStart w:id="1396" w:name="Tc_zd693iosyka3JEDxZdyFPQ_7_0"/>
      <w:bookmarkStart w:id="1397" w:name="Tc_CrIQsuY4KkSnshDF7yh8TA_6_8"/>
      <w:bookmarkStart w:id="1398" w:name="Tc_vDOUnu091UmrX2DpVnQF9A_6_5"/>
      <w:bookmarkStart w:id="1399" w:name="Tc_CKsPdI_eS0GAqGuaVWCCiw_6_2"/>
      <w:bookmarkStart w:id="1400" w:name="Tc_AYF3Z_TAwkWKPxV0US5N_Q_6_0"/>
      <w:bookmarkStart w:id="1401" w:name="Tc_r2_hDtic80CpzzJZed6dkA_5_8"/>
      <w:bookmarkStart w:id="1402" w:name="Tc_Q2ApQu8F1ESnimR34k4n1Q_5_5"/>
      <w:bookmarkStart w:id="1403" w:name="Tc_H1z3i-daxUqFPu0lKzHa2w_5_2"/>
      <w:bookmarkStart w:id="1404" w:name="Tc_hINOu0HrIkyoBDoBkwPh6g_5_0"/>
      <w:bookmarkStart w:id="1405" w:name="Tc_9hCMQPUdeEOlUZtF66p3IQ_4_0"/>
      <w:bookmarkStart w:id="1406" w:name="Tc_FNi9IXHckkaJsTz-Ld1caA_3_2"/>
      <w:bookmarkStart w:id="1407" w:name="Tc_iUJKb8rfJUm2vZ6kydwc_w_2_8"/>
      <w:bookmarkStart w:id="1408" w:name="Tc_hD8JtIL5ZEyb43pII3EvLg_2_5"/>
      <w:bookmarkStart w:id="1409" w:name="Tc_olc3I7u770iWqBmyQ_UJFQ_2_2"/>
      <w:bookmarkStart w:id="1410" w:name="Tc_S70CG2CT3UWrPNYkXV19fA_1_2"/>
      <w:bookmarkStart w:id="1411" w:name="Tc_sdHuefnKYUisD4bKvIkwcw_12_6"/>
      <w:bookmarkStart w:id="1412" w:name="Tc_mmflWwdcok-EYy_ssKmYXg_12_4"/>
      <w:bookmarkStart w:id="1413" w:name="Tc_ieNOxfwnokKUbaCaDq1ohw_12_2"/>
      <w:bookmarkStart w:id="1414" w:name="Tc_ianrdbo8dUGSg8KL-CAd6A_12_0"/>
      <w:bookmarkStart w:id="1415" w:name="Tc_76gMxDOXEEqkFeoeDjRFOg_11_0"/>
      <w:bookmarkStart w:id="1416" w:name="Tc_qiOSP6GNQEiUyEe1yIiP2Q_10_0"/>
      <w:bookmarkStart w:id="1417" w:name="Tc_jNQjWPIEyUaTwbLczr4LFw_9_0"/>
      <w:bookmarkStart w:id="1418" w:name="Tc_paK25wPLzE60597ANOeJPw_8_0"/>
      <w:bookmarkStart w:id="1419" w:name="Tc_G2xGF_Oly0uWjrdqKDkWtQ_6_0"/>
      <w:bookmarkStart w:id="1420" w:name="Tc_2lZRfYv4u0qj7PRu8KrpNQ_4_6"/>
      <w:bookmarkStart w:id="1421" w:name="Tc_xmYNVTbgnk25JUzTX7k2Hw_4_4"/>
      <w:bookmarkStart w:id="1422" w:name="Tc_861vXD6R10upxzEXHhNO5Q_4_2"/>
      <w:bookmarkStart w:id="1423" w:name="Tc_jKzLvZGNPUS3ndTU09oiqQ_4_0"/>
      <w:bookmarkStart w:id="1424" w:name="Tc_asUgpYePv0axWtccWzS0dA_3_2"/>
      <w:bookmarkStart w:id="1425" w:name="Tc_35HpNe9CMU6UWIUu3jdtCA_2_6"/>
      <w:bookmarkStart w:id="1426" w:name="Tc_eAG96T6h40S8U5bJQyfw6Q_2_4"/>
      <w:bookmarkStart w:id="1427" w:name="Tc_WspW3v4AjUuJEVDIaVRjpw_2_2"/>
      <w:bookmarkStart w:id="1428" w:name="Tc_RFb4A9_syEGeb9Se3Rkkog_1_2"/>
      <w:bookmarkStart w:id="1429" w:name="_6a67daa8_0044_45a8_9819_c72b1f189ee8"/>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rFonts w:ascii="Times New Roman;Times;serif" w:hAnsi="Times New Roman;Times;serif"/>
          <w:sz w:val="20"/>
        </w:rPr>
        <w:t xml:space="preserve">The components of lease expense were as follows: </w:t>
      </w:r>
    </w:p>
    <w:p>
      <w:pPr>
        <w:pStyle w:val="TextBody"/>
        <w:bidi w:val="0"/>
        <w:spacing w:before="0" w:after="0"/>
        <w:ind w:left="0" w:right="0" w:hanging="0"/>
        <w:jc w:val="left"/>
        <w:rPr/>
      </w:pPr>
      <w:r>
        <w:rPr/>
        <w:t>​</w:t>
      </w:r>
    </w:p>
    <w:tbl>
      <w:tblPr>
        <w:tblW w:w="5808" w:type="dxa"/>
        <w:jc w:val="left"/>
        <w:tblInd w:w="0" w:type="dxa"/>
        <w:tblLayout w:type="fixed"/>
        <w:tblCellMar>
          <w:top w:w="0" w:type="dxa"/>
          <w:left w:w="0" w:type="dxa"/>
          <w:bottom w:w="0" w:type="dxa"/>
          <w:right w:w="0" w:type="dxa"/>
        </w:tblCellMar>
      </w:tblPr>
      <w:tblGrid>
        <w:gridCol w:w="2776"/>
        <w:gridCol w:w="326"/>
        <w:gridCol w:w="196"/>
        <w:gridCol w:w="691"/>
        <w:gridCol w:w="196"/>
        <w:gridCol w:w="691"/>
        <w:gridCol w:w="196"/>
        <w:gridCol w:w="73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762760" cy="175260"/>
                      <wp:effectExtent l="0" t="0" r="0" b="0"/>
                      <wp:wrapNone/>
                      <wp:docPr id="385" name="Frame38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24460" cy="175260"/>
                      <wp:effectExtent l="0" t="0" r="0" b="0"/>
                      <wp:wrapNone/>
                      <wp:docPr id="387" name="Frame3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38785" cy="175260"/>
                      <wp:effectExtent l="0" t="0" r="0" b="0"/>
                      <wp:wrapNone/>
                      <wp:docPr id="388" name="Frame3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24460" cy="175260"/>
                      <wp:effectExtent l="0" t="0" r="0" b="0"/>
                      <wp:wrapNone/>
                      <wp:docPr id="389" name="Frame3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38785" cy="175260"/>
                      <wp:effectExtent l="0" t="0" r="0" b="0"/>
                      <wp:wrapNone/>
                      <wp:docPr id="390" name="Frame3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24460" cy="175260"/>
                      <wp:effectExtent l="0" t="0" r="0" b="0"/>
                      <wp:wrapNone/>
                      <wp:docPr id="391" name="Frame3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67360" cy="175260"/>
                      <wp:effectExtent l="0" t="0" r="0" b="0"/>
                      <wp:wrapNone/>
                      <wp:docPr id="392" name="Frame39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6" w:type="dxa"/>
            <w:gridSpan w:val="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cost (1)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516,920</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332,385</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89,565</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lease cost (2)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10,521</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13,328</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12,956</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right-of-use assets (3)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66,966</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28,037</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65,967</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on lease liabilities (3)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14,090</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12,145</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14,693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finance lease cost (3)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81,056</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40,182</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80,660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608,497</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385,895</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183,181</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bl>
    <w:tbl>
      <w:tblPr>
        <w:tblW w:w="7547" w:type="dxa"/>
        <w:jc w:val="left"/>
        <w:tblInd w:w="0" w:type="dxa"/>
        <w:tblLayout w:type="fixed"/>
        <w:tblCellMar>
          <w:top w:w="0" w:type="dxa"/>
          <w:left w:w="0" w:type="dxa"/>
          <w:bottom w:w="0" w:type="dxa"/>
          <w:right w:w="0" w:type="dxa"/>
        </w:tblCellMar>
      </w:tblPr>
      <w:tblGrid>
        <w:gridCol w:w="346"/>
        <w:gridCol w:w="72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operating lease cost is primarily related to communication tower leases.</w:t>
            </w:r>
          </w:p>
        </w:tc>
      </w:tr>
    </w:tbl>
    <w:tbl>
      <w:tblPr>
        <w:tblW w:w="4022" w:type="dxa"/>
        <w:jc w:val="left"/>
        <w:tblInd w:w="0" w:type="dxa"/>
        <w:tblLayout w:type="fixed"/>
        <w:tblCellMar>
          <w:top w:w="0" w:type="dxa"/>
          <w:left w:w="0" w:type="dxa"/>
          <w:bottom w:w="0" w:type="dxa"/>
          <w:right w:w="0" w:type="dxa"/>
        </w:tblCellMar>
      </w:tblPr>
      <w:tblGrid>
        <w:gridCol w:w="346"/>
        <w:gridCol w:w="36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that have terms of 12 months or less.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decrease in finance lease cost for the year ended December 31, 2022 is primarily related to the QuetzSat-1 finance lease, which expired in November 2021, as well as the Anik F3 finance lease that was extended in April 2022 and as a result is currently accounted for as an operating lease. The increase in finance lease cost for the year ended December 31, 2023 is primarily related to equipment for our 5G Network Deployment.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Supplemental cash flow information related to leases was as follows: </w:t>
      </w:r>
    </w:p>
    <w:p>
      <w:pPr>
        <w:pStyle w:val="TextBody"/>
        <w:bidi w:val="0"/>
        <w:spacing w:before="0" w:after="0"/>
        <w:ind w:left="0" w:right="0" w:hanging="0"/>
        <w:jc w:val="left"/>
        <w:rPr/>
      </w:pPr>
      <w:r>
        <w:rPr/>
        <w:t>​</w:t>
      </w:r>
    </w:p>
    <w:tbl>
      <w:tblPr>
        <w:tblW w:w="8715" w:type="dxa"/>
        <w:jc w:val="left"/>
        <w:tblInd w:w="0" w:type="dxa"/>
        <w:tblLayout w:type="fixed"/>
        <w:tblCellMar>
          <w:top w:w="0" w:type="dxa"/>
          <w:left w:w="0" w:type="dxa"/>
          <w:bottom w:w="0" w:type="dxa"/>
          <w:right w:w="0" w:type="dxa"/>
        </w:tblCellMar>
      </w:tblPr>
      <w:tblGrid>
        <w:gridCol w:w="5086"/>
        <w:gridCol w:w="326"/>
        <w:gridCol w:w="196"/>
        <w:gridCol w:w="691"/>
        <w:gridCol w:w="109"/>
        <w:gridCol w:w="196"/>
        <w:gridCol w:w="826"/>
        <w:gridCol w:w="109"/>
        <w:gridCol w:w="196"/>
        <w:gridCol w:w="826"/>
        <w:gridCol w:w="154"/>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229610" cy="175260"/>
                      <wp:effectExtent l="0" t="0" r="0" b="0"/>
                      <wp:wrapNone/>
                      <wp:docPr id="393" name="Frame393"/>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24460" cy="175260"/>
                      <wp:effectExtent l="0" t="0" r="0" b="0"/>
                      <wp:wrapNone/>
                      <wp:docPr id="395" name="Frame3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38785" cy="175260"/>
                      <wp:effectExtent l="0" t="0" r="0" b="0"/>
                      <wp:wrapNone/>
                      <wp:docPr id="396" name="Frame3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24460" cy="175260"/>
                      <wp:effectExtent l="0" t="0" r="0" b="0"/>
                      <wp:wrapNone/>
                      <wp:docPr id="398" name="Frame3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24510" cy="175260"/>
                      <wp:effectExtent l="0" t="0" r="0" b="0"/>
                      <wp:wrapNone/>
                      <wp:docPr id="399" name="Frame39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4460" cy="175260"/>
                      <wp:effectExtent l="0" t="0" r="0" b="0"/>
                      <wp:wrapNone/>
                      <wp:docPr id="401" name="Frame4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24510" cy="175260"/>
                      <wp:effectExtent l="0" t="0" r="0" b="0"/>
                      <wp:wrapNone/>
                      <wp:docPr id="402" name="Frame4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97790" cy="175260"/>
                      <wp:effectExtent l="0" t="0" r="0" b="0"/>
                      <wp:wrapNone/>
                      <wp:docPr id="403" name="Frame4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9"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Years Ended December 31,</w:t>
            </w:r>
          </w:p>
        </w:tc>
        <w:tc>
          <w:tcPr>
            <w:tcW w:w="154" w:type="dxa"/>
            <w:tcBorders/>
            <w:vAlign w:val="center"/>
          </w:tcPr>
          <w:p>
            <w:pPr>
              <w:pStyle w:val="TableContents"/>
              <w:bidi w:val="0"/>
              <w:spacing w:before="0" w:after="0"/>
              <w:ind w:left="0" w:right="0" w:hanging="0"/>
              <w:jc w:val="center"/>
              <w:rPr/>
            </w:pPr>
            <w:r>
              <w:rPr/>
              <w:t>​</w:t>
            </w:r>
          </w:p>
        </w:tc>
      </w:tr>
      <w:tr>
        <w:trPr/>
        <w:tc>
          <w:tcPr>
            <w:tcW w:w="5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54" w:type="dxa"/>
            <w:tcBorders/>
            <w:vAlign w:val="center"/>
          </w:tcPr>
          <w:p>
            <w:pPr>
              <w:pStyle w:val="TableContents"/>
              <w:bidi w:val="0"/>
              <w:spacing w:before="0" w:after="0"/>
              <w:ind w:left="0" w:right="0" w:hanging="0"/>
              <w:jc w:val="left"/>
              <w:rPr/>
            </w:pPr>
            <w:r>
              <w:rPr/>
              <w:t>​</w:t>
            </w:r>
          </w:p>
        </w:tc>
      </w:tr>
      <w:tr>
        <w:trPr/>
        <w:tc>
          <w:tcPr>
            <w:tcW w:w="871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9"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346,091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163,320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72,479</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cash 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Financing cash flows from finance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53,467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42,617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62,679</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leases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741,017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1,398,050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1,467,983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53,771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66,312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430" w:name="Tc_wg5_50QTZk6awX8F7NJlCw_15_8"/>
      <w:bookmarkStart w:id="1431" w:name="Tc_5WsI93jtLEmQ3lVIImKEpg_15_5"/>
      <w:bookmarkStart w:id="1432" w:name="Tc_3K5-No56TkCqC8Z7OoIOnQ_15_2"/>
      <w:bookmarkStart w:id="1433" w:name="Tc_crgbR6XlGkeuDIQNuzL8Hw_15_0"/>
      <w:bookmarkStart w:id="1434" w:name="Tc_PaRqGKcxPkSwSgeQyiJueg_14_0"/>
      <w:bookmarkStart w:id="1435" w:name="Tc_8XSA9srJN0SBPxSKpoUcjg_13_0"/>
      <w:bookmarkStart w:id="1436" w:name="Tc_o6XIumkYOkeF5aT7F7PQwA_12_0"/>
      <w:bookmarkStart w:id="1437" w:name="Tc_oBpbS0inm0-mPnFEQULAIA_11_0"/>
      <w:bookmarkStart w:id="1438" w:name="Tc_5NfPlgmT0kiMUMEypkYgNQ_10_6"/>
      <w:bookmarkStart w:id="1439" w:name="Tc_KzMXPeoj5Ey2lQT8jsGB5A_10_0"/>
      <w:bookmarkStart w:id="1440" w:name="Tc_hco_FQb4sE6nAi2SZ3npcA_9_6"/>
      <w:bookmarkStart w:id="1441" w:name="Tc_zl1KvS6tcUmvgWlvZ15U4g_9_0"/>
      <w:bookmarkStart w:id="1442" w:name="Tc_9isQk7irN02vKtjeii9QTQ_8_0"/>
      <w:bookmarkStart w:id="1443" w:name="Tc__-GiG5jMHEqgSyUsdaIKBg_7_0"/>
      <w:bookmarkStart w:id="1444" w:name="Tc_qenO0_rxmUucnMUOsbinEg_6_0"/>
      <w:bookmarkStart w:id="1445" w:name="Tc_Oqghw1dBO0O9Kzy8tzMT3w_5_8"/>
      <w:bookmarkStart w:id="1446" w:name="Tc_wSfT2VKzrEiQWaSZSAdgdA_5_5"/>
      <w:bookmarkStart w:id="1447" w:name="Tc_2i4QlThmo0GdnldZAnBUAg_5_2"/>
      <w:bookmarkStart w:id="1448" w:name="Tc_ZqDyZ1IDI0iC7RTY_F9a0w_5_0"/>
      <w:bookmarkStart w:id="1449" w:name="Tc_sQxFJ01Qb0OPFaB-WxxfzA_4_2"/>
      <w:bookmarkStart w:id="1450" w:name="Tc_SivEDOqR1EeGfzMFArT58Q_3_8"/>
      <w:bookmarkStart w:id="1451" w:name="Tc_9Yr8MQ9_s0yNzo5Hul9X-Q_3_5"/>
      <w:bookmarkStart w:id="1452" w:name="Tc_-sR3khxQ4UuJzzDprjr-Ag_3_2"/>
      <w:bookmarkStart w:id="1453" w:name="Tc_4lzERHgXekSE75MCPXQWGA_3_0"/>
      <w:bookmarkStart w:id="1454" w:name="Tc_X7E5MIs9xkaPaCRdgiaOXQ_2_5"/>
      <w:bookmarkStart w:id="1455" w:name="Tc_Za37-LgAgkq5zrgUewJzjA_2_2"/>
      <w:bookmarkStart w:id="1456" w:name="Tc_T09QVrKnW0uUCunTSQTIYA_1_2"/>
      <w:bookmarkStart w:id="1457" w:name="Tc_51L_tIVY90-9YbxwZiqDHA_26_0"/>
      <w:bookmarkStart w:id="1458" w:name="Tc_l2k1RcjGpEqYOsbWxSryAQ_25_0"/>
      <w:bookmarkStart w:id="1459" w:name="Tc_XUFMZbyuQUCBTZjRWRrT9w_24_0"/>
      <w:bookmarkStart w:id="1460" w:name="Tc_FcuFTzw6bkS61I8eKpKaxg_22_6"/>
      <w:bookmarkStart w:id="1461" w:name="Tc_aNd0hArRJkq15tJneN2y6w_22_3"/>
      <w:bookmarkStart w:id="1462" w:name="Tc_Ex_eig6NPUWwmZ_1GLVRfg_22_0"/>
      <w:bookmarkStart w:id="1463" w:name="Tc_jSBxzrzKpUyhYM82hi87MA_21_6"/>
      <w:bookmarkStart w:id="1464" w:name="Tc_Kbp2Ygs34EqmPGpL-wk6ew_21_3"/>
      <w:bookmarkStart w:id="1465" w:name="Tc_f0YJtsdk20SmSNaH7Sn-uA_21_0"/>
      <w:bookmarkStart w:id="1466" w:name="Tc_8qmCWnz7A0Cy-P_BWH4jDw_20_0"/>
      <w:bookmarkStart w:id="1467" w:name="Tc_C1AJ55wIoUmfqeNwVbFBuQ_18_5"/>
      <w:bookmarkStart w:id="1468" w:name="Tc_PfFjJYomwUCFdmuj5t3vyg_18_2"/>
      <w:bookmarkStart w:id="1469" w:name="Tc_FKE1zXev_0Or7UBS0Dlwmg_16_5"/>
      <w:bookmarkStart w:id="1470" w:name="Tc__CCTpeULVUqE0I5AGKFIEQ_16_2"/>
      <w:bookmarkStart w:id="1471" w:name="Tc_jFJkbn9_zU-SNo1vznR6YA_14_5"/>
      <w:bookmarkStart w:id="1472" w:name="Tc_O-fB3I6zEU-1HVR0YAMZ4Q_14_2"/>
      <w:bookmarkStart w:id="1473" w:name="Tc_ovc-SwpMnUqts4FntoP54A_14_0"/>
      <w:bookmarkStart w:id="1474" w:name="Tc_LmuhlQpl4kqj1v01Qlnb3w_13_0"/>
      <w:bookmarkStart w:id="1475" w:name="Tc_NtHeCF1kOkmJxY0mFqyG7A_12_5"/>
      <w:bookmarkStart w:id="1476" w:name="Tc_sqxun_YeFEif2MnmRSnqZg_12_2"/>
      <w:bookmarkStart w:id="1477" w:name="Tc_DjmMdTdRMEqGK8IgiuJCdg_12_0"/>
      <w:bookmarkStart w:id="1478" w:name="Tc_fzcWzNi8rUChwZisxvhiQg_11_0"/>
      <w:bookmarkStart w:id="1479" w:name="Tc_dzLPg2qp_U2qMdyL9D4J3g_9_5"/>
      <w:bookmarkStart w:id="1480" w:name="Tc_D_24flJOrUq5fUPEmjJfWw_9_2"/>
      <w:bookmarkStart w:id="1481" w:name="Tc_ifDz9eWrY0SOYBLvE552eA_7_5"/>
      <w:bookmarkStart w:id="1482" w:name="Tc_WvqWYt56iEGXv-YptHiNbA_7_2"/>
      <w:bookmarkStart w:id="1483" w:name="Tc_mSzfT8AHQE6qPsfALKEEUg_5_5"/>
      <w:bookmarkStart w:id="1484" w:name="Tc_9FoHcF3w8UmNdBRxuA-s-w_5_2"/>
      <w:bookmarkStart w:id="1485" w:name="Tc_3UkhhC23pEG5uCiIeRVqbQ_5_0"/>
      <w:bookmarkStart w:id="1486" w:name="Tc_9FWTwcRp0EmwoIm2InlaVA_4_0"/>
      <w:bookmarkStart w:id="1487" w:name="Tc_yAGoF9ejukSLxAMqnos-Tg_3_2"/>
      <w:bookmarkStart w:id="1488" w:name="Tc_a4fRimP-jEO877BsUdw6NQ_2_5"/>
      <w:bookmarkStart w:id="1489" w:name="Tc_28bA6lmXOEyi76NsBF4QTQ_2_2"/>
      <w:bookmarkStart w:id="1490" w:name="Tc_YZ_18snIdUaMoYCXyNwNwA_1_2"/>
      <w:bookmarkStart w:id="1491" w:name="_30295e9c_0589_4d41_a054_d7d18d89b65f"/>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sz w:val="20"/>
        </w:rPr>
        <w:t xml:space="preserve">Supplemental balance sheet information related to leases was as follows: </w:t>
      </w:r>
    </w:p>
    <w:p>
      <w:pPr>
        <w:pStyle w:val="TextBody"/>
        <w:bidi w:val="0"/>
        <w:spacing w:before="0" w:after="0"/>
        <w:ind w:left="0" w:right="0" w:hanging="0"/>
        <w:jc w:val="left"/>
        <w:rPr/>
      </w:pPr>
      <w:r>
        <w:rPr/>
        <w:t>​</w:t>
      </w:r>
    </w:p>
    <w:tbl>
      <w:tblPr>
        <w:tblW w:w="5897" w:type="dxa"/>
        <w:jc w:val="left"/>
        <w:tblInd w:w="0" w:type="dxa"/>
        <w:tblLayout w:type="fixed"/>
        <w:tblCellMar>
          <w:top w:w="0" w:type="dxa"/>
          <w:left w:w="0" w:type="dxa"/>
          <w:bottom w:w="0" w:type="dxa"/>
          <w:right w:w="0" w:type="dxa"/>
        </w:tblCellMar>
      </w:tblPr>
      <w:tblGrid>
        <w:gridCol w:w="3421"/>
        <w:gridCol w:w="109"/>
        <w:gridCol w:w="196"/>
        <w:gridCol w:w="856"/>
        <w:gridCol w:w="109"/>
        <w:gridCol w:w="196"/>
        <w:gridCol w:w="85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72335" cy="175260"/>
                      <wp:effectExtent l="0" t="0" r="0" b="0"/>
                      <wp:wrapNone/>
                      <wp:docPr id="404" name="Frame40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24460" cy="175260"/>
                      <wp:effectExtent l="0" t="0" r="0" b="0"/>
                      <wp:wrapNone/>
                      <wp:docPr id="406" name="Frame4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43560" cy="175260"/>
                      <wp:effectExtent l="0" t="0" r="0" b="0"/>
                      <wp:wrapNone/>
                      <wp:docPr id="407" name="Frame40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24460" cy="175260"/>
                      <wp:effectExtent l="0" t="0" r="0" b="0"/>
                      <wp:wrapNone/>
                      <wp:docPr id="409" name="Frame4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43560" cy="175260"/>
                      <wp:effectExtent l="0" t="0" r="0" b="0"/>
                      <wp:wrapNone/>
                      <wp:docPr id="410" name="Frame41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7790" cy="175260"/>
                      <wp:effectExtent l="0" t="0" r="0" b="0"/>
                      <wp:wrapNone/>
                      <wp:docPr id="411" name="Frame4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December 31,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54" w:type="dxa"/>
            <w:tcBorders/>
            <w:vAlign w:val="center"/>
          </w:tcPr>
          <w:p>
            <w:pPr>
              <w:pStyle w:val="TableContents"/>
              <w:bidi w:val="0"/>
              <w:spacing w:before="0" w:after="0"/>
              <w:ind w:left="0" w:right="0" w:hanging="0"/>
              <w:jc w:val="left"/>
              <w:rPr/>
            </w:pPr>
            <w:r>
              <w:rPr/>
              <w:t>​</w:t>
            </w:r>
          </w:p>
        </w:tc>
      </w:tr>
      <w:tr>
        <w:trPr/>
        <w:tc>
          <w:tcPr>
            <w:tcW w:w="589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3"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2,934,862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2,687,522</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current liabilities (1)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301,172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194,030</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liabilities (1)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2,992,863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2,687,883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operating lease liabilities (1)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3,294,035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2,881,913</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Finance Leases: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gross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465,549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411,778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depreciation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(370,768)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(303,802)</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107,976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56,459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long-term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67,199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75,287</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finance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123,353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Remaining Lease Term: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10.7</w:t>
            </w:r>
            <w:r>
              <w:rPr>
                <w:rFonts w:ascii="Times New Roman;Times;serif" w:hAnsi="Times New Roman;Times;serif"/>
                <w:sz w:val="24"/>
              </w:rPr>
              <w:t xml:space="preserve"> </w:t>
            </w:r>
            <w:r>
              <w:rPr>
                <w:rFonts w:ascii="Times New Roman;Times;serif" w:hAnsi="Times New Roman;Times;serif"/>
                <w:sz w:val="18"/>
              </w:rPr>
              <w:t>years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11.8</w:t>
            </w:r>
            <w:r>
              <w:rPr>
                <w:rFonts w:ascii="Times New Roman;Times;serif" w:hAnsi="Times New Roman;Times;serif"/>
                <w:sz w:val="24"/>
              </w:rPr>
              <w:t xml:space="preserve"> </w:t>
            </w:r>
            <w:r>
              <w:rPr>
                <w:rFonts w:ascii="Times New Roman;Times;serif" w:hAnsi="Times New Roman;Times;serif"/>
                <w:sz w:val="18"/>
              </w:rPr>
              <w:t>years</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2.2</w:t>
            </w:r>
            <w:r>
              <w:rPr>
                <w:rFonts w:ascii="Times New Roman;Times;serif" w:hAnsi="Times New Roman;Times;serif"/>
                <w:sz w:val="24"/>
              </w:rPr>
              <w:t xml:space="preserve"> </w:t>
            </w:r>
            <w:r>
              <w:rPr>
                <w:rFonts w:ascii="Times New Roman;Times;serif" w:hAnsi="Times New Roman;Times;serif"/>
                <w:sz w:val="18"/>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2.7</w:t>
            </w:r>
            <w:r>
              <w:rPr>
                <w:rFonts w:ascii="Times New Roman;Times;serif" w:hAnsi="Times New Roman;Times;serif"/>
                <w:sz w:val="24"/>
              </w:rPr>
              <w:t xml:space="preserve"> </w:t>
            </w:r>
            <w:r>
              <w:rPr>
                <w:rFonts w:ascii="Times New Roman;Times;serif" w:hAnsi="Times New Roman;Times;serif"/>
                <w:sz w:val="18"/>
              </w:rPr>
              <w:t>years</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the fourth quarter of 2023, we revised certain terms with a vendor supplying communication towers. The revision in terms resulted in a lease modification, which was not accounted for as a separate contract. On the measurement date, we reassessed the terms of the original agreement, including but not limited to the timing of future cash flows, the remaining economic life of the underlying asset, the discount rate and the lease classification. This resulted in a reduction to both the operating lease asset and operating lease liability by approximately $227</w:t>
            </w:r>
            <w:r>
              <w:rPr>
                <w:caps w:val="false"/>
                <w:smallCaps w:val="false"/>
              </w:rPr>
              <w:t xml:space="preserve"> </w:t>
            </w:r>
            <w:r>
              <w:rPr>
                <w:rFonts w:ascii="Times New Roman;Times;serif" w:hAnsi="Times New Roman;Times;serif"/>
                <w:b w:val="false"/>
                <w:i w:val="false"/>
                <w:caps w:val="false"/>
                <w:smallCaps w:val="false"/>
                <w:sz w:val="20"/>
              </w:rPr>
              <w:t>million, which is included in “Operating lease assets,” and “Operating lease liabilities” on our Consolidated Balance Sheets.</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lease liabilities as of December 31, 2023 were as follows:</w:t>
      </w:r>
    </w:p>
    <w:p>
      <w:pPr>
        <w:pStyle w:val="TextBody"/>
        <w:bidi w:val="0"/>
        <w:spacing w:before="0" w:after="0"/>
        <w:ind w:left="0" w:right="0" w:hanging="0"/>
        <w:jc w:val="left"/>
        <w:rPr/>
      </w:pPr>
      <w:r>
        <w:rPr/>
        <w:t>​</w:t>
      </w:r>
    </w:p>
    <w:tbl>
      <w:tblPr>
        <w:tblW w:w="6548" w:type="dxa"/>
        <w:jc w:val="left"/>
        <w:tblInd w:w="0" w:type="dxa"/>
        <w:tblLayout w:type="fixed"/>
        <w:tblCellMar>
          <w:top w:w="0" w:type="dxa"/>
          <w:left w:w="0" w:type="dxa"/>
          <w:bottom w:w="0" w:type="dxa"/>
          <w:right w:w="0" w:type="dxa"/>
        </w:tblCellMar>
      </w:tblPr>
      <w:tblGrid>
        <w:gridCol w:w="2866"/>
        <w:gridCol w:w="109"/>
        <w:gridCol w:w="196"/>
        <w:gridCol w:w="946"/>
        <w:gridCol w:w="109"/>
        <w:gridCol w:w="196"/>
        <w:gridCol w:w="721"/>
        <w:gridCol w:w="109"/>
        <w:gridCol w:w="196"/>
        <w:gridCol w:w="946"/>
        <w:gridCol w:w="154"/>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819910" cy="175260"/>
                      <wp:effectExtent l="0" t="0" r="0" b="0"/>
                      <wp:wrapNone/>
                      <wp:docPr id="412" name="Frame41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24460" cy="175260"/>
                      <wp:effectExtent l="0" t="0" r="0" b="0"/>
                      <wp:wrapNone/>
                      <wp:docPr id="414" name="Frame4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00710" cy="175260"/>
                      <wp:effectExtent l="0" t="0" r="0" b="0"/>
                      <wp:wrapNone/>
                      <wp:docPr id="415" name="Frame4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4460" cy="175260"/>
                      <wp:effectExtent l="0" t="0" r="0" b="0"/>
                      <wp:wrapNone/>
                      <wp:docPr id="417" name="Frame4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57835" cy="175260"/>
                      <wp:effectExtent l="0" t="0" r="0" b="0"/>
                      <wp:wrapNone/>
                      <wp:docPr id="418" name="Frame4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4460" cy="175260"/>
                      <wp:effectExtent l="0" t="0" r="0" b="0"/>
                      <wp:wrapNone/>
                      <wp:docPr id="420" name="Frame4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00710" cy="175260"/>
                      <wp:effectExtent l="0" t="0" r="0" b="0"/>
                      <wp:wrapNone/>
                      <wp:docPr id="421" name="Frame42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97790" cy="175260"/>
                      <wp:effectExtent l="0" t="0" r="0" b="0"/>
                      <wp:wrapNone/>
                      <wp:docPr id="422" name="Frame4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19"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Maturities of Lease Liabilities</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Operating</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Finance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Years Ending December 31,</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Leases</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Leases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54" w:type="dxa"/>
            <w:tcBorders/>
            <w:vAlign w:val="center"/>
          </w:tcPr>
          <w:p>
            <w:pPr>
              <w:pStyle w:val="TableContents"/>
              <w:bidi w:val="0"/>
              <w:spacing w:before="0" w:after="0"/>
              <w:ind w:left="0" w:right="0" w:hanging="0"/>
              <w:jc w:val="left"/>
              <w:rPr/>
            </w:pPr>
            <w:r>
              <w:rPr/>
              <w:t>​</w:t>
            </w:r>
          </w:p>
        </w:tc>
      </w:tr>
      <w:tr>
        <w:trPr/>
        <w:tc>
          <w:tcPr>
            <w:tcW w:w="6548"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19"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423,347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489,420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463,276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35,392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498,668</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495,472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532,060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495,786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498,360</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454,612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454,612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3,067,035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3,067,035</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5,399,528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140,627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5,540,155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Imputed interest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(2,105,493)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(16,969)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(2,122,462)</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3,294,035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3,417,693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Current portion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(301,172)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(56,459)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(357,631)</w:t>
            </w:r>
          </w:p>
        </w:tc>
        <w:tc>
          <w:tcPr>
            <w:tcW w:w="154"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portion of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2,992,863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67,199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3,060,062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492" w:name="Tc_NQAzvMFHskS3a1OJfCLTNA_20_9"/>
      <w:bookmarkStart w:id="1493" w:name="Tc_xX8oG3J1z0KyMNuy-cxF1A_20_3"/>
      <w:bookmarkStart w:id="1494" w:name="Tc_BC7rh7d1d0SzdcwDMqxViQ_20_0"/>
      <w:bookmarkStart w:id="1495" w:name="Tc_FPfiROIGIkay6UmZsgkgug_19_0"/>
      <w:bookmarkStart w:id="1496" w:name="Tc_4m1YV9O-k0eWkGghlajdVQ_18_0"/>
      <w:bookmarkStart w:id="1497" w:name="Tc_xrv8RoBCM0ylka6-FteLCw_17_12"/>
      <w:bookmarkStart w:id="1498" w:name="Tc_h1fXHkFO-kOGmWuRRYuf6g_17_6"/>
      <w:bookmarkStart w:id="1499" w:name="Tc_G8J4_2uCuE6Dli9LFUB-aA_17_0"/>
      <w:bookmarkStart w:id="1500" w:name="Tc_6xCKLKTnikOjLOIK3KyhgA_16_0"/>
      <w:bookmarkStart w:id="1501" w:name="Tc_Qc8KLB9VOUa4l3D4UO91OA_15_1"/>
      <w:bookmarkStart w:id="1502" w:name="Tc_595GCm8XvkS9yUThN5hgGQ_15_0"/>
      <w:bookmarkStart w:id="1503" w:name="_6b61504e_35c8_4523_b23e_46afc78aed82_3"/>
      <w:bookmarkStart w:id="1504" w:name="_6b61504e_35c8_4523_b23e_46afc78aed82_2"/>
      <w:bookmarkStart w:id="1505" w:name="_6b61504e_35c8_4523_b23e_46afc78aed82"/>
      <w:bookmarkStart w:id="1506" w:name="Tc_IiE9vZh1TUmEf2lCTetG7Q_14_1"/>
      <w:bookmarkStart w:id="1507" w:name="Tc_NncKF4tQEE--FhSjC7AthA_14_0"/>
      <w:bookmarkStart w:id="1508" w:name="_42d7bb9b_4d37_4cdb_a0cd_cd0552912e1a_3"/>
      <w:bookmarkStart w:id="1509" w:name="_42d7bb9b_4d37_4cdb_a0cd_cd0552912e1a_2"/>
      <w:bookmarkStart w:id="1510" w:name="_42d7bb9b_4d37_4cdb_a0cd_cd0552912e1a"/>
      <w:bookmarkStart w:id="1511" w:name="Tc_MPNiIbc0bUeIFDGoQGrc3w_13_1"/>
      <w:bookmarkStart w:id="1512" w:name="Tc_uYahYIxBfk6AH7LE9H5e2w_13_0"/>
      <w:bookmarkStart w:id="1513" w:name="_f0c7055c_3755_4df1_809c_4ecab3aae09d_3"/>
      <w:bookmarkStart w:id="1514" w:name="_f0c7055c_3755_4df1_809c_4ecab3aae09d_2"/>
      <w:bookmarkStart w:id="1515" w:name="_f0c7055c_3755_4df1_809c_4ecab3aae09d"/>
      <w:bookmarkStart w:id="1516" w:name="Tc_GKWsNqb4C0izD0aiHdRYNA_12_1"/>
      <w:bookmarkStart w:id="1517" w:name="Tc_20_TfwCMmUiq1w_8YkvYoA_12_0"/>
      <w:bookmarkStart w:id="1518" w:name="_cd67fa37_a679_48ad_9540_442c1147e53d_3"/>
      <w:bookmarkStart w:id="1519" w:name="_cd67fa37_a679_48ad_9540_442c1147e53d_2"/>
      <w:bookmarkStart w:id="1520" w:name="_cd67fa37_a679_48ad_9540_442c1147e53d"/>
      <w:bookmarkStart w:id="1521" w:name="Tc_dKOL6YfldUa-4CexARakNQ_11_1"/>
      <w:bookmarkStart w:id="1522" w:name="Tc_bKpXvrgEVky0qv_se3v4oQ_11_0"/>
      <w:bookmarkStart w:id="1523" w:name="_639bbc0e_7832_48b0_8fd4_58fa16bfbc4a_3"/>
      <w:bookmarkStart w:id="1524" w:name="_639bbc0e_7832_48b0_8fd4_58fa16bfbc4a_2"/>
      <w:bookmarkStart w:id="1525" w:name="_639bbc0e_7832_48b0_8fd4_58fa16bfbc4a"/>
      <w:bookmarkStart w:id="1526" w:name="Tc_Oa7JziDIlEy7YjN1gKG4Yg_10_1"/>
      <w:bookmarkStart w:id="1527" w:name="Tc_FF3NZ10kXE2rqj7woUSwiA_10_0"/>
      <w:bookmarkStart w:id="1528" w:name="_6c145c26_514b_4aca_b1c0_9915bf49f9e2_3"/>
      <w:bookmarkStart w:id="1529" w:name="_6c145c26_514b_4aca_b1c0_9915bf49f9e2_2"/>
      <w:bookmarkStart w:id="1530" w:name="_6c145c26_514b_4aca_b1c0_9915bf49f9e2"/>
      <w:bookmarkStart w:id="1531" w:name="Tc_7KUhW95KX0u6_Y1S_7V32g_9_1"/>
      <w:bookmarkStart w:id="1532" w:name="Tc_ehValMzM0kG3Kde34mkzgw_9_0"/>
      <w:bookmarkStart w:id="1533" w:name="_06dde93e_2b56_4c61_9ba6_4e0265a5ff80_3"/>
      <w:bookmarkStart w:id="1534" w:name="_06dde93e_2b56_4c61_9ba6_4e0265a5ff80_2"/>
      <w:bookmarkStart w:id="1535" w:name="_06dde93e_2b56_4c61_9ba6_4e0265a5ff80"/>
      <w:bookmarkStart w:id="1536" w:name="Tc_6X1aa7RWi0-xkhKGLj_hEg_8_1"/>
      <w:bookmarkStart w:id="1537" w:name="Tc_Inr3xJ4CBUaNqRLrBcEb6w_8_0"/>
      <w:bookmarkStart w:id="1538" w:name="Tc_5chwNaldiUO9pb3UagnB2w_7_1"/>
      <w:bookmarkStart w:id="1539" w:name="Tc_6pKSeOWe90mSLNAxLYLNhw_7_0"/>
      <w:bookmarkStart w:id="1540" w:name="_b0a28160_1c5d_4718_9b9e_1ffd68fa6962_3"/>
      <w:bookmarkStart w:id="1541" w:name="_b0a28160_1c5d_4718_9b9e_1ffd68fa6962_2"/>
      <w:bookmarkStart w:id="1542" w:name="_b0a28160_1c5d_4718_9b9e_1ffd68fa6962"/>
      <w:bookmarkStart w:id="1543" w:name="Tc_NSTFy4xN10unNLZ0kWoU8g_6_1"/>
      <w:bookmarkStart w:id="1544" w:name="Tc_EHHFOS2zREWdH61A6tCwgg_6_0"/>
      <w:bookmarkStart w:id="1545" w:name="_4824b527_a592_43eb_ad80_0d8815aac9c8_3"/>
      <w:bookmarkStart w:id="1546" w:name="_4824b527_a592_43eb_ad80_0d8815aac9c8_2"/>
      <w:bookmarkStart w:id="1547" w:name="_4824b527_a592_43eb_ad80_0d8815aac9c8"/>
      <w:bookmarkStart w:id="1548" w:name="Tc_4NfBiyKrkUWpSYERXbZVSg_5_12"/>
      <w:bookmarkStart w:id="1549" w:name="Tc_NsG9Uvs870eyMldlDizXuQ_5_9"/>
      <w:bookmarkStart w:id="1550" w:name="Tc_SvtXgRK22EGl7sgkffUH1w_5_7"/>
      <w:bookmarkStart w:id="1551" w:name="Tc_YPkTooE-sU-odh5Zuse7hA_5_6"/>
      <w:bookmarkStart w:id="1552" w:name="Tc_HPXJw4eugE2G8FtyjXR48A_5_4"/>
      <w:bookmarkStart w:id="1553" w:name="Tc_vjc__EF1Zku8D_VBZvVZmQ_5_3"/>
      <w:bookmarkStart w:id="1554" w:name="Tc_L0swS6_zxkuLOCq36nmPSw_5_1"/>
      <w:bookmarkStart w:id="1555" w:name="Tc_NDR_u8094kGByT1fTfIhlQ_5_0"/>
      <w:bookmarkStart w:id="1556" w:name="Tc_dvYNizTjnUK9lt7NEm6RwA_4_3"/>
      <w:bookmarkStart w:id="1557" w:name="Tc_TxGtmhy7X0a1WpMeYVmqvQ_3_12"/>
      <w:bookmarkStart w:id="1558" w:name="Tc_I8gFc-NVOkGbyfXzgzMVqw_3_9"/>
      <w:bookmarkStart w:id="1559" w:name="Tc_aoWmCQ6hFUS13JYphiaTfA_3_6"/>
      <w:bookmarkStart w:id="1560" w:name="Tc_MIUq-z7t0kek7s0rRFb_WA_3_3"/>
      <w:bookmarkStart w:id="1561" w:name="Tc_XAmXxAtmnUmfWRSpIS-3Nw_3_1"/>
      <w:bookmarkStart w:id="1562" w:name="Tc_6q9cnFx0GEObEqiyjjXz_g_2_9"/>
      <w:bookmarkStart w:id="1563" w:name="Tc_dJBLZSiNq0inxyhTbEx8nw_2_3"/>
      <w:bookmarkStart w:id="1564" w:name="Tc_EXhQZYkN3EKuGfN8eF_BTA_1_3"/>
      <w:bookmarkStart w:id="1565" w:name="_058372c1_0405_4bbf_a8e5_248c9c845bc5"/>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r>
        <w:rPr>
          <w:rFonts w:ascii="Times New Roman;Times;serif" w:hAnsi="Times New Roman;Times;serif"/>
          <w:b/>
          <w:sz w:val="20"/>
        </w:rPr>
        <w:t>9.     Long-Term Debt and Finance Lease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our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carrying amount and fair value of our debt facilities as of December 31, 2023 and 2022:</w:t>
      </w:r>
    </w:p>
    <w:tbl>
      <w:tblPr>
        <w:tblW w:w="10205" w:type="dxa"/>
        <w:jc w:val="left"/>
        <w:tblInd w:w="0" w:type="dxa"/>
        <w:tblLayout w:type="fixed"/>
        <w:tblCellMar>
          <w:top w:w="0" w:type="dxa"/>
          <w:left w:w="0" w:type="dxa"/>
          <w:bottom w:w="0" w:type="dxa"/>
          <w:right w:w="0" w:type="dxa"/>
        </w:tblCellMar>
      </w:tblPr>
      <w:tblGrid>
        <w:gridCol w:w="3682"/>
        <w:gridCol w:w="616"/>
        <w:gridCol w:w="326"/>
        <w:gridCol w:w="196"/>
        <w:gridCol w:w="916"/>
        <w:gridCol w:w="326"/>
        <w:gridCol w:w="196"/>
        <w:gridCol w:w="916"/>
        <w:gridCol w:w="326"/>
        <w:gridCol w:w="196"/>
        <w:gridCol w:w="916"/>
        <w:gridCol w:w="326"/>
        <w:gridCol w:w="196"/>
        <w:gridCol w:w="916"/>
        <w:gridCol w:w="155"/>
      </w:tblGrid>
      <w:tr>
        <w:trPr/>
        <w:tc>
          <w:tcPr>
            <w:tcW w:w="3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338070" cy="175260"/>
                      <wp:effectExtent l="0" t="0" r="0" b="0"/>
                      <wp:wrapNone/>
                      <wp:docPr id="423" name="Frame423"/>
                      <a:graphic xmlns:a="http://schemas.openxmlformats.org/drawingml/2006/main">
                        <a:graphicData uri="http://schemas.microsoft.com/office/word/2010/wordprocessingShape">
                          <wps:wsp>
                            <wps:cNvSpPr txBox="1"/>
                            <wps:spPr>
                              <a:xfrm>
                                <a:off x="0" y="0"/>
                                <a:ext cx="2338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91160" cy="175260"/>
                      <wp:effectExtent l="0" t="0" r="0" b="0"/>
                      <wp:wrapNone/>
                      <wp:docPr id="424" name="Frame4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24460" cy="175260"/>
                      <wp:effectExtent l="0" t="0" r="0" b="0"/>
                      <wp:wrapNone/>
                      <wp:docPr id="426" name="Frame4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81660" cy="175260"/>
                      <wp:effectExtent l="0" t="0" r="0" b="0"/>
                      <wp:wrapNone/>
                      <wp:docPr id="427" name="Frame4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24460" cy="175260"/>
                      <wp:effectExtent l="0" t="0" r="0" b="0"/>
                      <wp:wrapNone/>
                      <wp:docPr id="429" name="Frame4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81660" cy="175260"/>
                      <wp:effectExtent l="0" t="0" r="0" b="0"/>
                      <wp:wrapNone/>
                      <wp:docPr id="430" name="Frame43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4460" cy="175260"/>
                      <wp:effectExtent l="0" t="0" r="0" b="0"/>
                      <wp:wrapNone/>
                      <wp:docPr id="432" name="Frame4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81660" cy="175260"/>
                      <wp:effectExtent l="0" t="0" r="0" b="0"/>
                      <wp:wrapNone/>
                      <wp:docPr id="433" name="Frame43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24460" cy="175260"/>
                      <wp:effectExtent l="0" t="0" r="0" b="0"/>
                      <wp:wrapNone/>
                      <wp:docPr id="435" name="Frame4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81660" cy="175260"/>
                      <wp:effectExtent l="0" t="0" r="0" b="0"/>
                      <wp:wrapNone/>
                      <wp:docPr id="436" name="Frame43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98425" cy="175260"/>
                      <wp:effectExtent l="0" t="0" r="0" b="0"/>
                      <wp:wrapNone/>
                      <wp:docPr id="437" name="Frame43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82"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26"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2022</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Issuer </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br/>
              <w:t>Amount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Carrying</w:t>
              <w:br/>
              <w:t>Amount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55" w:type="dxa"/>
            <w:tcBorders/>
            <w:vAlign w:val="center"/>
          </w:tcPr>
          <w:p>
            <w:pPr>
              <w:pStyle w:val="TableContents"/>
              <w:bidi w:val="0"/>
              <w:spacing w:before="0" w:after="0"/>
              <w:ind w:left="0" w:right="0" w:hanging="0"/>
              <w:jc w:val="left"/>
              <w:rPr/>
            </w:pPr>
            <w:r>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682"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26" w:type="dxa"/>
            <w:gridSpan w:val="11"/>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 Senior Notes due 2023 (1)</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1,443,179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1,441,635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 3/8% Convertible Notes due 2024 (2)</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951,168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944,034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906,970</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 7/8% Senior Notes due 2024 (3)</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1,982,544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1,872,275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1,870,940</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 Convertible Notes due 2025 (4)</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1,957,197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1,228,141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1,287,540</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7 3/4% Senior Notes due 2026</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1,388,060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1,620,280</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 3/8% Convertible Notes due 2026 (5)</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2,908,801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1,570,753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1,894,230</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 1/4% Senior Secured Notes due 2026</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2,366,073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2,336,813</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11 3/4% Senior Secured Notes due 2027 (6)</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3,668,980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2,071,240</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7 3/8% Senior Notes due 2028</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600,160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708,320</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 3/4% Senior Secured Notes due 2028</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2,013,125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2,013,675</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 1/8% Senior Notes due 2029</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774,600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976,755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notes payable</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138,303</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Subtotal</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21,163,274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16,539,765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21,331,482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17,266,700</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Unamortized deferred financing costs and other debt discounts, net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obligations (7)</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123,353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long-term debt and finance lease obligations (including current portion)</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21,219,717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21,349,138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682"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had repurchased or redeemed the principal balance of our 5%</w:t>
            </w:r>
            <w:r>
              <w:rPr>
                <w:caps w:val="false"/>
                <w:smallCaps w:val="false"/>
              </w:rPr>
              <w:t xml:space="preserve"> </w:t>
            </w:r>
            <w:r>
              <w:rPr>
                <w:rFonts w:ascii="Times New Roman;Times;serif" w:hAnsi="Times New Roman;Times;serif"/>
                <w:b w:val="false"/>
                <w:i w:val="false"/>
                <w:caps w:val="false"/>
                <w:smallCaps w:val="false"/>
                <w:sz w:val="20"/>
              </w:rPr>
              <w:t>Senior Notes due 2023 as of March 15, 2023, the instrument’s maturity date.</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 ended December 31, 2023, we repurchased approximately $49</w:t>
            </w:r>
            <w:r>
              <w:rPr>
                <w:caps w:val="false"/>
                <w:smallCaps w:val="false"/>
              </w:rPr>
              <w:t xml:space="preserve"> </w:t>
            </w:r>
            <w:r>
              <w:rPr>
                <w:rFonts w:ascii="Times New Roman;Times;serif" w:hAnsi="Times New Roman;Times;serif"/>
                <w:b w:val="false"/>
                <w:i w:val="false"/>
                <w:caps w:val="false"/>
                <w:smallCaps w:val="false"/>
                <w:sz w:val="20"/>
              </w:rPr>
              <w:t>million of our 2 3/8%</w:t>
            </w:r>
            <w:r>
              <w:rPr>
                <w:caps w:val="false"/>
                <w:smallCaps w:val="false"/>
              </w:rPr>
              <w:t xml:space="preserve"> </w:t>
            </w:r>
            <w:r>
              <w:rPr>
                <w:rFonts w:ascii="Times New Roman;Times;serif" w:hAnsi="Times New Roman;Times;serif"/>
                <w:b w:val="false"/>
                <w:i w:val="false"/>
                <w:caps w:val="false"/>
                <w:smallCaps w:val="false"/>
                <w:sz w:val="20"/>
              </w:rPr>
              <w:t>Convertible Notes due 2024</w:t>
            </w:r>
            <w:r>
              <w:rPr>
                <w:caps w:val="false"/>
                <w:smallCaps w:val="false"/>
              </w:rPr>
              <w:t xml:space="preserve"> </w:t>
            </w:r>
            <w:r>
              <w:rPr>
                <w:rFonts w:ascii="Times New Roman;Times;serif" w:hAnsi="Times New Roman;Times;serif"/>
                <w:b w:val="false"/>
                <w:i w:val="false"/>
                <w:caps w:val="false"/>
                <w:smallCaps w:val="false"/>
                <w:sz w:val="20"/>
              </w:rPr>
              <w:t>in open market trades. The remaining balance of approximately $951</w:t>
            </w:r>
            <w:r>
              <w:rPr>
                <w:caps w:val="false"/>
                <w:smallCaps w:val="false"/>
              </w:rPr>
              <w:t xml:space="preserve"> </w:t>
            </w:r>
            <w:r>
              <w:rPr>
                <w:rFonts w:ascii="Times New Roman;Times;serif" w:hAnsi="Times New Roman;Times;serif"/>
                <w:b w:val="false"/>
                <w:i w:val="false"/>
                <w:caps w:val="false"/>
                <w:smallCaps w:val="false"/>
                <w:sz w:val="20"/>
              </w:rPr>
              <w:t>million matured and was redeemed on March 15, 2024.</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 ended December 31, 2023, we repurchased approximately $17</w:t>
            </w:r>
            <w:r>
              <w:rPr>
                <w:caps w:val="false"/>
                <w:smallCaps w:val="false"/>
              </w:rPr>
              <w:t xml:space="preserve"> </w:t>
            </w:r>
            <w:r>
              <w:rPr>
                <w:rFonts w:ascii="Times New Roman;Times;serif" w:hAnsi="Times New Roman;Times;serif"/>
                <w:b w:val="false"/>
                <w:i w:val="false"/>
                <w:caps w:val="false"/>
                <w:smallCaps w:val="false"/>
                <w:sz w:val="20"/>
              </w:rPr>
              <w:t>million of our 5</w:t>
            </w:r>
            <w:r>
              <w:rPr>
                <w:caps w:val="false"/>
                <w:smallCaps w:val="false"/>
              </w:rPr>
              <w:t> </w:t>
            </w:r>
            <w:r>
              <w:rPr>
                <w:rFonts w:ascii="Times New Roman;Times;serif" w:hAnsi="Times New Roman;Times;serif"/>
                <w:b w:val="false"/>
                <w:i w:val="false"/>
                <w:caps w:val="false"/>
                <w:smallCaps w:val="false"/>
                <w:sz w:val="20"/>
              </w:rPr>
              <w:t>7/8%</w:t>
            </w:r>
            <w:r>
              <w:rPr>
                <w:caps w:val="false"/>
                <w:smallCaps w:val="false"/>
              </w:rPr>
              <w:t xml:space="preserve"> </w:t>
            </w:r>
            <w:r>
              <w:rPr>
                <w:rFonts w:ascii="Times New Roman;Times;serif" w:hAnsi="Times New Roman;Times;serif"/>
                <w:b w:val="false"/>
                <w:i w:val="false"/>
                <w:caps w:val="false"/>
                <w:smallCaps w:val="false"/>
                <w:sz w:val="20"/>
              </w:rPr>
              <w:t>Senior Notes due 2024</w:t>
            </w:r>
            <w:r>
              <w:rPr>
                <w:caps w:val="false"/>
                <w:smallCaps w:val="false"/>
              </w:rPr>
              <w:t xml:space="preserve"> </w:t>
            </w:r>
            <w:r>
              <w:rPr>
                <w:rFonts w:ascii="Times New Roman;Times;serif" w:hAnsi="Times New Roman;Times;serif"/>
                <w:b w:val="false"/>
                <w:i w:val="false"/>
                <w:caps w:val="false"/>
                <w:smallCaps w:val="false"/>
                <w:sz w:val="20"/>
              </w:rPr>
              <w:t>in open market trades. The remaining balance of approximately $1.983</w:t>
            </w:r>
            <w:r>
              <w:rPr>
                <w:caps w:val="false"/>
                <w:smallCaps w:val="false"/>
              </w:rPr>
              <w:t xml:space="preserve"> </w:t>
            </w:r>
            <w:r>
              <w:rPr>
                <w:rFonts w:ascii="Times New Roman;Times;serif" w:hAnsi="Times New Roman;Times;serif"/>
                <w:b w:val="false"/>
                <w:i w:val="false"/>
                <w:caps w:val="false"/>
                <w:smallCaps w:val="false"/>
                <w:sz w:val="20"/>
              </w:rPr>
              <w:t>billion matures on November 15, 2024 and is included in “Current portion of long-term debt and finance lease obligations” on our Consolidated Balance Sheets as of December 31, 2023.</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 ended December 31, 2023, we repurchased approximately $43</w:t>
            </w:r>
            <w:r>
              <w:rPr>
                <w:caps w:val="false"/>
                <w:smallCaps w:val="false"/>
              </w:rPr>
              <w:t xml:space="preserve"> </w:t>
            </w:r>
            <w:r>
              <w:rPr>
                <w:rFonts w:ascii="Times New Roman;Times;serif" w:hAnsi="Times New Roman;Times;serif"/>
                <w:b w:val="false"/>
                <w:i w:val="false"/>
                <w:caps w:val="false"/>
                <w:smallCaps w:val="false"/>
                <w:sz w:val="20"/>
              </w:rPr>
              <w:t>million of our 0%</w:t>
            </w:r>
            <w:r>
              <w:rPr>
                <w:caps w:val="false"/>
                <w:smallCaps w:val="false"/>
              </w:rPr>
              <w:t xml:space="preserve"> </w:t>
            </w:r>
            <w:r>
              <w:rPr>
                <w:rFonts w:ascii="Times New Roman;Times;serif" w:hAnsi="Times New Roman;Times;serif"/>
                <w:b w:val="false"/>
                <w:i w:val="false"/>
                <w:caps w:val="false"/>
                <w:smallCaps w:val="false"/>
                <w:sz w:val="20"/>
              </w:rPr>
              <w:t>Convertible Notes due 2025</w:t>
            </w:r>
            <w:r>
              <w:rPr>
                <w:caps w:val="false"/>
                <w:smallCaps w:val="false"/>
              </w:rPr>
              <w:t xml:space="preserve"> </w:t>
            </w:r>
            <w:r>
              <w:rPr>
                <w:rFonts w:ascii="Times New Roman;Times;serif" w:hAnsi="Times New Roman;Times;serif"/>
                <w:b w:val="false"/>
                <w:i w:val="false"/>
                <w:caps w:val="false"/>
                <w:smallCaps w:val="false"/>
                <w:sz w:val="20"/>
              </w:rPr>
              <w:t>in open market trades. The remaining balance of approximately $1.957</w:t>
            </w:r>
            <w:r>
              <w:rPr>
                <w:caps w:val="false"/>
                <w:smallCaps w:val="false"/>
              </w:rPr>
              <w:t xml:space="preserve"> </w:t>
            </w:r>
            <w:r>
              <w:rPr>
                <w:rFonts w:ascii="Times New Roman;Times;serif" w:hAnsi="Times New Roman;Times;serif"/>
                <w:b w:val="false"/>
                <w:i w:val="false"/>
                <w:caps w:val="false"/>
                <w:smallCaps w:val="false"/>
                <w:sz w:val="20"/>
              </w:rPr>
              <w:t>billion matures on December 15, 2025.</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 ended December 31, 2023, we repurchased approximately $91</w:t>
            </w:r>
            <w:r>
              <w:rPr>
                <w:caps w:val="false"/>
                <w:smallCaps w:val="false"/>
              </w:rPr>
              <w:t xml:space="preserve"> </w:t>
            </w:r>
            <w:r>
              <w:rPr>
                <w:rFonts w:ascii="Times New Roman;Times;serif" w:hAnsi="Times New Roman;Times;serif"/>
                <w:b w:val="false"/>
                <w:i w:val="false"/>
                <w:caps w:val="false"/>
                <w:smallCaps w:val="false"/>
                <w:sz w:val="20"/>
              </w:rPr>
              <w:t>million of our 3 3/8%</w:t>
            </w:r>
            <w:r>
              <w:rPr>
                <w:caps w:val="false"/>
                <w:smallCaps w:val="false"/>
              </w:rPr>
              <w:t xml:space="preserve"> </w:t>
            </w:r>
            <w:r>
              <w:rPr>
                <w:rFonts w:ascii="Times New Roman;Times;serif" w:hAnsi="Times New Roman;Times;serif"/>
                <w:b w:val="false"/>
                <w:i w:val="false"/>
                <w:caps w:val="false"/>
                <w:smallCaps w:val="false"/>
                <w:sz w:val="20"/>
              </w:rPr>
              <w:t>Convertible Notes due 2026</w:t>
            </w:r>
            <w:r>
              <w:rPr>
                <w:caps w:val="false"/>
                <w:smallCaps w:val="false"/>
              </w:rPr>
              <w:t xml:space="preserve"> </w:t>
            </w:r>
            <w:r>
              <w:rPr>
                <w:rFonts w:ascii="Times New Roman;Times;serif" w:hAnsi="Times New Roman;Times;serif"/>
                <w:b w:val="false"/>
                <w:i w:val="false"/>
                <w:caps w:val="false"/>
                <w:smallCaps w:val="false"/>
                <w:sz w:val="20"/>
              </w:rPr>
              <w:t>in open market trades. The remaining balance of approximately $2.909</w:t>
            </w:r>
            <w:r>
              <w:rPr>
                <w:caps w:val="false"/>
                <w:smallCaps w:val="false"/>
              </w:rPr>
              <w:t xml:space="preserve"> </w:t>
            </w:r>
            <w:r>
              <w:rPr>
                <w:rFonts w:ascii="Times New Roman;Times;serif" w:hAnsi="Times New Roman;Times;serif"/>
                <w:b w:val="false"/>
                <w:i w:val="false"/>
                <w:caps w:val="false"/>
                <w:smallCaps w:val="false"/>
                <w:sz w:val="20"/>
              </w:rPr>
              <w:t>billion matures on August 15, 2026.</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6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January 26, 2023, we issued an additional $1.5</w:t>
            </w:r>
            <w:r>
              <w:rPr>
                <w:caps w:val="false"/>
                <w:smallCaps w:val="false"/>
              </w:rPr>
              <w:t xml:space="preserve"> </w:t>
            </w:r>
            <w:r>
              <w:rPr>
                <w:rFonts w:ascii="Times New Roman;Times;serif" w:hAnsi="Times New Roman;Times;serif"/>
                <w:b w:val="false"/>
                <w:i w:val="false"/>
                <w:caps w:val="false"/>
                <w:smallCaps w:val="false"/>
                <w:sz w:val="20"/>
              </w:rPr>
              <w:t>billion aggregate principal amount of our 11 3/4%</w:t>
            </w:r>
            <w:r>
              <w:rPr>
                <w:caps w:val="false"/>
                <w:smallCaps w:val="false"/>
              </w:rPr>
              <w:t xml:space="preserve"> </w:t>
            </w:r>
            <w:r>
              <w:rPr>
                <w:rFonts w:ascii="Times New Roman;Times;serif" w:hAnsi="Times New Roman;Times;serif"/>
                <w:b w:val="false"/>
                <w:i w:val="false"/>
                <w:caps w:val="false"/>
                <w:smallCaps w:val="false"/>
                <w:sz w:val="20"/>
              </w:rPr>
              <w:t xml:space="preserve">Senior Secured Notes due 2027. </w:t>
            </w:r>
          </w:p>
        </w:tc>
      </w:tr>
    </w:tbl>
    <w:tbl>
      <w:tblPr>
        <w:tblW w:w="5687" w:type="dxa"/>
        <w:jc w:val="left"/>
        <w:tblInd w:w="0" w:type="dxa"/>
        <w:tblLayout w:type="fixed"/>
        <w:tblCellMar>
          <w:top w:w="0" w:type="dxa"/>
          <w:left w:w="0" w:type="dxa"/>
          <w:bottom w:w="0" w:type="dxa"/>
          <w:right w:w="0" w:type="dxa"/>
        </w:tblCellMar>
      </w:tblPr>
      <w:tblGrid>
        <w:gridCol w:w="346"/>
        <w:gridCol w:w="53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53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Disclosure regarding fair value of finance leases is not required.</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We estimated the fair value of our publicly traded long-term debt using market prices in less active markets (Level 2).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DISH DBS Unsecured Senior Notes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Our Senior Notes are:</w:t>
      </w:r>
    </w:p>
    <w:p>
      <w:pPr>
        <w:pStyle w:val="TextBody"/>
        <w:bidi w:val="0"/>
        <w:spacing w:before="0" w:after="0"/>
        <w:ind w:left="0" w:right="0" w:hanging="0"/>
        <w:jc w:val="left"/>
        <w:rPr/>
      </w:pPr>
      <w:r>
        <w:rPr/>
        <w:t>​</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unsecured senior obligations of DISH DBS Corporation (“DISH DBS”);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equally in right of payment with all of DISH DBS’ and the guarantors’ existing and future unsecured senior debt;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effectively junior to our and the guarantors’ current and future secured senior indebtedness up to the value of the collateral securing such indebtedness.</w:t>
            </w:r>
          </w:p>
        </w:tc>
      </w:tr>
    </w:tbl>
    <w:p>
      <w:pPr>
        <w:pStyle w:val="TextBody"/>
        <w:bidi w:val="0"/>
        <w:spacing w:before="0" w:after="0"/>
        <w:ind w:left="0" w:right="0" w:hanging="0"/>
        <w:jc w:val="center"/>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The indentures related to our Senior Notes contain restrictive covenants that, among other things, impose limitations on the ability of DISH DBS and its restricted subsidiaries to:</w:t>
      </w:r>
    </w:p>
    <w:p>
      <w:pPr>
        <w:pStyle w:val="TextBody"/>
        <w:bidi w:val="0"/>
        <w:spacing w:before="0" w:after="0"/>
        <w:ind w:left="0" w:right="0" w:hanging="0"/>
        <w:jc w:val="left"/>
        <w:rPr/>
      </w:pPr>
      <w:r>
        <w:rPr/>
        <w:t>​</w:t>
      </w:r>
    </w:p>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make distributions on DISH DBS’ capital stock or repurchase DISH DBS’ capital stock;</w:t>
            </w:r>
          </w:p>
        </w:tc>
      </w:tr>
    </w:tbl>
    <w:tbl>
      <w:tblPr>
        <w:tblW w:w="2646" w:type="dxa"/>
        <w:jc w:val="left"/>
        <w:tblInd w:w="0" w:type="dxa"/>
        <w:tblLayout w:type="fixed"/>
        <w:tblCellMar>
          <w:top w:w="28" w:type="dxa"/>
          <w:left w:w="28" w:type="dxa"/>
          <w:bottom w:w="28" w:type="dxa"/>
          <w:right w:w="28" w:type="dxa"/>
        </w:tblCellMar>
      </w:tblPr>
      <w:tblGrid>
        <w:gridCol w:w="124"/>
        <w:gridCol w:w="25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 or enter into sale and leaseback transactions;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transactions with affiliates;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or consolidate with another company; and</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or sell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i/>
          <w:sz w:val="20"/>
        </w:rPr>
        <w:t>5 7/8%</w:t>
      </w:r>
      <w:r>
        <w:rPr>
          <w:rFonts w:ascii="Times New Roman;Times;serif" w:hAnsi="Times New Roman;Times;serif"/>
          <w:sz w:val="24"/>
        </w:rPr>
        <w:t xml:space="preserve"> </w:t>
      </w:r>
      <w:r>
        <w:rPr>
          <w:rFonts w:ascii="Times New Roman;Times;serif" w:hAnsi="Times New Roman;Times;serif"/>
          <w:b/>
          <w:i/>
          <w:sz w:val="20"/>
        </w:rPr>
        <w:t>Senior Notes due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November 20, 2014, we issued $2.0</w:t>
      </w:r>
      <w:r>
        <w:rPr>
          <w:rFonts w:ascii="Times New Roman;Times;serif" w:hAnsi="Times New Roman;Times;serif"/>
          <w:sz w:val="24"/>
        </w:rPr>
        <w:t xml:space="preserve"> </w:t>
      </w:r>
      <w:r>
        <w:rPr>
          <w:rFonts w:ascii="Times New Roman;Times;serif" w:hAnsi="Times New Roman;Times;serif"/>
          <w:sz w:val="20"/>
        </w:rPr>
        <w:t>billion aggregate principal amount of our ten-year</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0"/>
        </w:rPr>
        <w:t xml:space="preserve">5 7/8% </w:t>
      </w:r>
      <w:r>
        <w:rPr>
          <w:rFonts w:ascii="Times New Roman;Times;serif" w:hAnsi="Times New Roman;Times;serif"/>
          <w:sz w:val="20"/>
        </w:rPr>
        <w:t xml:space="preserve">Senior Notes due November 15, 2024. Interest accrues at an annual rate of </w:t>
      </w:r>
      <w:r>
        <w:rPr>
          <w:rFonts w:ascii="Times New Roman;Times;serif" w:hAnsi="Times New Roman;Times;serif"/>
          <w:b w:val="false"/>
          <w:i w:val="false"/>
          <w:caps w:val="false"/>
          <w:smallCaps w:val="false"/>
          <w:sz w:val="20"/>
        </w:rPr>
        <w:t>5 7/8%</w:t>
      </w:r>
      <w:r>
        <w:rPr>
          <w:rFonts w:ascii="Times New Roman;Times;serif" w:hAnsi="Times New Roman;Times;serif"/>
          <w:sz w:val="24"/>
        </w:rPr>
        <w:t xml:space="preserve"> </w:t>
      </w:r>
      <w:r>
        <w:rPr>
          <w:rFonts w:ascii="Times New Roman;Times;serif" w:hAnsi="Times New Roman;Times;serif"/>
          <w:sz w:val="20"/>
        </w:rPr>
        <w:t>and is payable semi-annually in cash, in arrears on May 15 and November 15 of each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5 7/8%</w:t>
      </w:r>
      <w:r>
        <w:rPr>
          <w:rFonts w:ascii="Times New Roman;Times;serif" w:hAnsi="Times New Roman;Times;serif"/>
          <w:sz w:val="24"/>
        </w:rPr>
        <w:t xml:space="preserve"> </w:t>
      </w:r>
      <w:r>
        <w:rPr>
          <w:rFonts w:ascii="Times New Roman;Times;serif" w:hAnsi="Times New Roman;Times;serif"/>
          <w:sz w:val="20"/>
        </w:rPr>
        <w:t>Senior Notes due 2024 are redeemable, in whole or in part, at any time at a redemption price equal to 100%</w:t>
      </w:r>
      <w:r>
        <w:rPr>
          <w:rFonts w:ascii="Times New Roman;Times;serif" w:hAnsi="Times New Roman;Times;serif"/>
          <w:sz w:val="24"/>
        </w:rPr>
        <w:t xml:space="preserve"> </w:t>
      </w:r>
      <w:r>
        <w:rPr>
          <w:rFonts w:ascii="Times New Roman;Times;serif" w:hAnsi="Times New Roman;Times;serif"/>
          <w:sz w:val="20"/>
        </w:rPr>
        <w:t>of the principal amount plus a “make-whole” premium, as defined in the related indenture, together with accrued and unpaid interest.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7 3/4%</w:t>
      </w:r>
      <w:r>
        <w:rPr>
          <w:rFonts w:ascii="Times New Roman;Times;serif" w:hAnsi="Times New Roman;Times;serif"/>
          <w:sz w:val="20"/>
        </w:rPr>
        <w:t xml:space="preserve"> </w:t>
      </w:r>
      <w:r>
        <w:rPr>
          <w:rFonts w:ascii="Times New Roman;Times;serif" w:hAnsi="Times New Roman;Times;serif"/>
          <w:b/>
          <w:i/>
          <w:sz w:val="20"/>
        </w:rPr>
        <w:t>Senior Notes due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13, 2016, we issued $2.0 billion aggregate principal amount of our ten-year </w:t>
      </w:r>
      <w:r>
        <w:rPr>
          <w:rFonts w:ascii="Times New Roman;Times;serif" w:hAnsi="Times New Roman;Times;serif"/>
          <w:b w:val="false"/>
          <w:i w:val="false"/>
          <w:caps w:val="false"/>
          <w:smallCaps w:val="false"/>
          <w:sz w:val="20"/>
        </w:rPr>
        <w:t>7 3/4%</w:t>
      </w:r>
      <w:r>
        <w:rPr>
          <w:rFonts w:ascii="Times New Roman;Times;serif" w:hAnsi="Times New Roman;Times;serif"/>
          <w:sz w:val="20"/>
        </w:rPr>
        <w:t xml:space="preserve"> Senior Notes due July 1, 2026. Interest accrues at an annual rate of </w:t>
      </w:r>
      <w:r>
        <w:rPr>
          <w:rFonts w:ascii="Times New Roman;Times;serif" w:hAnsi="Times New Roman;Times;serif"/>
          <w:b w:val="false"/>
          <w:i w:val="false"/>
          <w:caps w:val="false"/>
          <w:smallCaps w:val="false"/>
          <w:sz w:val="20"/>
        </w:rPr>
        <w:t>7 3/4%</w:t>
      </w:r>
      <w:r>
        <w:rPr>
          <w:rFonts w:ascii="Times New Roman;Times;serif" w:hAnsi="Times New Roman;Times;serif"/>
          <w:sz w:val="20"/>
        </w:rPr>
        <w:t xml:space="preserve"> and is payable semi-annually in cash, in arrears on January 1 and July 1 of each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7 3/4%</w:t>
      </w:r>
      <w:r>
        <w:rPr>
          <w:rFonts w:ascii="Times New Roman;Times;serif" w:hAnsi="Times New Roman;Times;serif"/>
          <w:sz w:val="24"/>
        </w:rPr>
        <w:t xml:space="preserve"> </w:t>
      </w:r>
      <w:r>
        <w:rPr>
          <w:rFonts w:ascii="Times New Roman;Times;serif" w:hAnsi="Times New Roman;Times;serif"/>
          <w:sz w:val="20"/>
        </w:rPr>
        <w:t>Senior Notes are redeemable, in whole or in part, at any time at a redemption price equal to 100%</w:t>
      </w:r>
      <w:r>
        <w:rPr>
          <w:rFonts w:ascii="Times New Roman;Times;serif" w:hAnsi="Times New Roman;Times;serif"/>
          <w:sz w:val="24"/>
        </w:rPr>
        <w:t xml:space="preserve"> </w:t>
      </w:r>
      <w:r>
        <w:rPr>
          <w:rFonts w:ascii="Times New Roman;Times;serif" w:hAnsi="Times New Roman;Times;serif"/>
          <w:sz w:val="20"/>
        </w:rPr>
        <w:t xml:space="preserve">of the principal amount plus a “make-whole” premium, as defined in the related indenture, together with accrued and unpaid interest.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7 3/8%</w:t>
      </w:r>
      <w:r>
        <w:rPr>
          <w:rFonts w:ascii="Times New Roman;Times;serif" w:hAnsi="Times New Roman;Times;serif"/>
          <w:sz w:val="20"/>
        </w:rPr>
        <w:t xml:space="preserve"> </w:t>
      </w:r>
      <w:r>
        <w:rPr>
          <w:rFonts w:ascii="Times New Roman;Times;serif" w:hAnsi="Times New Roman;Times;serif"/>
          <w:b/>
          <w:i/>
          <w:sz w:val="20"/>
        </w:rPr>
        <w:t>Senior Notes due 2028</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1, 2020, we issued $1.0 billion aggregate principal amount of our </w:t>
      </w:r>
      <w:r>
        <w:rPr>
          <w:rFonts w:ascii="Times New Roman;Times;serif" w:hAnsi="Times New Roman;Times;serif"/>
          <w:b w:val="false"/>
          <w:i w:val="false"/>
          <w:caps w:val="false"/>
          <w:smallCaps w:val="false"/>
          <w:sz w:val="20"/>
        </w:rPr>
        <w:t>7 3/8%</w:t>
      </w:r>
      <w:r>
        <w:rPr>
          <w:rFonts w:ascii="Times New Roman;Times;serif" w:hAnsi="Times New Roman;Times;serif"/>
          <w:sz w:val="20"/>
        </w:rPr>
        <w:t xml:space="preserve"> Senior Notes due July 1, 2028. Interest accrues at an annual rate of </w:t>
      </w:r>
      <w:r>
        <w:rPr>
          <w:rFonts w:ascii="Times New Roman;Times;serif" w:hAnsi="Times New Roman;Times;serif"/>
          <w:b w:val="false"/>
          <w:i w:val="false"/>
          <w:caps w:val="false"/>
          <w:smallCaps w:val="false"/>
          <w:sz w:val="20"/>
        </w:rPr>
        <w:t>7 3/8%</w:t>
      </w:r>
      <w:r>
        <w:rPr>
          <w:rFonts w:ascii="Times New Roman;Times;serif" w:hAnsi="Times New Roman;Times;serif"/>
          <w:sz w:val="20"/>
        </w:rPr>
        <w:t xml:space="preserve"> and is payable semi-annually in cash, in arrears on January 1 and July 1 of each year.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7 3/8%</w:t>
      </w:r>
      <w:r>
        <w:rPr>
          <w:rFonts w:ascii="Times New Roman;Times;serif" w:hAnsi="Times New Roman;Times;serif"/>
          <w:sz w:val="24"/>
        </w:rPr>
        <w:t xml:space="preserve"> </w:t>
      </w:r>
      <w:r>
        <w:rPr>
          <w:rFonts w:ascii="Times New Roman;Times;serif" w:hAnsi="Times New Roman;Times;serif"/>
          <w:sz w:val="20"/>
        </w:rPr>
        <w:t>Senior Notes are redeemable, in whole or in part, at any time prior to July 1, 2023 at a redemption price equal to 100%</w:t>
      </w:r>
      <w:r>
        <w:rPr>
          <w:rFonts w:ascii="Times New Roman;Times;serif" w:hAnsi="Times New Roman;Times;serif"/>
          <w:sz w:val="24"/>
        </w:rPr>
        <w:t xml:space="preserve"> </w:t>
      </w:r>
      <w:r>
        <w:rPr>
          <w:rFonts w:ascii="Times New Roman;Times;serif" w:hAnsi="Times New Roman;Times;serif"/>
          <w:sz w:val="20"/>
        </w:rPr>
        <w:t>of the principal amount plus a “make-whole” premium, as defined in the related indenture, together with accrued and unpaid interest.  On or after July 1, 2023, we may redeem the Notes, in whole or in part, at any time at the redemption prices specified under the related indenture, together with accrued and unpaid interest.  </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5 1/8%</w:t>
      </w:r>
      <w:r>
        <w:rPr>
          <w:rFonts w:ascii="Times New Roman;Times;serif" w:hAnsi="Times New Roman;Times;serif"/>
          <w:sz w:val="20"/>
        </w:rPr>
        <w:t xml:space="preserve"> </w:t>
      </w:r>
      <w:r>
        <w:rPr>
          <w:rFonts w:ascii="Times New Roman;Times;serif" w:hAnsi="Times New Roman;Times;serif"/>
          <w:b/>
          <w:i/>
          <w:sz w:val="20"/>
        </w:rPr>
        <w:t>Senior Notes due 2029</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24, 2021, we issued $1.5 billion aggregate principal amount of our </w:t>
      </w:r>
      <w:r>
        <w:rPr>
          <w:rFonts w:ascii="Times New Roman;Times;serif" w:hAnsi="Times New Roman;Times;serif"/>
          <w:b w:val="false"/>
          <w:i w:val="false"/>
          <w:caps w:val="false"/>
          <w:smallCaps w:val="false"/>
          <w:sz w:val="20"/>
        </w:rPr>
        <w:t>5 1/8%</w:t>
      </w:r>
      <w:r>
        <w:rPr>
          <w:rFonts w:ascii="Times New Roman;Times;serif" w:hAnsi="Times New Roman;Times;serif"/>
          <w:sz w:val="20"/>
        </w:rPr>
        <w:t xml:space="preserve"> Senior Notes due June 1, 2029. Interest accrues at an annual rate of </w:t>
      </w:r>
      <w:r>
        <w:rPr>
          <w:rFonts w:ascii="Times New Roman;Times;serif" w:hAnsi="Times New Roman;Times;serif"/>
          <w:b w:val="false"/>
          <w:i w:val="false"/>
          <w:caps w:val="false"/>
          <w:smallCaps w:val="false"/>
          <w:sz w:val="20"/>
        </w:rPr>
        <w:t>5 1/8%</w:t>
      </w:r>
      <w:r>
        <w:rPr>
          <w:rFonts w:ascii="Times New Roman;Times;serif" w:hAnsi="Times New Roman;Times;serif"/>
          <w:sz w:val="20"/>
        </w:rPr>
        <w:t xml:space="preserve"> and is payable semi-annually in cash, in arrears on June 1 and December 1 of each year.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5 1/8%</w:t>
      </w:r>
      <w:r>
        <w:rPr>
          <w:rFonts w:ascii="Times New Roman;Times;serif" w:hAnsi="Times New Roman;Times;serif"/>
          <w:sz w:val="24"/>
        </w:rPr>
        <w:t xml:space="preserve"> </w:t>
      </w:r>
      <w:r>
        <w:rPr>
          <w:rFonts w:ascii="Times New Roman;Times;serif" w:hAnsi="Times New Roman;Times;serif"/>
          <w:sz w:val="20"/>
        </w:rPr>
        <w:t>Senior Notes are redeemable, in whole or in part, at any time at a redemption price equal to 100%</w:t>
      </w:r>
      <w:r>
        <w:rPr>
          <w:rFonts w:ascii="Times New Roman;Times;serif" w:hAnsi="Times New Roman;Times;serif"/>
          <w:sz w:val="24"/>
        </w:rPr>
        <w:t xml:space="preserve"> </w:t>
      </w:r>
      <w:r>
        <w:rPr>
          <w:rFonts w:ascii="Times New Roman;Times;serif" w:hAnsi="Times New Roman;Times;serif"/>
          <w:sz w:val="20"/>
        </w:rPr>
        <w:t>of the principal amount plus a “make-whole” premium, as defined in the related indenture, together with accrued and unpaid interest.  Prior to June 1, 2024, we may also redeem up to 35%</w:t>
      </w:r>
      <w:r>
        <w:rPr>
          <w:rFonts w:ascii="Times New Roman;Times;serif" w:hAnsi="Times New Roman;Times;serif"/>
          <w:sz w:val="24"/>
        </w:rPr>
        <w:t xml:space="preserve"> </w:t>
      </w:r>
      <w:r>
        <w:rPr>
          <w:rFonts w:ascii="Times New Roman;Times;serif" w:hAnsi="Times New Roman;Times;serif"/>
          <w:sz w:val="20"/>
        </w:rPr>
        <w:t xml:space="preserve">of the </w:t>
      </w:r>
      <w:r>
        <w:rPr>
          <w:rFonts w:ascii="Times New Roman;Times;serif" w:hAnsi="Times New Roman;Times;serif"/>
          <w:b w:val="false"/>
          <w:i w:val="false"/>
          <w:caps w:val="false"/>
          <w:smallCaps w:val="false"/>
          <w:sz w:val="20"/>
        </w:rPr>
        <w:t>5 1/8%</w:t>
      </w:r>
      <w:r>
        <w:rPr>
          <w:rFonts w:ascii="Times New Roman;Times;serif" w:hAnsi="Times New Roman;Times;serif"/>
          <w:sz w:val="24"/>
        </w:rPr>
        <w:t xml:space="preserve"> </w:t>
      </w:r>
      <w:r>
        <w:rPr>
          <w:rFonts w:ascii="Times New Roman;Times;serif" w:hAnsi="Times New Roman;Times;serif"/>
          <w:sz w:val="20"/>
        </w:rPr>
        <w:t>Senior Notes at a specified premium with the net cash proceeds from certain equity offerings or capital contributions.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Convertible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Merger with EchoStar</w:t>
      </w:r>
    </w:p>
    <w:p>
      <w:pPr>
        <w:pStyle w:val="TextBody"/>
        <w:bidi w:val="0"/>
        <w:spacing w:before="0" w:after="0"/>
        <w:ind w:left="0" w:right="0" w:hanging="0"/>
        <w:jc w:val="left"/>
        <w:rPr>
          <w:color w:val="7030A0"/>
          <w:shd w:fill="00FFFF" w:val="clear"/>
        </w:rPr>
      </w:pPr>
      <w:r>
        <w:rPr>
          <w:color w:val="7030A0"/>
          <w:shd w:fill="00FFFF" w:val="clea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In connection with the completion of the Merger, on December 31, 2023, at the Effective Time, the right of the holders of the Convertible Notes that were outstanding as of the completion of the Merger to convert each $1,000</w:t>
      </w:r>
      <w:r>
        <w:rPr>
          <w:rFonts w:ascii="Times New Roman;Times;serif" w:hAnsi="Times New Roman;Times;serif"/>
          <w:sz w:val="24"/>
        </w:rPr>
        <w:t xml:space="preserve"> </w:t>
      </w:r>
      <w:r>
        <w:rPr>
          <w:rFonts w:ascii="Times New Roman;Times;serif" w:hAnsi="Times New Roman;Times;serif"/>
          <w:sz w:val="20"/>
        </w:rPr>
        <w:t>principal amount of such Convertible Notes into shares of DISH Class A Common Stock was changed into a right to convert such principal amount of Convertible Notes into the number of shares of EchoStar Class A Common Stock that a holder of a number of shares of DISH Class A Common Stock equal to the applicable initial conversion rate (as defined in the applicable Indenture) would have been entitled to receive upon the completion of the Merger. Upon the completion of the Merger, each then-outstanding share of DISH Class A Common Stock was converted into the right to receive 0.350877</w:t>
      </w:r>
      <w:r>
        <w:rPr>
          <w:rFonts w:ascii="Times New Roman;Times;serif" w:hAnsi="Times New Roman;Times;serif"/>
          <w:sz w:val="24"/>
        </w:rPr>
        <w:t xml:space="preserve"> </w:t>
      </w:r>
      <w:r>
        <w:rPr>
          <w:rFonts w:ascii="Times New Roman;Times;serif" w:hAnsi="Times New Roman;Times;serif"/>
          <w:sz w:val="20"/>
        </w:rPr>
        <w:t>shares of EchoStar Common Stock, resulting in an adjusted initial conversion rate of 4.2677</w:t>
      </w:r>
      <w:r>
        <w:rPr>
          <w:rFonts w:ascii="Times New Roman;Times;serif" w:hAnsi="Times New Roman;Times;serif"/>
          <w:sz w:val="24"/>
        </w:rPr>
        <w:t xml:space="preserve"> </w:t>
      </w:r>
      <w:r>
        <w:rPr>
          <w:rFonts w:ascii="Times New Roman;Times;serif" w:hAnsi="Times New Roman;Times;serif"/>
          <w:sz w:val="20"/>
        </w:rPr>
        <w:t xml:space="preserve">for the </w:t>
      </w:r>
      <w:r>
        <w:rPr>
          <w:rFonts w:ascii="Times New Roman;Times;serif" w:hAnsi="Times New Roman;Times;serif"/>
          <w:b w:val="false"/>
          <w:i w:val="false"/>
          <w:caps w:val="false"/>
          <w:smallCaps w:val="false"/>
          <w:sz w:val="20"/>
        </w:rPr>
        <w:t>2 3/8%</w:t>
      </w:r>
      <w:r>
        <w:rPr>
          <w:rFonts w:ascii="Times New Roman;Times;serif" w:hAnsi="Times New Roman;Times;serif"/>
          <w:sz w:val="24"/>
        </w:rPr>
        <w:t xml:space="preserve"> </w:t>
      </w:r>
      <w:r>
        <w:rPr>
          <w:rFonts w:ascii="Times New Roman;Times;serif" w:hAnsi="Times New Roman;Times;serif"/>
          <w:sz w:val="20"/>
        </w:rPr>
        <w:t>Convertible Notes due 2024, 8.5657</w:t>
      </w:r>
      <w:r>
        <w:rPr>
          <w:rFonts w:ascii="Times New Roman;Times;serif" w:hAnsi="Times New Roman;Times;serif"/>
          <w:sz w:val="24"/>
        </w:rPr>
        <w:t xml:space="preserve"> </w:t>
      </w:r>
      <w:r>
        <w:rPr>
          <w:rFonts w:ascii="Times New Roman;Times;serif" w:hAnsi="Times New Roman;Times;serif"/>
          <w:sz w:val="20"/>
        </w:rPr>
        <w:t>for the 0%</w:t>
      </w:r>
      <w:r>
        <w:rPr>
          <w:rFonts w:ascii="Times New Roman;Times;serif" w:hAnsi="Times New Roman;Times;serif"/>
          <w:sz w:val="24"/>
        </w:rPr>
        <w:t xml:space="preserve"> </w:t>
      </w:r>
      <w:r>
        <w:rPr>
          <w:rFonts w:ascii="Times New Roman;Times;serif" w:hAnsi="Times New Roman;Times;serif"/>
          <w:sz w:val="20"/>
        </w:rPr>
        <w:t>Convertible Notes due 2025 and 5.3835</w:t>
      </w:r>
      <w:r>
        <w:rPr>
          <w:rFonts w:ascii="Times New Roman;Times;serif" w:hAnsi="Times New Roman;Times;serif"/>
          <w:sz w:val="24"/>
        </w:rPr>
        <w:t xml:space="preserve"> </w:t>
      </w:r>
      <w:r>
        <w:rPr>
          <w:rFonts w:ascii="Times New Roman;Times;serif" w:hAnsi="Times New Roman;Times;serif"/>
          <w:sz w:val="20"/>
        </w:rPr>
        <w:t xml:space="preserve">for the </w:t>
      </w:r>
      <w:r>
        <w:rPr>
          <w:rFonts w:ascii="Times New Roman;Times;serif" w:hAnsi="Times New Roman;Times;serif"/>
          <w:b w:val="false"/>
          <w:i w:val="false"/>
          <w:caps w:val="false"/>
          <w:smallCaps w:val="false"/>
          <w:sz w:val="20"/>
        </w:rPr>
        <w:t>3 3/8%</w:t>
      </w:r>
      <w:r>
        <w:rPr>
          <w:rFonts w:ascii="Times New Roman;Times;serif" w:hAnsi="Times New Roman;Times;serif"/>
          <w:sz w:val="24"/>
        </w:rPr>
        <w:t xml:space="preserve"> </w:t>
      </w:r>
      <w:r>
        <w:rPr>
          <w:rFonts w:ascii="Times New Roman;Times;serif" w:hAnsi="Times New Roman;Times;serif"/>
          <w:sz w:val="20"/>
        </w:rPr>
        <w:t>Convertible Notes due 2026 for each $1,000</w:t>
      </w:r>
      <w:r>
        <w:rPr>
          <w:rFonts w:ascii="Times New Roman;Times;serif" w:hAnsi="Times New Roman;Times;serif"/>
          <w:sz w:val="24"/>
        </w:rPr>
        <w:t xml:space="preserve"> </w:t>
      </w:r>
      <w:r>
        <w:rPr>
          <w:rFonts w:ascii="Times New Roman;Times;serif" w:hAnsi="Times New Roman;Times;serif"/>
          <w:sz w:val="20"/>
        </w:rPr>
        <w:t xml:space="preserve">principal amount.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the merger with EchoStar, we have reassessed the classification of the conversion features on all of our convertible debt, the note hedge and warrant transactions associated with the convertible notes due 2026. Historically we concluded that these financial instruments were not derivatives. However, as a result in the change of equity issuer (from us to our parent EchoStar) we concluded that the financial instruments are no longer indexed to their own equity and now require derivative accounting. Due to the conversion ratio associated with the merger, the strike prices on all associated financial instruments are significantly out of the money and have nominal value. We will reassess the value of these derivatives on a quarterly basis and record the change in fair value through “Other, net” within “Other Income (Expense)” included on our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amounts below represent the adjusted conversion 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i/>
          <w:sz w:val="20"/>
        </w:rPr>
        <w:t>2 3/8%</w:t>
      </w:r>
      <w:r>
        <w:rPr>
          <w:rFonts w:ascii="Times New Roman;Times;serif" w:hAnsi="Times New Roman;Times;serif"/>
          <w:sz w:val="24"/>
        </w:rPr>
        <w:t xml:space="preserve"> </w:t>
      </w:r>
      <w:r>
        <w:rPr>
          <w:rFonts w:ascii="Times New Roman;Times;serif" w:hAnsi="Times New Roman;Times;serif"/>
          <w:b/>
          <w:i/>
          <w:sz w:val="20"/>
        </w:rPr>
        <w:t>Convertible Notes due 2024</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March 17, 2017, we issued $1.0</w:t>
      </w:r>
      <w:r>
        <w:rPr>
          <w:rFonts w:ascii="Times New Roman;Times;serif" w:hAnsi="Times New Roman;Times;serif"/>
          <w:sz w:val="24"/>
        </w:rPr>
        <w:t xml:space="preserve"> </w:t>
      </w:r>
      <w:r>
        <w:rPr>
          <w:rFonts w:ascii="Times New Roman;Times;serif" w:hAnsi="Times New Roman;Times;serif"/>
          <w:sz w:val="20"/>
        </w:rPr>
        <w:t xml:space="preserve">billion aggregate principal amount of the Convertible Notes due March 15, 2024 in a private placement. Interest accrues at an annual rate of </w:t>
      </w:r>
      <w:r>
        <w:rPr>
          <w:rFonts w:ascii="Times New Roman;Times;serif" w:hAnsi="Times New Roman;Times;serif"/>
          <w:b w:val="false"/>
          <w:i w:val="false"/>
          <w:caps w:val="false"/>
          <w:smallCaps w:val="false"/>
          <w:sz w:val="20"/>
        </w:rPr>
        <w:t>2 3/8%</w:t>
      </w:r>
      <w:r>
        <w:rPr>
          <w:rFonts w:ascii="Times New Roman;Times;serif" w:hAnsi="Times New Roman;Times;serif"/>
          <w:sz w:val="24"/>
        </w:rPr>
        <w:t xml:space="preserve"> </w:t>
      </w:r>
      <w:r>
        <w:rPr>
          <w:rFonts w:ascii="Times New Roman;Times;serif" w:hAnsi="Times New Roman;Times;serif"/>
          <w:sz w:val="20"/>
        </w:rPr>
        <w:t>and is payable semi-annually in cash, in arrears on March 15 and September 15 of each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due 2024 are: </w:t>
      </w:r>
    </w:p>
    <w:p>
      <w:pPr>
        <w:pStyle w:val="TextBody"/>
        <w:bidi w:val="0"/>
        <w:spacing w:before="0" w:after="0"/>
        <w:ind w:left="0" w:right="0" w:hanging="0"/>
        <w:jc w:val="left"/>
        <w:rPr/>
      </w:pPr>
      <w:r>
        <w:rPr/>
        <w:t>​</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senior in right of payment to any future indebtedness that is expressly subordinated in right of payment to the Convertible Notes due 2024;</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effectively junior to any of our existing and future secured indebtedness to the extent of the value of the assets securing such indebtedness;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structurally junior to all indebtedness and other liabilities of our subsidiaries; and</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guaranteed by our subsidiaries.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0%</w:t>
      </w:r>
      <w:r>
        <w:rPr>
          <w:rFonts w:ascii="Times New Roman;Times;serif" w:hAnsi="Times New Roman;Times;serif"/>
          <w:sz w:val="20"/>
        </w:rPr>
        <w:t xml:space="preserve"> </w:t>
      </w:r>
      <w:r>
        <w:rPr>
          <w:rFonts w:ascii="Times New Roman;Times;serif" w:hAnsi="Times New Roman;Times;serif"/>
          <w:b/>
          <w:i/>
          <w:sz w:val="20"/>
        </w:rPr>
        <w:t>Convertible Notes due 2025</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21, 2020, we issued $2.0 billion aggregate principal amount of the Convertible Notes due December 15, 2025 in a private placement. These notes will not bear interest, and the principal amount of the Notes will not accrete.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due 2025 are: </w:t>
      </w:r>
    </w:p>
    <w:p>
      <w:pPr>
        <w:pStyle w:val="TextBody"/>
        <w:bidi w:val="0"/>
        <w:spacing w:before="0" w:after="0"/>
        <w:ind w:left="0" w:right="0" w:hanging="0"/>
        <w:jc w:val="left"/>
        <w:rPr/>
      </w:pPr>
      <w:r>
        <w:rPr/>
        <w:t>​</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senior in right of payment to any future indebtedness that is expressly subordinated in right of payment to the Convertible Notes due 2025;</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effectively junior to any of our existing and future secured indebtedness to the extent of the value of the assets securing such indebtedness;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structurally junior to all indebtedness and other liabilities of our subsidiaries; and</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guaranteed by our subsidiaries.</w:t>
            </w:r>
          </w:p>
        </w:tc>
      </w:tr>
    </w:tbl>
    <w:p>
      <w:pPr>
        <w:pStyle w:val="TextBody"/>
        <w:bidi w:val="0"/>
        <w:spacing w:before="0" w:after="0"/>
        <w:ind w:left="36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Subject to the terms of the related indenture, the Convertible Notes due 2025 may be converted at an initial conversion rate of 8.566 shares of EchoStar’s Class A common stock per $1,000 principal amount of the Convertible Notes due 2025 (equivalent to an initial conversion price of approximately $116.74 per share of EchoStar’s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w:t>
      </w:r>
      <w:r>
        <w:rPr>
          <w:rFonts w:ascii="Times New Roman;Times;serif" w:hAnsi="Times New Roman;Times;serif"/>
          <w:sz w:val="20"/>
          <w:shd w:fill="FFFFFF" w:val="clear"/>
        </w:rPr>
        <w:t>Upon any conversion, EchoStar will settle its conversion obligation in cash, shares of EchoStar’s Class A common stock or a combination of cash and shares of EchoStar’s Class A common stock, at its election.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i/>
          <w:sz w:val="20"/>
        </w:rPr>
        <w:t>3 3/8%</w:t>
      </w:r>
      <w:r>
        <w:rPr>
          <w:rFonts w:ascii="Times New Roman;Times;serif" w:hAnsi="Times New Roman;Times;serif"/>
          <w:sz w:val="24"/>
        </w:rPr>
        <w:t xml:space="preserve"> </w:t>
      </w:r>
      <w:r>
        <w:rPr>
          <w:rFonts w:ascii="Times New Roman;Times;serif" w:hAnsi="Times New Roman;Times;serif"/>
          <w:b/>
          <w:i/>
          <w:sz w:val="20"/>
        </w:rPr>
        <w:t>Convertible Notes due 2026</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August 8, 2016, we issued $3.0</w:t>
      </w:r>
      <w:r>
        <w:rPr>
          <w:rFonts w:ascii="Times New Roman;Times;serif" w:hAnsi="Times New Roman;Times;serif"/>
          <w:sz w:val="24"/>
        </w:rPr>
        <w:t xml:space="preserve"> </w:t>
      </w:r>
      <w:r>
        <w:rPr>
          <w:rFonts w:ascii="Times New Roman;Times;serif" w:hAnsi="Times New Roman;Times;serif"/>
          <w:sz w:val="20"/>
        </w:rPr>
        <w:t xml:space="preserve">billion aggregate principal amount of the Convertible Notes due August 15, 2026 in a private offering. Interest accrues at an annual rate of </w:t>
      </w:r>
      <w:r>
        <w:rPr>
          <w:rFonts w:ascii="Times New Roman;Times;serif" w:hAnsi="Times New Roman;Times;serif"/>
          <w:b w:val="false"/>
          <w:i w:val="false"/>
          <w:caps w:val="false"/>
          <w:smallCaps w:val="false"/>
          <w:sz w:val="20"/>
        </w:rPr>
        <w:t>3 3/8%</w:t>
      </w:r>
      <w:r>
        <w:rPr>
          <w:rFonts w:ascii="Times New Roman;Times;serif" w:hAnsi="Times New Roman;Times;serif"/>
          <w:sz w:val="24"/>
        </w:rPr>
        <w:t xml:space="preserve"> </w:t>
      </w:r>
      <w:r>
        <w:rPr>
          <w:rFonts w:ascii="Times New Roman;Times;serif" w:hAnsi="Times New Roman;Times;serif"/>
          <w:sz w:val="20"/>
        </w:rPr>
        <w:t>and is payable semi-annually in cash, in arrears on February 15 and August 15 of each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due 2026 are: </w:t>
      </w:r>
    </w:p>
    <w:p>
      <w:pPr>
        <w:pStyle w:val="TextBody"/>
        <w:bidi w:val="0"/>
        <w:spacing w:before="0" w:after="0"/>
        <w:ind w:left="0" w:right="0" w:hanging="0"/>
        <w:jc w:val="left"/>
        <w:rPr/>
      </w:pPr>
      <w:r>
        <w:rPr/>
        <w:t>​</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senior in right of payment to any future indebtedness that is expressly subordinated in right of payment to the Convertible Notes due 2026;</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effectively junior to any of our existing and future secured indebtedness to the extent of the value of the assets securing such indebtedness;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structurally junior to all indebtedness and other liabilities of our subsidiaries; and</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guaranteed by our subsidiaries.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Subject to the terms of the related indenture, the Convertible Notes due 2026 may be converted at an initial conversion rate of 5.383 shares of EchoStar’s Class A common stock per $1,000 principal amount of Convertible Notes due 2026 (equivalent to an initial conversion price of approximately $185.76 per share of EchoStar’s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w:t>
      </w:r>
      <w:r>
        <w:rPr>
          <w:rFonts w:ascii="Times New Roman;Times;serif" w:hAnsi="Times New Roman;Times;serif"/>
          <w:sz w:val="20"/>
          <w:shd w:fill="FFFFFF" w:val="clear"/>
        </w:rPr>
        <w:t>Upon any conversion, EchoStar will settle its conversion obligation in cash, shares of EchoStar’s Class A common stock or a combination of cash and shares of EchoStar’s Class A common stock, at its election.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Convertible Note Hedge and Warrant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Merger with EchoStar</w:t>
      </w:r>
      <w:r>
        <w:rPr>
          <w:rFonts w:ascii="Times New Roman;Times;serif" w:hAnsi="Times New Roman;Times;serif"/>
          <w:sz w:val="20"/>
        </w:rPr>
        <w:t xml:space="preserve">. In connection with the completion of the Merger, on December 31, 2023, we and EchoStar entered into a note hedge amendment letter agreement with each option counterparty pursuant to which, at the Effective Time, our right to purchase shares of DISH Class A Common Stock pursuant to the terms of the applicable convertible note hedge transactions was changed into a right to purchase shares of EchoStar Class A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in connection with the completion of the Merger, on December 31, 2023, we and EchoStar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EchoStar guaranteed all of our obligations under the applicable warrant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our Class A Common Stock underlying the Convertible Notes due 2026, which initially gives us the option to purchase approximately 46 million shares of our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 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our Class A common stock, which initially gives the option counterparties the option to purchase approximately 46 million shares of our Class A common stock at a price of approximately $86.08 per share, which in connection with the completion of the Merger converted into approximately 16 million shares of EchoStar Class A Common Stock at price ranges of approximately $185.75 to $245.33 per share. 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Consolidated Balance Sheets as of December 31, 2016.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DISH DBS Senior Secured Notes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DISH DBS Senior Secured Notes are:</w:t>
      </w:r>
    </w:p>
    <w:p>
      <w:pPr>
        <w:pStyle w:val="TextBody"/>
        <w:bidi w:val="0"/>
        <w:spacing w:before="0" w:after="120"/>
        <w:ind w:left="0" w:right="0" w:hanging="0"/>
        <w:jc w:val="left"/>
        <w:rPr/>
      </w:pPr>
      <w:r>
        <w:rPr/>
        <w:t>​</w:t>
      </w:r>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senior secured obligations of DISH DBS Corporation (“DISH DBS”);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by security interests in substantially all existing and future tangible and intangible assets of DISH DBS and its principal operating subsidiaries on a first priority basis, subject to certain exceptions;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equally in right of payment with all of DISH DBS’ and the guarantors’ existing and future senior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ranked senior in right of payment and effectively senior to any of DISH DBS’ and the guarantors’ junior lien or unsecured debt to the extent of the value of the pledged collateral that secures the Senior Secured Notes;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effectively junior to DISH DBS’ and the guarantors’ obligations that are secured by assets that are not part of the pledged collateral that secures the Senior Secured Notes, to the extent of the value of such assets.</w:t>
            </w:r>
          </w:p>
        </w:tc>
      </w:tr>
    </w:tbl>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indenture related to our DISH DBS Senior Secured Notes contain restrictive covenants that, among other things, impose limitations on the ability of DISH DBS and its restricted subsidiaries to:</w:t>
      </w:r>
    </w:p>
    <w:p>
      <w:pPr>
        <w:pStyle w:val="TextBody"/>
        <w:bidi w:val="0"/>
        <w:spacing w:before="0" w:after="0"/>
        <w:ind w:left="0" w:right="0" w:hanging="0"/>
        <w:jc w:val="left"/>
        <w:rPr/>
      </w:pPr>
      <w:r>
        <w:rPr/>
        <w:t>​</w:t>
      </w:r>
    </w:p>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make distributions on DISH DBS’ capital stock or repurchase DISH DBS’ capital stock;</w:t>
            </w:r>
          </w:p>
        </w:tc>
      </w:tr>
    </w:tbl>
    <w:tbl>
      <w:tblPr>
        <w:tblW w:w="2646" w:type="dxa"/>
        <w:jc w:val="left"/>
        <w:tblInd w:w="0" w:type="dxa"/>
        <w:tblLayout w:type="fixed"/>
        <w:tblCellMar>
          <w:top w:w="28" w:type="dxa"/>
          <w:left w:w="28" w:type="dxa"/>
          <w:bottom w:w="28" w:type="dxa"/>
          <w:right w:w="28" w:type="dxa"/>
        </w:tblCellMar>
      </w:tblPr>
      <w:tblGrid>
        <w:gridCol w:w="124"/>
        <w:gridCol w:w="25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 or enter into sale and leaseback transactions;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transactions with affiliates;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or consolidate with another company; and</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or sell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change of control, as defined in the related indenture, we would be required to make an offer to repurchase all or any part of a holder’s Senior Secured Notes at a purchase price equal to 101% of the aggregate principal amount thereof, together with accrued and unpaid interest thereon, to the date of repurchase.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5 1/4%</w:t>
      </w:r>
      <w:r>
        <w:rPr>
          <w:rFonts w:ascii="Times New Roman;Times;serif" w:hAnsi="Times New Roman;Times;serif"/>
          <w:sz w:val="20"/>
        </w:rPr>
        <w:t xml:space="preserve"> </w:t>
      </w:r>
      <w:r>
        <w:rPr>
          <w:rFonts w:ascii="Times New Roman;Times;serif" w:hAnsi="Times New Roman;Times;serif"/>
          <w:b/>
          <w:i/>
          <w:sz w:val="20"/>
        </w:rPr>
        <w:t>Senior Secured Notes due 2026</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26, 2021, we issued $2.750 billion aggregate principal amount of our </w:t>
      </w:r>
      <w:r>
        <w:rPr>
          <w:rFonts w:ascii="Times New Roman;Times;serif" w:hAnsi="Times New Roman;Times;serif"/>
          <w:b w:val="false"/>
          <w:i w:val="false"/>
          <w:caps w:val="false"/>
          <w:smallCaps w:val="false"/>
          <w:sz w:val="20"/>
        </w:rPr>
        <w:t>5 1/4%</w:t>
      </w:r>
      <w:r>
        <w:rPr>
          <w:rFonts w:ascii="Times New Roman;Times;serif" w:hAnsi="Times New Roman;Times;serif"/>
          <w:sz w:val="20"/>
        </w:rPr>
        <w:t xml:space="preserve"> Senior Secured Notes due December 1, 2026. Interest accrues at an annual rate of </w:t>
      </w:r>
      <w:r>
        <w:rPr>
          <w:rFonts w:ascii="Times New Roman;Times;serif" w:hAnsi="Times New Roman;Times;serif"/>
          <w:b w:val="false"/>
          <w:i w:val="false"/>
          <w:caps w:val="false"/>
          <w:smallCaps w:val="false"/>
          <w:sz w:val="20"/>
        </w:rPr>
        <w:t>5 1/4%</w:t>
      </w:r>
      <w:r>
        <w:rPr>
          <w:rFonts w:ascii="Times New Roman;Times;serif" w:hAnsi="Times New Roman;Times;serif"/>
          <w:sz w:val="20"/>
        </w:rPr>
        <w:t xml:space="preserve"> and is payable semi-annually in cash, in arrears on June 1 and December 1 of each year, commencing on June 1, 2022.</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566" w:name="Narr_lIXUeEkut0a9QhUNfCJfyA"/>
      <w:bookmarkEnd w:id="1566"/>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5 1/4%</w:t>
      </w:r>
      <w:r>
        <w:rPr>
          <w:rFonts w:ascii="Times New Roman;Times;serif" w:hAnsi="Times New Roman;Times;serif"/>
          <w:sz w:val="20"/>
        </w:rPr>
        <w:t xml:space="preserve"> Senior Secured Notes due 2026 are redeemable, in whole or in part, at any time prior to June 1, 2026 (the “2026 Par Call Date”) at a redemption price equal to 100% of the principal amount plus a “make-whole” premium, as defined in the related indenture, together with accrued and unpaid interest.  At any time on or after the 2026 Par Call Date, we may redeem the </w:t>
      </w:r>
      <w:r>
        <w:rPr>
          <w:rFonts w:ascii="Times New Roman;Times;serif" w:hAnsi="Times New Roman;Times;serif"/>
          <w:b w:val="false"/>
          <w:i w:val="false"/>
          <w:caps w:val="false"/>
          <w:smallCaps w:val="false"/>
          <w:sz w:val="20"/>
        </w:rPr>
        <w:t>5 1/4%</w:t>
      </w:r>
      <w:r>
        <w:rPr>
          <w:rFonts w:ascii="Times New Roman;Times;serif" w:hAnsi="Times New Roman;Times;serif"/>
          <w:sz w:val="20"/>
        </w:rPr>
        <w:t xml:space="preserve"> Senior Secured Notes due 2026, in whole at any time or in part from time to time, at a price equal to 100% of the principal amount thereof, plus accrued and unpaid interest, if any, to the redemption date. Prior to December 1, 2024, we may also redeem up to 35% of the </w:t>
      </w:r>
      <w:r>
        <w:rPr>
          <w:rFonts w:ascii="Times New Roman;Times;serif" w:hAnsi="Times New Roman;Times;serif"/>
          <w:b w:val="false"/>
          <w:i w:val="false"/>
          <w:caps w:val="false"/>
          <w:smallCaps w:val="false"/>
          <w:sz w:val="20"/>
        </w:rPr>
        <w:t>5 1/4%</w:t>
      </w:r>
      <w:r>
        <w:rPr>
          <w:rFonts w:ascii="Times New Roman;Times;serif" w:hAnsi="Times New Roman;Times;serif"/>
          <w:sz w:val="20"/>
        </w:rPr>
        <w:t xml:space="preserve"> Senior Secured Notes due 2026 at a specified premium with the net cash proceeds from certain equity offerings or capital contributions. At any time and from time to time during the 36-month period following the issue date of the </w:t>
      </w:r>
      <w:r>
        <w:rPr>
          <w:rFonts w:ascii="Times New Roman;Times;serif" w:hAnsi="Times New Roman;Times;serif"/>
          <w:b w:val="false"/>
          <w:i w:val="false"/>
          <w:caps w:val="false"/>
          <w:smallCaps w:val="false"/>
          <w:sz w:val="20"/>
        </w:rPr>
        <w:t>5 1/4%</w:t>
      </w:r>
      <w:r>
        <w:rPr>
          <w:rFonts w:ascii="Times New Roman;Times;serif" w:hAnsi="Times New Roman;Times;serif"/>
          <w:sz w:val="20"/>
        </w:rPr>
        <w:t xml:space="preserve"> Senior Secured Notes due 2026,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5 3/4%</w:t>
      </w:r>
      <w:r>
        <w:rPr>
          <w:rFonts w:ascii="Times New Roman;Times;serif" w:hAnsi="Times New Roman;Times;serif"/>
          <w:sz w:val="20"/>
        </w:rPr>
        <w:t xml:space="preserve"> </w:t>
      </w:r>
      <w:r>
        <w:rPr>
          <w:rFonts w:ascii="Times New Roman;Times;serif" w:hAnsi="Times New Roman;Times;serif"/>
          <w:b/>
          <w:i/>
          <w:sz w:val="20"/>
        </w:rPr>
        <w:t>Senior Secured Notes due 2028</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26, 2021, we issued $2.5 billion aggregate principal amount of our </w:t>
      </w:r>
      <w:r>
        <w:rPr>
          <w:rFonts w:ascii="Times New Roman;Times;serif" w:hAnsi="Times New Roman;Times;serif"/>
          <w:b w:val="false"/>
          <w:i w:val="false"/>
          <w:caps w:val="false"/>
          <w:smallCaps w:val="false"/>
          <w:sz w:val="20"/>
        </w:rPr>
        <w:t>5 3/4%</w:t>
      </w:r>
      <w:r>
        <w:rPr>
          <w:rFonts w:ascii="Times New Roman;Times;serif" w:hAnsi="Times New Roman;Times;serif"/>
          <w:sz w:val="20"/>
        </w:rPr>
        <w:t xml:space="preserve"> Senior Secured Notes due December 1, 2028. Interest accrues at an annual rate of </w:t>
      </w:r>
      <w:r>
        <w:rPr>
          <w:rFonts w:ascii="Times New Roman;Times;serif" w:hAnsi="Times New Roman;Times;serif"/>
          <w:b w:val="false"/>
          <w:i w:val="false"/>
          <w:caps w:val="false"/>
          <w:smallCaps w:val="false"/>
          <w:sz w:val="20"/>
        </w:rPr>
        <w:t>5 3/4%</w:t>
      </w:r>
      <w:r>
        <w:rPr>
          <w:rFonts w:ascii="Times New Roman;Times;serif" w:hAnsi="Times New Roman;Times;serif"/>
          <w:sz w:val="20"/>
        </w:rPr>
        <w:t xml:space="preserve"> and is payable semi-annually in cash, in arrears on June 1 and December 1 of each year, commencing on June 1, 2022.</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5 3/4%</w:t>
      </w:r>
      <w:r>
        <w:rPr>
          <w:rFonts w:ascii="Times New Roman;Times;serif" w:hAnsi="Times New Roman;Times;serif"/>
          <w:sz w:val="20"/>
        </w:rPr>
        <w:t xml:space="preserve"> Senior Secured Notes due 2028 are redeemable, in whole or in part, at any time prior to December 1, 2027 (the “2028 Par Call Date”) at a redemption price equal to 100% of the principal amount plus a “make-whole” premium, as defined in the related indenture, together with accrued and unpaid interest.  At any time on or after the 2028 Par Call Date, we may redeem the </w:t>
      </w:r>
      <w:r>
        <w:rPr>
          <w:rFonts w:ascii="Times New Roman;Times;serif" w:hAnsi="Times New Roman;Times;serif"/>
          <w:b w:val="false"/>
          <w:i w:val="false"/>
          <w:caps w:val="false"/>
          <w:smallCaps w:val="false"/>
          <w:sz w:val="20"/>
        </w:rPr>
        <w:t>5 3/4%</w:t>
      </w:r>
      <w:r>
        <w:rPr>
          <w:rFonts w:ascii="Times New Roman;Times;serif" w:hAnsi="Times New Roman;Times;serif"/>
          <w:sz w:val="20"/>
        </w:rPr>
        <w:t xml:space="preserve"> Senior Secured Notes due 2028, in whole at any time or in part from time to time, at a price equal to 100% of the principal amount thereof, plus accrued and unpaid interest, if any, to the redemption date. Prior to December 1, 2024, we may also redeem up to 35% of the </w:t>
      </w:r>
      <w:r>
        <w:rPr>
          <w:rFonts w:ascii="Times New Roman;Times;serif" w:hAnsi="Times New Roman;Times;serif"/>
          <w:b w:val="false"/>
          <w:i w:val="false"/>
          <w:caps w:val="false"/>
          <w:smallCaps w:val="false"/>
          <w:sz w:val="20"/>
        </w:rPr>
        <w:t>5 3/4%</w:t>
      </w:r>
      <w:r>
        <w:rPr>
          <w:rFonts w:ascii="Times New Roman;Times;serif" w:hAnsi="Times New Roman;Times;serif"/>
          <w:sz w:val="20"/>
        </w:rPr>
        <w:t xml:space="preserve"> Senior Secured Notes due 2028 at a specified premium with the net cash proceeds from certain equity offerings or capital contributions. At any time and from time to time during the 36-month period following the issue date of the </w:t>
      </w:r>
      <w:r>
        <w:rPr>
          <w:rFonts w:ascii="Times New Roman;Times;serif" w:hAnsi="Times New Roman;Times;serif"/>
          <w:b w:val="false"/>
          <w:i w:val="false"/>
          <w:caps w:val="false"/>
          <w:smallCaps w:val="false"/>
          <w:sz w:val="20"/>
        </w:rPr>
        <w:t>5 3/4%</w:t>
      </w:r>
      <w:r>
        <w:rPr>
          <w:rFonts w:ascii="Times New Roman;Times;serif" w:hAnsi="Times New Roman;Times;serif"/>
          <w:sz w:val="20"/>
        </w:rPr>
        <w:t xml:space="preserve"> Senior Secured Notes due 2028,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Intercompany Loan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The net proceeds from the offering of our </w:t>
      </w:r>
      <w:r>
        <w:rPr>
          <w:rFonts w:ascii="Times New Roman;Times;serif" w:hAnsi="Times New Roman;Times;serif"/>
          <w:b w:val="false"/>
          <w:i w:val="false"/>
          <w:caps w:val="false"/>
          <w:smallCaps w:val="false"/>
          <w:sz w:val="20"/>
        </w:rPr>
        <w:t>5 1/4%</w:t>
      </w:r>
      <w:r>
        <w:rPr>
          <w:rFonts w:ascii="Times New Roman;Times;serif" w:hAnsi="Times New Roman;Times;serif"/>
          <w:sz w:val="24"/>
        </w:rPr>
        <w:t xml:space="preserve"> </w:t>
      </w:r>
      <w:r>
        <w:rPr>
          <w:rFonts w:ascii="Times New Roman;Times;serif" w:hAnsi="Times New Roman;Times;serif"/>
          <w:sz w:val="20"/>
        </w:rPr>
        <w:t xml:space="preserve">Senior Secured Notes due 2026 and our </w:t>
      </w:r>
      <w:r>
        <w:rPr>
          <w:rFonts w:ascii="Times New Roman;Times;serif" w:hAnsi="Times New Roman;Times;serif"/>
          <w:b w:val="false"/>
          <w:i w:val="false"/>
          <w:caps w:val="false"/>
          <w:smallCaps w:val="false"/>
          <w:sz w:val="20"/>
        </w:rPr>
        <w:t>5 3/4%</w:t>
      </w:r>
      <w:r>
        <w:rPr>
          <w:rFonts w:ascii="Times New Roman;Times;serif" w:hAnsi="Times New Roman;Times;serif"/>
          <w:sz w:val="24"/>
        </w:rPr>
        <w:t xml:space="preserve"> </w:t>
      </w:r>
      <w:r>
        <w:rPr>
          <w:rFonts w:ascii="Times New Roman;Times;serif" w:hAnsi="Times New Roman;Times;serif"/>
          <w:sz w:val="20"/>
        </w:rPr>
        <w:t>Senior Secured Notes due 2028 (the “Senior Notes”) issued on November 26, 2021 were used by DISH DBS to make an intercompany loan to DISH Network pursuant to a Loan and Security Agreement dated November 26, 2021 (together with potential future advances to DISH Network, the “Intercompany Loan”) between DISH DBS and DISH Network in order to finance the purchase of wireless spectrum licenses and for general corporate purposes, including our 5G Network Deployment. The Intercompany Loan will mature in two tranches, with the first tranche maturing on December 1, 2026 (the “2026 Tranche”) and the second tranche maturing on December 1, 2028</w:t>
      </w:r>
      <w:r>
        <w:rPr>
          <w:rFonts w:ascii="Times New Roman;Times;serif" w:hAnsi="Times New Roman;Times;serif"/>
          <w:sz w:val="24"/>
        </w:rPr>
        <w:t xml:space="preserve"> </w:t>
      </w:r>
      <w:r>
        <w:rPr>
          <w:rFonts w:ascii="Times New Roman;Times;serif" w:hAnsi="Times New Roman;Times;serif"/>
          <w:sz w:val="20"/>
        </w:rPr>
        <w:t>(the “2028 Tranche”). DISH DBS may make additional advances to DISH Network under the Intercompany Loan, and on February 11, 2022, DISH DBS advanced an additional $1.5</w:t>
      </w:r>
      <w:r>
        <w:rPr>
          <w:rFonts w:ascii="Times New Roman;Times;serif" w:hAnsi="Times New Roman;Times;serif"/>
          <w:sz w:val="24"/>
        </w:rPr>
        <w:t xml:space="preserve"> </w:t>
      </w:r>
      <w:r>
        <w:rPr>
          <w:rFonts w:ascii="Times New Roman;Times;serif" w:hAnsi="Times New Roman;Times;serif"/>
          <w:sz w:val="20"/>
        </w:rPr>
        <w:t>billion to DISH Network under the Intercompany Loan 2026 Tranche. Interest accrues and is payable semiannually, and interest payments with respect to the Intercompany Loan are, at our option, payable in kind for the first two years. In the third year, a minimum of 50%</w:t>
      </w:r>
      <w:r>
        <w:rPr>
          <w:rFonts w:ascii="Times New Roman;Times;serif" w:hAnsi="Times New Roman;Times;serif"/>
          <w:sz w:val="24"/>
        </w:rPr>
        <w:t xml:space="preserve"> </w:t>
      </w:r>
      <w:r>
        <w:rPr>
          <w:rFonts w:ascii="Times New Roman;Times;serif" w:hAnsi="Times New Roman;Times;serif"/>
          <w:sz w:val="20"/>
        </w:rPr>
        <w:t>of each interest payment due with respect to each tranche of the Intercompany Loan must be paid in cash. Thereafter, interest payments must be paid in cash. Interest will accrue: (a) when paid in cash, at a fixed rate of 0.25%</w:t>
      </w:r>
      <w:r>
        <w:rPr>
          <w:rFonts w:ascii="Times New Roman;Times;serif" w:hAnsi="Times New Roman;Times;serif"/>
          <w:sz w:val="24"/>
        </w:rPr>
        <w:t xml:space="preserve"> </w:t>
      </w:r>
      <w:r>
        <w:rPr>
          <w:rFonts w:ascii="Times New Roman;Times;serif" w:hAnsi="Times New Roman;Times;serif"/>
          <w:sz w:val="20"/>
        </w:rPr>
        <w:t xml:space="preserve">per annum in excess of the interest rate applicable to, in the case of the 2026 Tranche, the </w:t>
      </w:r>
      <w:r>
        <w:rPr>
          <w:rFonts w:ascii="Times New Roman;Times;serif" w:hAnsi="Times New Roman;Times;serif"/>
          <w:b w:val="false"/>
          <w:i w:val="false"/>
          <w:caps w:val="false"/>
          <w:smallCaps w:val="false"/>
          <w:sz w:val="20"/>
        </w:rPr>
        <w:t>5 1/4%</w:t>
      </w:r>
      <w:r>
        <w:rPr>
          <w:rFonts w:ascii="Times New Roman;Times;serif" w:hAnsi="Times New Roman;Times;serif"/>
          <w:sz w:val="24"/>
        </w:rPr>
        <w:t xml:space="preserve"> </w:t>
      </w:r>
      <w:r>
        <w:rPr>
          <w:rFonts w:ascii="Times New Roman;Times;serif" w:hAnsi="Times New Roman;Times;serif"/>
          <w:sz w:val="20"/>
        </w:rPr>
        <w:t>Senior Secured Notes due 2026, and in the case of the 2028 Tranche, the 5 3/4%</w:t>
      </w:r>
      <w:r>
        <w:rPr>
          <w:rFonts w:ascii="Times New Roman;Times;serif" w:hAnsi="Times New Roman;Times;serif"/>
          <w:sz w:val="24"/>
        </w:rPr>
        <w:t xml:space="preserve"> </w:t>
      </w:r>
      <w:r>
        <w:rPr>
          <w:rFonts w:ascii="Times New Roman;Times;serif" w:hAnsi="Times New Roman;Times;serif"/>
          <w:sz w:val="20"/>
        </w:rPr>
        <w:t>Senior Secured Notes due 2028 (each, the “Cash Accrual Rate” with respect to the applicable tranche); and (b) when paid in kind, at a rate of 0.75%</w:t>
      </w:r>
      <w:r>
        <w:rPr>
          <w:rFonts w:ascii="Times New Roman;Times;serif" w:hAnsi="Times New Roman;Times;serif"/>
          <w:sz w:val="24"/>
        </w:rPr>
        <w:t xml:space="preserve"> </w:t>
      </w:r>
      <w:r>
        <w:rPr>
          <w:rFonts w:ascii="Times New Roman;Times;serif" w:hAnsi="Times New Roman;Times;serif"/>
          <w:sz w:val="20"/>
        </w:rPr>
        <w:t>per annum in excess of the Cash Accrual Rate for the applicable tranche. As of December 31, 2023, the total Intercompany Loan amount outstanding plus interest paid in kind was $7.496</w:t>
      </w:r>
      <w:r>
        <w:rPr>
          <w:rFonts w:ascii="Times New Roman;Times;serif" w:hAnsi="Times New Roman;Times;serif"/>
          <w:sz w:val="24"/>
        </w:rPr>
        <w:t xml:space="preserve"> </w:t>
      </w:r>
      <w:r>
        <w:rPr>
          <w:rFonts w:ascii="Times New Roman;Times;serif" w:hAnsi="Times New Roman;Times;serif"/>
          <w:sz w:val="20"/>
        </w:rPr>
        <w:t>billion. As of December 31, 2023, interest payments for the Intercompany Loan paid in cash totaled $105</w:t>
      </w:r>
      <w:r>
        <w:rPr>
          <w:rFonts w:ascii="Times New Roman;Times;serif" w:hAnsi="Times New Roman;Times;serif"/>
          <w:sz w:val="24"/>
        </w:rPr>
        <w:t xml:space="preserve"> </w:t>
      </w:r>
      <w:r>
        <w:rPr>
          <w:rFonts w:ascii="Times New Roman;Times;serif" w:hAnsi="Times New Roman;Times;serif"/>
          <w:sz w:val="20"/>
        </w:rPr>
        <w:t>million. In January 2024, the 2026 Tranche of $4.7</w:t>
      </w:r>
      <w:r>
        <w:rPr>
          <w:rFonts w:ascii="Times New Roman;Times;serif" w:hAnsi="Times New Roman;Times;serif"/>
          <w:sz w:val="24"/>
        </w:rPr>
        <w:t xml:space="preserve"> </w:t>
      </w:r>
      <w:r>
        <w:rPr>
          <w:rFonts w:ascii="Times New Roman;Times;serif" w:hAnsi="Times New Roman;Times;serif"/>
          <w:sz w:val="20"/>
        </w:rPr>
        <w:t>billion</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was assigned to </w:t>
      </w:r>
      <w:r>
        <w:rPr>
          <w:rFonts w:ascii="Times New Roman;Times;serif" w:hAnsi="Times New Roman;Times;serif"/>
          <w:sz w:val="20"/>
        </w:rPr>
        <w:t>EchoStar Intercompany Receivable Company L.L.C.</w:t>
      </w:r>
      <w:r>
        <w:rPr>
          <w:rFonts w:ascii="Times New Roman;Times;serif" w:hAnsi="Times New Roman;Times;serif"/>
          <w:sz w:val="20"/>
          <w:shd w:fill="FFFFFF" w:val="clear"/>
        </w:rPr>
        <w:t xml:space="preserve">, our parent, EchoStar’s, direct wholly-owned subsidiary, such that amounts owed in respect of the </w:t>
      </w:r>
      <w:r>
        <w:rPr>
          <w:rFonts w:ascii="Times New Roman;Times;serif" w:hAnsi="Times New Roman;Times;serif"/>
          <w:sz w:val="20"/>
        </w:rPr>
        <w:t>2026 Tranche</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will now be paid by DISH Network to </w:t>
      </w:r>
      <w:r>
        <w:rPr>
          <w:rFonts w:ascii="Times New Roman;Times;serif" w:hAnsi="Times New Roman;Times;serif"/>
          <w:sz w:val="20"/>
        </w:rPr>
        <w:t>EchoStar Intercompany Receivable L.L.C. See Note 18 for further information.</w:t>
      </w:r>
    </w:p>
    <w:p>
      <w:pPr>
        <w:pStyle w:val="TextBody"/>
        <w:bidi w:val="0"/>
        <w:spacing w:before="0" w:after="12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567" w:name="Narr_gdLLRXsPpku4KsxZfJw-UA"/>
      <w:bookmarkEnd w:id="1567"/>
      <w:r>
        <w:rPr>
          <w:rFonts w:ascii="Times New Roman;Times;serif" w:hAnsi="Times New Roman;Times;serif"/>
          <w:sz w:val="20"/>
        </w:rPr>
        <w:t>The cash proceeds of the Intercompany Loan of $6.750 billion were paid to the FCC in connection with Weminuche’s winning bids in Auction 110. As a result, the Intercompany Loan is secured by Weminuche’s interest in the wireless spectrum licenses acquired in Auction 110 with such cash proceeds up to the total loan amount outstanding including interest paid in kind.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remaining balance of our winning bids of approximately $455 million was paid from cash and marketable investment securities balances at that time, for a total of approximately $7.205 billion. Under certain circumstances, DISH Network wireless spectrum licenses (valued based upon a third-party valuation) may be substituted for the collateral. The Intercompany Loan is not included as collateral for the Senior Secured Notes, and the Senior Secured Notes are subordinated to DISH DBS’s existing and certain future unsecured notes with respect to certain realizations under the Intercompany Loan and any collateral pledged as security for the Intercompany Loan.</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DISH Network Senior Secured Notes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DISH Network Senior Secured Notes are:</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unsecured obligations and guaranteed by certain restricted subsidiaries on a senior secured basis and certain other material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on a first priority basis by security interests, in favor of the secured parties, in the collateral, which consists primarily of interests in wireless spectrum licenses within the 600 MHz band (“the Spectrum Collateral”) owned by one of the secured guarantors and any additional subsidiaries of ours that may be added as guarantors from time to time and equity interests in the Spectrum Collateral guarantor(s) and DISH DBS;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equally in right of payment with all of our and the guarantor’s existing and future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senior in right of payment to any of our and the guarantors’ subordinated indebtedness and effectively senior to any of the Secured Guarantors unsecured indebtedness and indebtedness secured by junior liens on the collateral to the extent of the value of the collateral and effectively junior to all the existing and future obligations of any of our subsidiaries that are not Guarantors.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ranked effectively junior to our obligations and the obligations of the guarantors that are secured by assets that do not constitute collateral to the extent of the value of such assets;</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indenture related to our DISH Network Senior Secured Notes contain restrictive covenants that, among other things, impose limitations on our ability and certain of our subsidiaries to: </w:t>
      </w:r>
    </w:p>
    <w:p>
      <w:pPr>
        <w:pStyle w:val="TextBody"/>
        <w:bidi w:val="0"/>
        <w:spacing w:before="0" w:after="0"/>
        <w:ind w:left="0" w:right="0" w:hanging="0"/>
        <w:jc w:val="left"/>
        <w:rPr>
          <w:shd w:fill="FFFF00" w:val="clear"/>
        </w:rPr>
      </w:pPr>
      <w:r>
        <w:rPr>
          <w:shd w:fill="FFFF00" w:val="clear"/>
        </w:rPr>
        <w:t>​</w:t>
      </w:r>
    </w:p>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make distributions on our capital stock or repurchase our capital stock;</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 of Spectrum Collateral;</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 or enter into sale and leaseback transactions;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transactions with affiliates;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or consolidate with another company; and</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or sell assets.</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change of control, as defined in the related indenture, we would be required to make an offer to repurchase all or any part of a holder’s DISH Network Senior Secured Notes at a purchase price equal to 101% of the aggregate principal amount thereof, together with accrued and unpaid interest thereon, to the date of repurchase.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b/>
          <w:i/>
          <w:sz w:val="20"/>
        </w:rPr>
        <w:t>11 3/4%</w:t>
      </w:r>
      <w:r>
        <w:rPr>
          <w:rFonts w:ascii="Times New Roman;Times;serif" w:hAnsi="Times New Roman;Times;serif"/>
          <w:sz w:val="16"/>
        </w:rPr>
        <w:t xml:space="preserve"> </w:t>
      </w:r>
      <w:r>
        <w:rPr>
          <w:rFonts w:ascii="Times New Roman;Times;serif" w:hAnsi="Times New Roman;Times;serif"/>
          <w:b/>
          <w:i/>
          <w:sz w:val="20"/>
        </w:rPr>
        <w:t>Senior Secured Notes due 2027</w:t>
      </w:r>
    </w:p>
    <w:p>
      <w:pPr>
        <w:pStyle w:val="TextBody"/>
        <w:bidi w:val="0"/>
        <w:spacing w:before="0" w:after="12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15, 2022 and January 26, 2023, we issued $2.0 billion and $1.5 billion, respectively, aggregate principal amount of our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November 15, 2027. Interest accrues at an annual rate of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and is payable semi-annually in cash, in arrears on May 15 and November 15 of each year, commencing on May 15, 2023.</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568" w:name="Tc_Anh9Ju_GrEunCWCBKSHYbA_13_5"/>
      <w:bookmarkStart w:id="1569" w:name="Tc_9_aQGBzvb02XdPtw28CPaw_13_3"/>
      <w:bookmarkStart w:id="1570" w:name="Tc_CQ7IsRZGPE2S_mRY1PW4Rg_13_1"/>
      <w:bookmarkStart w:id="1571" w:name="Tc_HCjyghVblk-W7cRX6fejpw_13_0"/>
      <w:bookmarkStart w:id="1572" w:name="Narr_JTYPD-obBU6lLZatlM-zDA"/>
      <w:bookmarkStart w:id="1573" w:name="Tc_uRXU7aZatUeMkJoEpvyPoA_12_5"/>
      <w:bookmarkStart w:id="1574" w:name="Tc_xWyC0Pthw0Sk_e1s29aUIQ_12_3"/>
      <w:bookmarkStart w:id="1575" w:name="Tc_v8kOn6j5ZUKZHGcq7PbmFw_12_1"/>
      <w:bookmarkStart w:id="1576" w:name="Tc_GPXoq-xfbEawRg8OjRFsSw_12_0"/>
      <w:bookmarkStart w:id="1577" w:name="Narr_j3BeEhrLUEG6fLJsB8RnQQ"/>
      <w:bookmarkStart w:id="1578" w:name="Tc_KcQgkxUBUkCHfDwqghhv9w_11_5"/>
      <w:bookmarkStart w:id="1579" w:name="Tc_9UHmfyLs2kKTaD2YL68Pag_11_3"/>
      <w:bookmarkStart w:id="1580" w:name="Tc_FGG7WIBce0KKRef3imOovQ_11_1"/>
      <w:bookmarkStart w:id="1581" w:name="Tc_7Rxv9J8-IkeEh9MFi1JsZA_11_0"/>
      <w:bookmarkStart w:id="1582" w:name="Narr_AYzqqTedWkeuAvj4yvLIHA"/>
      <w:bookmarkStart w:id="1583" w:name="Tc_tLzxQpdiVU-YMsb5EOKRxA_10_5"/>
      <w:bookmarkStart w:id="1584" w:name="Tc_bnc-Lu2sakeKo1MqV_KMcA_10_3"/>
      <w:bookmarkStart w:id="1585" w:name="Tc_XQxUiDahcUqrqH8iipn-1w_10_1"/>
      <w:bookmarkStart w:id="1586" w:name="Tc_k7Qb0CsT3EW-xPdM2cxkGw_10_0"/>
      <w:bookmarkStart w:id="1587" w:name="Narr_F05fIOz_CkWGZvYgo98jOA"/>
      <w:bookmarkStart w:id="1588" w:name="Tc_URENC0-ZxUWV9bInP96X3g_9_5"/>
      <w:bookmarkStart w:id="1589" w:name="Tc_gcjvneuLwk-k5Pg7-Jgggg_9_3"/>
      <w:bookmarkStart w:id="1590" w:name="Tc_sJTjs0sNXECWlakemRykjg_9_1"/>
      <w:bookmarkStart w:id="1591" w:name="Tc_etzZp8oz40W2oIovraFYWA_9_0"/>
      <w:bookmarkStart w:id="1592" w:name="Narr_y6jCqIZFrkW82ZqW8vc4FA"/>
      <w:bookmarkStart w:id="1593" w:name="Tc_c512dLSGBUmgMUAeQTxT5w_8_5"/>
      <w:bookmarkStart w:id="1594" w:name="Tc_E2nlENaJ7UWzjGeOOxtxEg_8_3"/>
      <w:bookmarkStart w:id="1595" w:name="Tc_uW_SeBnLJE6F-PdwDoXYWg_8_1"/>
      <w:bookmarkStart w:id="1596" w:name="Tc_Gx818mxsTkGkpQy2-j45MQ_8_0"/>
      <w:bookmarkStart w:id="1597" w:name="Narr_mLZIw_XLC0CfjpBwQXac-Q"/>
      <w:bookmarkStart w:id="1598" w:name="Tc_9WBBztf4nESjop8OwwQCBg_7_5"/>
      <w:bookmarkStart w:id="1599" w:name="Tc_7uWgLCEgU0yX2Jw9fY2AzA_7_3"/>
      <w:bookmarkStart w:id="1600" w:name="Tc_E37EOjo3jECyIFyWBw66Ng_7_1"/>
      <w:bookmarkStart w:id="1601" w:name="Tc_emjYjBo2J0--MoyGZqXNkQ_7_0"/>
      <w:bookmarkStart w:id="1602" w:name="Narr_ZtHAzk2uSkONphAZmt8QTw"/>
      <w:bookmarkStart w:id="1603" w:name="Tc_DXHQWu1cx0ysYEF4LC7D0w_6_5"/>
      <w:bookmarkStart w:id="1604" w:name="Tc_xjgx9zHkxUCTTHa63aobgw_6_3"/>
      <w:bookmarkStart w:id="1605" w:name="Tc_9rQvGwkyekCmg9CAeZI9Jg_6_1"/>
      <w:bookmarkStart w:id="1606" w:name="Tc_l4wEcXFxGEWli-1wFCk7Og_6_0"/>
      <w:bookmarkStart w:id="1607" w:name="Narr_5_TPrplI4UKBKuN56j_Skw"/>
      <w:bookmarkStart w:id="1608" w:name="Tc_dhtz42I0gkGzWGEYH73hXQ_5_5"/>
      <w:bookmarkStart w:id="1609" w:name="Tc_LX97XpFEREShO2MtuiTrlw_5_3"/>
      <w:bookmarkStart w:id="1610" w:name="Tc_Anh7k5p_UUWiAglS7u3zNA_5_1"/>
      <w:bookmarkStart w:id="1611" w:name="Tc_D2tOvwUuukux9a4V_ijNcQ_5_0"/>
      <w:bookmarkStart w:id="1612" w:name="Narr_6qEHAwNIRkCpTwtJ7lj2Rw"/>
      <w:bookmarkStart w:id="1613" w:name="Tc_EdnY8XO-Rk6EZ8-OrIATcg_4_5"/>
      <w:bookmarkStart w:id="1614" w:name="Tc_bRVRK8WBYES2e4YljcN5Lg_3_5"/>
      <w:bookmarkStart w:id="1615" w:name="Tc_vCdo6PCw7UavW_GrQADpbQ_3_3"/>
      <w:bookmarkStart w:id="1616" w:name="Tc_CW8d6M86jUaH3ZcrTYkYdQ_3_1"/>
      <w:bookmarkStart w:id="1617" w:name="Tc_Izk0-2VIh0yB8U_fhZSd5w_2_5"/>
      <w:bookmarkStart w:id="1618" w:name="Tc_OG5fOZMO50Sv4WSKHuthwA_2_3"/>
      <w:bookmarkStart w:id="1619" w:name="Tc_aviYuxzlKUGmn7prd5HNdw_1_5"/>
      <w:bookmarkStart w:id="1620" w:name="_5514fb4c_d0a8_455b_85bb_3ea6ce0f50f7"/>
      <w:bookmarkStart w:id="1621" w:name="Narr_sARZ1oAofEmyPQoPD3gp-A"/>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are redeemable, in whole or in part, at any time prior to May 15, 2025 at a redemption price equal to 100% of their principal amount plus a “make-whole” premium, as defined in the related indenture, together with accrued and unpaid interest. At any time on or after May 15, 2025, we may redeem the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in whole at any time or in part from time to time, at the redemption prices specified in the related indenture, together with accrued and unpaid interest, if any, to the redemption date. Prior to May 15, 2025, we may also redeem up to 40% of the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at a redemption price equal to 111.750% of the aggregate principal amount of the 11 3/4% Senior Secured Notes due 2027 redeemed, together with accrued and unpaid interest to such redemption date, with the net cash proceeds from certain equity offerings or capital contributions.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related indenture, we are required to obtain an initial appraisal of the Spectrum Collateral by an independent appraiser (the “Initial Appraisal”) within 120 days following the issue date of the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As of January 17, 2023, the Initial Appraisal certified we had satisfied the requirements under the loan-to-value ratio (as defined in the Indenture). Based on the independent appraisal, the loan-to-value ratio was not greater than 0.35 to 1.00 and the fair market value of the Spectrum Collateral was $10.04 billion. We will also be required to obtain a second appraisal of the Spectrum Collateral (a “Second Appraisal”) within 120 days of the date if wireless spectrum licenses that form part of the Spectrum Collateral accounting for more than 10% of the aggregate MHz-POPs of all such licenses constituting the Spectrum Collateral are forfeited to the Federal Communications Commission as a result of our failure to meet its buildout milestones with respect to such forfeited licenses. If we fail to deliver the Initial Appraisal or a Second Appraisal, as applicable, within 120 days following the issue date of the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or the date of forfeiture, respectively, then we will be required to redeem all of the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at a redemption price equal to 102% of their principal amount, plus accrued and unpaid interest to, but excluding, the redemption date.</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the loan-to-value ratio with respect to the Spectrum Collateral as of the date of the Initial Appraisal or the Second Appraisal, as applicable, is greater than 0.35 to 1.00, then within 60 days following the date of the delivery of the Initial Appraisal, or within 90 days following the date of the delivery of the Second Appraisal, as applicable, we will be required to add additional Spectrum Collateral guarantors and/or pledge (or cause to be pledged) cash or interests in additional wireless spectrum licenses as Spectrum Collateral to comply with the required loan-to-value ratio of 0.35 to 1.00. If we fail to add such additional Spectrum Collateral and/or pledge (or cause to be pledged) cash or interests in additional wireless spectrum licenses, we will be required to redeem an amount of </w:t>
      </w:r>
      <w:r>
        <w:rPr>
          <w:rFonts w:ascii="Times New Roman;Times;serif" w:hAnsi="Times New Roman;Times;serif"/>
          <w:b w:val="false"/>
          <w:i w:val="false"/>
          <w:caps w:val="false"/>
          <w:smallCaps w:val="false"/>
          <w:sz w:val="20"/>
        </w:rPr>
        <w:t>11 3/4%</w:t>
      </w:r>
      <w:r>
        <w:rPr>
          <w:rFonts w:ascii="Times New Roman;Times;serif" w:hAnsi="Times New Roman;Times;serif"/>
          <w:sz w:val="20"/>
        </w:rPr>
        <w:t xml:space="preserve"> Senior Secured Notes due 2027 such that immediately after giving effect to such redemption, the loan-to-value ratio shall not be greater than 0.35 to 1.00 at a redemption price equal to 102% of their principal amount, plus accrued and unpaid interest to, but excluding, the redemption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Interest on Long-Term Debt </w:t>
      </w:r>
    </w:p>
    <w:p>
      <w:pPr>
        <w:pStyle w:val="TextBody"/>
        <w:bidi w:val="0"/>
        <w:spacing w:before="0" w:after="0"/>
        <w:ind w:left="0" w:right="0" w:hanging="0"/>
        <w:jc w:val="left"/>
        <w:rPr/>
      </w:pPr>
      <w:r>
        <w:rPr/>
        <w:t>​</w:t>
      </w:r>
    </w:p>
    <w:tbl>
      <w:tblPr>
        <w:tblW w:w="8557" w:type="dxa"/>
        <w:jc w:val="left"/>
        <w:tblInd w:w="0" w:type="dxa"/>
        <w:tblLayout w:type="fixed"/>
        <w:tblCellMar>
          <w:top w:w="0" w:type="dxa"/>
          <w:left w:w="0" w:type="dxa"/>
          <w:bottom w:w="0" w:type="dxa"/>
          <w:right w:w="0" w:type="dxa"/>
        </w:tblCellMar>
      </w:tblPr>
      <w:tblGrid>
        <w:gridCol w:w="3436"/>
        <w:gridCol w:w="616"/>
        <w:gridCol w:w="326"/>
        <w:gridCol w:w="2386"/>
        <w:gridCol w:w="326"/>
        <w:gridCol w:w="271"/>
        <w:gridCol w:w="1005"/>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81860" cy="175260"/>
                      <wp:effectExtent l="0" t="0" r="0" b="0"/>
                      <wp:wrapNone/>
                      <wp:docPr id="438" name="Frame438"/>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91160" cy="175260"/>
                      <wp:effectExtent l="0" t="0" r="0" b="0"/>
                      <wp:wrapNone/>
                      <wp:docPr id="439" name="Frame43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515110" cy="175260"/>
                      <wp:effectExtent l="0" t="0" r="0" b="0"/>
                      <wp:wrapNone/>
                      <wp:docPr id="441" name="Frame44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2085" cy="175260"/>
                      <wp:effectExtent l="0" t="0" r="0" b="0"/>
                      <wp:wrapNone/>
                      <wp:docPr id="443" name="Frame4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38175" cy="175260"/>
                      <wp:effectExtent l="0" t="0" r="0" b="0"/>
                      <wp:wrapNone/>
                      <wp:docPr id="444" name="Frame444"/>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21285" cy="175260"/>
                      <wp:effectExtent l="0" t="0" r="0" b="0"/>
                      <wp:wrapNone/>
                      <wp:docPr id="445" name="Frame44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Annual</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Semi-Annual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Debt Service</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Issuer</w:t>
            </w:r>
          </w:p>
        </w:tc>
        <w:tc>
          <w:tcPr>
            <w:tcW w:w="326" w:type="dxa"/>
            <w:tcBorders/>
            <w:vAlign w:val="center"/>
          </w:tcPr>
          <w:p>
            <w:pPr>
              <w:pStyle w:val="TableContents"/>
              <w:bidi w:val="0"/>
              <w:spacing w:before="0" w:after="0"/>
              <w:ind w:left="0" w:right="0" w:hanging="0"/>
              <w:jc w:val="left"/>
              <w:rPr/>
            </w:pPr>
            <w:r>
              <w:rPr/>
              <w:t>    </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Payment Dates</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Requirements</w:t>
            </w:r>
          </w:p>
        </w:tc>
        <w:tc>
          <w:tcPr>
            <w:tcW w:w="1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3/8% Convertible Notes due 2024 (1)</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DISH</w:t>
            </w:r>
          </w:p>
        </w:tc>
        <w:tc>
          <w:tcPr>
            <w:tcW w:w="326" w:type="dxa"/>
            <w:tcBorders/>
            <w:shd w:fill="CCEEFF" w:val="clear"/>
            <w:vAlign w:val="center"/>
          </w:tcPr>
          <w:p>
            <w:pPr>
              <w:pStyle w:val="TableContents"/>
              <w:bidi w:val="0"/>
              <w:spacing w:before="0" w:after="0"/>
              <w:ind w:left="0" w:right="0" w:hanging="0"/>
              <w:jc w:val="left"/>
              <w:rPr/>
            </w:pPr>
            <w:r>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15 and September 15</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7/8% Senior Notes due 2024 (2)</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DDBS</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15 and November 15</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117,500</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 3/4% Senior Notes due 2026</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and July 1</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3/8% Convertible Notes due 2026</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DISH</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15 and August 15</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101,250</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1/4% Senior Secured Notes due 2026</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 and December 1</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11 3/4% Senior Secured Notes due 2027 </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DISH</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15 and November 15</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411,250</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 3/8% Senior Notes due 2028</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and July 1</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3/4% Senior Secured Notes due 2028</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DDBS</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 and December 1</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143,750</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1/8% Senior Notes due 2029</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23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 and December 1</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tbl>
      <w:tblPr>
        <w:tblW w:w="7787" w:type="dxa"/>
        <w:jc w:val="left"/>
        <w:tblInd w:w="0" w:type="dxa"/>
        <w:tblLayout w:type="fixed"/>
        <w:tblCellMar>
          <w:top w:w="0" w:type="dxa"/>
          <w:left w:w="0" w:type="dxa"/>
          <w:bottom w:w="0" w:type="dxa"/>
          <w:right w:w="0" w:type="dxa"/>
        </w:tblCellMar>
      </w:tblPr>
      <w:tblGrid>
        <w:gridCol w:w="346"/>
        <w:gridCol w:w="74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2 3/8%</w:t>
            </w:r>
            <w:r>
              <w:rPr>
                <w:caps w:val="false"/>
                <w:smallCaps w:val="false"/>
              </w:rPr>
              <w:t xml:space="preserve"> </w:t>
            </w:r>
            <w:r>
              <w:rPr>
                <w:rFonts w:ascii="Times New Roman;Times;serif" w:hAnsi="Times New Roman;Times;serif"/>
                <w:b w:val="false"/>
                <w:i w:val="false"/>
                <w:caps w:val="false"/>
                <w:smallCaps w:val="false"/>
                <w:sz w:val="20"/>
              </w:rPr>
              <w:t>Convertible Notes due 2024 matured and were redeemed on March 15, 2024</w:t>
            </w:r>
            <w:r>
              <w:rPr>
                <w:rFonts w:ascii="Times New Roman;Times;serif" w:hAnsi="Times New Roman;Times;serif"/>
                <w:b w:val="false"/>
                <w:i w:val="false"/>
                <w:caps w:val="false"/>
                <w:smallCaps w:val="false"/>
                <w:sz w:val="24"/>
              </w:rPr>
              <w:t>.</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5 7/8%</w:t>
            </w:r>
            <w:r>
              <w:rPr>
                <w:caps w:val="false"/>
                <w:smallCaps w:val="false"/>
              </w:rPr>
              <w:t xml:space="preserve"> </w:t>
            </w:r>
            <w:r>
              <w:rPr>
                <w:rFonts w:ascii="Times New Roman;Times;serif" w:hAnsi="Times New Roman;Times;serif"/>
                <w:b w:val="false"/>
                <w:i w:val="false"/>
                <w:caps w:val="false"/>
                <w:smallCaps w:val="false"/>
                <w:sz w:val="20"/>
              </w:rPr>
              <w:t>Senior Notes due 2024 mature on November 15, 2024 and have been reclassified to “Current portion of long-term debt and finance lease obligations” on our Consolidated Balance Sheets as of December 31, 2023.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622" w:name="_Hlk535251887"/>
      <w:bookmarkStart w:id="1623" w:name="Tc_qg06ayI8vECTeu1rnR3noA_8_5"/>
      <w:bookmarkStart w:id="1624" w:name="Tc_06FJJ9gLQkSN5X3DSzgkbA_8_2"/>
      <w:bookmarkStart w:id="1625" w:name="Tc_PvpjkRLyq0C2h55mMkGlTA_8_0"/>
      <w:bookmarkStart w:id="1626" w:name="Tc_U8h1vglGp02ua_bym5tcUA_7_0"/>
      <w:bookmarkStart w:id="1627" w:name="Tc_qcaxgfgmkkeyZc-KjJHMhg_6_0"/>
      <w:bookmarkStart w:id="1628" w:name="Tc_kWFKjas2ZU6i8TCoAPiKdA_5_0"/>
      <w:bookmarkStart w:id="1629" w:name="Tc_H6SxJfTaqEKHTheTRDyhzw_4_5"/>
      <w:bookmarkStart w:id="1630" w:name="Tc_Vi2ExDi3iEq2LlIA-F1Olw_4_2"/>
      <w:bookmarkStart w:id="1631" w:name="Tc_N3-mhjxSWkaCeAK7ry494g_4_0"/>
      <w:bookmarkStart w:id="1632" w:name="Tc_2URdWNwrkkCIcLbsTBYwUg_3_2"/>
      <w:bookmarkStart w:id="1633" w:name="Tc_kFFI45SmbEGWprC5E2bW6A_2_5"/>
      <w:bookmarkStart w:id="1634" w:name="Tc_pSAP4DfsAEq_Ok7l4VK4lg_2_2"/>
      <w:bookmarkStart w:id="1635" w:name="Tc_Z0lvAtjb-kyLfxaEafxFDQ_1_2"/>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Materially all of our interest expense is being capitalized, including the interest expense associated with the amortization of the debt discounts on our Convertible Notes. See Note 2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meet our debt service requirements will depend on, among other factors, the successful execution of our business strategy, which is subject to uncertainties and contingencies beyond our control.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Long-Term Debt and Finance Lease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debt and finance lease obligations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96"/>
        <w:gridCol w:w="326"/>
        <w:gridCol w:w="196"/>
        <w:gridCol w:w="786"/>
        <w:gridCol w:w="326"/>
        <w:gridCol w:w="196"/>
        <w:gridCol w:w="786"/>
        <w:gridCol w:w="193"/>
      </w:tblGrid>
      <w:tr>
        <w:trPr/>
        <w:tc>
          <w:tcPr>
            <w:tcW w:w="7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696460" cy="175260"/>
                      <wp:effectExtent l="0" t="0" r="0" b="0"/>
                      <wp:wrapNone/>
                      <wp:docPr id="446" name="Frame446"/>
                      <a:graphic xmlns:a="http://schemas.openxmlformats.org/drawingml/2006/main">
                        <a:graphicData uri="http://schemas.microsoft.com/office/word/2010/wordprocessingShape">
                          <wps:wsp>
                            <wps:cNvSpPr txBox="1"/>
                            <wps:spPr>
                              <a:xfrm>
                                <a:off x="0" y="0"/>
                                <a:ext cx="469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24460" cy="175260"/>
                      <wp:effectExtent l="0" t="0" r="0" b="0"/>
                      <wp:wrapNone/>
                      <wp:docPr id="448" name="Frame4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99110" cy="175260"/>
                      <wp:effectExtent l="0" t="0" r="0" b="0"/>
                      <wp:wrapNone/>
                      <wp:docPr id="449" name="Frame44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24460" cy="175260"/>
                      <wp:effectExtent l="0" t="0" r="0" b="0"/>
                      <wp:wrapNone/>
                      <wp:docPr id="451" name="Frame4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99110" cy="175260"/>
                      <wp:effectExtent l="0" t="0" r="0" b="0"/>
                      <wp:wrapNone/>
                      <wp:docPr id="452" name="Frame452"/>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22555" cy="175260"/>
                      <wp:effectExtent l="0" t="0" r="0" b="0"/>
                      <wp:wrapNone/>
                      <wp:docPr id="453" name="Frame45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December 31, </w:t>
            </w:r>
          </w:p>
        </w:tc>
        <w:tc>
          <w:tcPr>
            <w:tcW w:w="193" w:type="dxa"/>
            <w:tcBorders/>
            <w:vAlign w:val="center"/>
          </w:tcPr>
          <w:p>
            <w:pPr>
              <w:pStyle w:val="TableContents"/>
              <w:bidi w:val="0"/>
              <w:spacing w:before="0" w:after="0"/>
              <w:ind w:left="0" w:right="0" w:hanging="0"/>
              <w:jc w:val="left"/>
              <w:rPr/>
            </w:pPr>
            <w:r>
              <w:rPr/>
              <w:t>​</w:t>
            </w:r>
          </w:p>
        </w:tc>
      </w:tr>
      <w:tr>
        <w:trPr/>
        <w:tc>
          <w:tcPr>
            <w:tcW w:w="7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3" w:type="dxa"/>
            <w:tcBorders/>
            <w:vAlign w:val="center"/>
          </w:tcPr>
          <w:p>
            <w:pPr>
              <w:pStyle w:val="TableContents"/>
              <w:bidi w:val="0"/>
              <w:spacing w:before="0" w:after="0"/>
              <w:ind w:left="0" w:right="0" w:hanging="0"/>
              <w:jc w:val="left"/>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3" w:type="dxa"/>
            <w:tcBorders/>
            <w:vAlign w:val="center"/>
          </w:tcPr>
          <w:p>
            <w:pPr>
              <w:pStyle w:val="TableContents"/>
              <w:bidi w:val="0"/>
              <w:spacing w:before="0" w:after="0"/>
              <w:ind w:left="0" w:right="0" w:hanging="0"/>
              <w:jc w:val="left"/>
              <w:rPr/>
            </w:pPr>
            <w:r>
              <w:rPr/>
              <w:t>​</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Satellites and other finance lease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123,353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payable related to satellite vendor financing and other debt payable in installments through 2032 with interest rates ranging from approximately 0% to 11.4%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138,303</w:t>
            </w:r>
          </w:p>
        </w:tc>
        <w:tc>
          <w:tcPr>
            <w:tcW w:w="193" w:type="dxa"/>
            <w:tcBorders/>
            <w:vAlign w:val="center"/>
          </w:tcPr>
          <w:p>
            <w:pPr>
              <w:pStyle w:val="TableContents"/>
              <w:bidi w:val="0"/>
              <w:spacing w:before="0" w:after="0"/>
              <w:ind w:left="0" w:right="0" w:hanging="0"/>
              <w:jc w:val="left"/>
              <w:rPr/>
            </w:pPr>
            <w:r>
              <w:rPr/>
              <w:t>​</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261,656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(107,717)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(104,011)</w:t>
            </w:r>
          </w:p>
        </w:tc>
        <w:tc>
          <w:tcPr>
            <w:tcW w:w="193" w:type="dxa"/>
            <w:tcBorders/>
            <w:vAlign w:val="center"/>
          </w:tcPr>
          <w:p>
            <w:pPr>
              <w:pStyle w:val="TableContents"/>
              <w:bidi w:val="0"/>
              <w:spacing w:before="0" w:after="0"/>
              <w:ind w:left="0" w:right="0" w:hanging="0"/>
              <w:jc w:val="left"/>
              <w:rPr/>
            </w:pPr>
            <w:r>
              <w:rPr/>
              <w:t>​</w:t>
            </w:r>
          </w:p>
        </w:tc>
      </w:tr>
      <w:tr>
        <w:trPr/>
        <w:tc>
          <w:tcPr>
            <w:tcW w:w="73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long-term debt and finance lease obligations,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157,645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Finance Lease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Anik F3.</w:t>
      </w:r>
      <w:r>
        <w:rPr>
          <w:rFonts w:ascii="Times New Roman;Times;serif" w:hAnsi="Times New Roman;Times;serif"/>
          <w:sz w:val="24"/>
        </w:rPr>
        <w:t xml:space="preserve"> </w:t>
      </w:r>
      <w:r>
        <w:rPr>
          <w:rFonts w:ascii="Times New Roman;Times;serif" w:hAnsi="Times New Roman;Times;serif"/>
          <w:sz w:val="20"/>
        </w:rPr>
        <w:t>Anik F3, an FSS satellite, was launched and commenced commercial operation in April 2007. This satellite was previously accounted for as a finance lease and depreciated over the term of the satellite service agreement. We leased 100%</w:t>
      </w:r>
      <w:r>
        <w:rPr>
          <w:rFonts w:ascii="Times New Roman;Times;serif" w:hAnsi="Times New Roman;Times;serif"/>
          <w:sz w:val="24"/>
        </w:rPr>
        <w:t xml:space="preserve"> </w:t>
      </w:r>
      <w:r>
        <w:rPr>
          <w:rFonts w:ascii="Times New Roman;Times;serif" w:hAnsi="Times New Roman;Times;serif"/>
          <w:sz w:val="20"/>
        </w:rPr>
        <w:t>of the Ku-band capacity on Anik F3 for an initial period of 15 years. During April 2022, we extended the Anik F3 lease and as a result it is currently accounted for as an operating 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Nimiq 5</w:t>
      </w:r>
      <w:r>
        <w:rPr>
          <w:rFonts w:ascii="Times New Roman;Times;serif" w:hAnsi="Times New Roman;Times;serif"/>
          <w:sz w:val="20"/>
        </w:rPr>
        <w:t xml:space="preserve">. On May 19, 2019, we entered into an agreement pursuant to which, on September 10, 2019, the satellite service agreement for Nimiq 5 was transferred to us. Nimiq 5 was launched in September 2009 and commenced commercial operation at the 72.7 degree west longitude orbital location during October 2009. This satellite is accounted for as a finance lease and depreciated over the term of the satellite service agreement. We lease 100% of the capacity on Nimiq 5, and this lease expires in September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Ciel II</w:t>
      </w:r>
      <w:r>
        <w:rPr>
          <w:rFonts w:ascii="Times New Roman;Times;serif" w:hAnsi="Times New Roman;Times;serif"/>
          <w:sz w:val="20"/>
        </w:rPr>
        <w:t>. Ciel II, a Canadian DBS satellite, was launched in December 2008 and commenced commercial operation in February 2009. This satellite was previously accounted for as a finance lease and depreciated over the term of the satellite service agreement, however, as a result of an amendment, which was effective during the first quarter 2019, Ciel II is now accounted for as an operating lease. We lease 100%</w:t>
      </w:r>
      <w:r>
        <w:rPr>
          <w:rFonts w:ascii="Times New Roman;Times;serif" w:hAnsi="Times New Roman;Times;serif"/>
          <w:sz w:val="24"/>
        </w:rPr>
        <w:t xml:space="preserve"> </w:t>
      </w:r>
      <w:r>
        <w:rPr>
          <w:rFonts w:ascii="Times New Roman;Times;serif" w:hAnsi="Times New Roman;Times;serif"/>
          <w:sz w:val="20"/>
        </w:rPr>
        <w:t>of the capacity on Ciel II. The initial ten-year</w:t>
      </w:r>
      <w:r>
        <w:rPr>
          <w:rFonts w:ascii="Times New Roman;Times;serif" w:hAnsi="Times New Roman;Times;serif"/>
          <w:sz w:val="24"/>
        </w:rPr>
        <w:t xml:space="preserve"> </w:t>
      </w:r>
      <w:r>
        <w:rPr>
          <w:rFonts w:ascii="Times New Roman;Times;serif" w:hAnsi="Times New Roman;Times;serif"/>
          <w:sz w:val="20"/>
        </w:rPr>
        <w:t>term expired in January 2019 and as a result of an amendment, we renewed this lease through July 2023. As of July 2023, we no longer lease the Ciel II satellite.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Dell Finance Lease. </w:t>
      </w:r>
      <w:r>
        <w:rPr>
          <w:rFonts w:ascii="Times New Roman;Times;serif" w:hAnsi="Times New Roman;Times;serif"/>
          <w:sz w:val="20"/>
        </w:rPr>
        <w:t xml:space="preserve">On July 17, 2020, we entered into a master agreement with Dell to lease certain components of our 5G Network Deployment infrastructure, including certain equipment.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summary of future maturities of our outstanding long-term debt as of December 31, 2023 is included in the commitments table in Note 13.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636" w:name="Tc_22Fs-tbMOEyfi7cQPgXWXw_11_0"/>
      <w:bookmarkStart w:id="1637" w:name="Tc_hGLujNQ_X0-9Ft2Ccp0MMw_10_4"/>
      <w:bookmarkStart w:id="1638" w:name="Tc_Tpppo9_cm02MmzgGXsp65w_10_0"/>
      <w:bookmarkStart w:id="1639" w:name="Tc_03_GnJAOn02PyTeZ9wX7AA_9_6"/>
      <w:bookmarkStart w:id="1640" w:name="Tc_-PXmkS8uKkKQL8diFkS_Qw_9_4"/>
      <w:bookmarkStart w:id="1641" w:name="Tc_GVkoYwE-6UKbpwT8dLUuDg_9_0"/>
      <w:bookmarkStart w:id="1642" w:name="Tc_6B-EN42mJEmrAEDD-dR7lw_8_0"/>
      <w:bookmarkStart w:id="1643" w:name="Tc_AwXScHcXO0Go_n0FsC-5Fg_7_4"/>
      <w:bookmarkStart w:id="1644" w:name="Tc_cDVa5lJCKUO8981FSbhv6Q_7_0"/>
      <w:bookmarkStart w:id="1645" w:name="Tc_W2-NjZQFs0OgwBOJ9hiqQg_6_6"/>
      <w:bookmarkStart w:id="1646" w:name="Tc_fuBkAnz65ECRPkuD82nZ8w_6_4"/>
      <w:bookmarkStart w:id="1647" w:name="Tc_mYVlg0xuEkuXj4mgQutprg_6_0"/>
      <w:bookmarkStart w:id="1648" w:name="Tc_DALvpcSIqUe1blQeAnS34A_5_0"/>
      <w:bookmarkStart w:id="1649" w:name="Tc_nCrKH84uw0uRyS_ICEt99Q_4_0"/>
      <w:bookmarkStart w:id="1650" w:name="Tc_eHD8BIHTI0Wt-DGU_i34mA_3_2"/>
      <w:bookmarkStart w:id="1651" w:name="Tc_vU1WC5vhbU2fyFVaPvIudA_2_6"/>
      <w:bookmarkStart w:id="1652" w:name="Tc_65qBcJxjUkalQCt36LLSSQ_2_4"/>
      <w:bookmarkStart w:id="1653" w:name="Tc_wo5dyFWSiUOe7wGajZgNbw_2_2"/>
      <w:bookmarkStart w:id="1654" w:name="Tc_CqJrhZqOx0WqHrpF3c74cw_1_2"/>
      <w:bookmarkStart w:id="1655" w:name="Tc_eicDwbMuOE2i0Z11_EEbsQ_15_8"/>
      <w:bookmarkStart w:id="1656" w:name="Tc_Lc8n793Tp0uYapXfee6ZCg_15_5"/>
      <w:bookmarkStart w:id="1657" w:name="Tc_Lugm5Zg3vUCts-NULvrx6w_15_2"/>
      <w:bookmarkStart w:id="1658" w:name="Tc_KrG-TSMD3kCGbHkLa7JW5A_15_0"/>
      <w:bookmarkStart w:id="1659" w:name="Tc_S3DqvqY-OkyILHpOWOTmBA_14_0"/>
      <w:bookmarkStart w:id="1660" w:name="Tc_mH_Yp4DFEk-no5JVl5OvUA_13_0"/>
      <w:bookmarkStart w:id="1661" w:name="Tc_d7g29Azc0Uy9fAs3NXKwIA_12_0"/>
      <w:bookmarkStart w:id="1662" w:name="Tc_P5Ut9IZGsEWWUwWKN9fYBw_11_0"/>
      <w:bookmarkStart w:id="1663" w:name="Tc_ULdW4KPxgUeLw9l5B6TI0g_10_0"/>
      <w:bookmarkStart w:id="1664" w:name="Tc_uQQfKwYNi0uUR-hDW9eh_g_8_0"/>
      <w:bookmarkStart w:id="1665" w:name="Tc_SbBOPUlroUeDwPD5-OjULw_7_0"/>
      <w:bookmarkStart w:id="1666" w:name="Tc_4YSMxmZm6U2hXCwqstdakA_6_0"/>
      <w:bookmarkStart w:id="1667" w:name="Tc_3s7uSBAgpEGmb6lKkAIzgg_5_8"/>
      <w:bookmarkStart w:id="1668" w:name="Tc_FUoYQfpguUqY7Ew1hbZmEg_5_5"/>
      <w:bookmarkStart w:id="1669" w:name="Tc_3imnn_dC2k2Fvop8dh1CJQ_5_2"/>
      <w:bookmarkStart w:id="1670" w:name="Tc_pd-s725MBEOOTsHZ4lDQHw_5_0"/>
      <w:bookmarkStart w:id="1671" w:name="Tc_ALTdIIB-6EWC_Wa01BG6qQ_4_0"/>
      <w:bookmarkStart w:id="1672" w:name="Tc_BkqYftvHA0qte75o9Bg5Lg_3_2"/>
      <w:bookmarkStart w:id="1673" w:name="Tc_PYlnvzW7Tk24UcLoeFJ9Bg_2_8"/>
      <w:bookmarkStart w:id="1674" w:name="Tc_Uexdw5geoEy6atLdT4C-eQ_2_5"/>
      <w:bookmarkStart w:id="1675" w:name="Tc_3lgiNy3L60CmLhLAHzhEPg_2_2"/>
      <w:bookmarkStart w:id="1676" w:name="Tc_EEZdar6ylEKwCzDQ8mamDg_1_2"/>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r>
        <w:rPr>
          <w:rFonts w:ascii="Times New Roman;Times;serif" w:hAnsi="Times New Roman;Times;serif"/>
          <w:b/>
          <w:sz w:val="20"/>
        </w:rPr>
        <w:t xml:space="preserve">10.    Income Taxes and Accounting for Uncertainty in Income Taxes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file consolidated tax returns in the United States. The income taxes of domestic and foreign subsidiaries not included in the United States tax group are presented in our consolidated financial statements on a separate return basis for each tax paying entity.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we had $267 million net operating loss carryforwards (“NOLs”) for federal income tax purposes and $286 million of NOL carryforwards for state income tax purposes, which are partially offset by a valuation allowance. In addition, there are $83 million of tax benefits related to credit carryforwards which are partially offset by a valuation allowance. Portions of the state NOL and credit carryforwards expired in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the (benefit from) provision for income taxes were as follows:</w:t>
      </w:r>
    </w:p>
    <w:p>
      <w:pPr>
        <w:pStyle w:val="TextBody"/>
        <w:bidi w:val="0"/>
        <w:spacing w:before="0" w:after="0"/>
        <w:ind w:left="0" w:right="0" w:hanging="0"/>
        <w:jc w:val="center"/>
        <w:rPr>
          <w:spacing w:val="-2"/>
        </w:rPr>
      </w:pPr>
      <w:r>
        <w:rPr>
          <w:spacing w:val="-2"/>
        </w:rPr>
        <w:t>​</w:t>
      </w:r>
    </w:p>
    <w:tbl>
      <w:tblPr>
        <w:tblW w:w="7071" w:type="dxa"/>
        <w:jc w:val="left"/>
        <w:tblInd w:w="0" w:type="dxa"/>
        <w:tblLayout w:type="fixed"/>
        <w:tblCellMar>
          <w:top w:w="0" w:type="dxa"/>
          <w:left w:w="0" w:type="dxa"/>
          <w:bottom w:w="0" w:type="dxa"/>
          <w:right w:w="0" w:type="dxa"/>
        </w:tblCellMar>
      </w:tblPr>
      <w:tblGrid>
        <w:gridCol w:w="3091"/>
        <w:gridCol w:w="326"/>
        <w:gridCol w:w="196"/>
        <w:gridCol w:w="811"/>
        <w:gridCol w:w="326"/>
        <w:gridCol w:w="196"/>
        <w:gridCol w:w="721"/>
        <w:gridCol w:w="326"/>
        <w:gridCol w:w="196"/>
        <w:gridCol w:w="691"/>
        <w:gridCol w:w="191"/>
      </w:tblGrid>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14985" cy="175260"/>
                      <wp:effectExtent l="0" t="0" r="0" b="0"/>
                      <wp:wrapNone/>
                      <wp:docPr id="454" name="Frame45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24460" cy="175260"/>
                      <wp:effectExtent l="0" t="0" r="0" b="0"/>
                      <wp:wrapNone/>
                      <wp:docPr id="456" name="Frame4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57835" cy="175260"/>
                      <wp:effectExtent l="0" t="0" r="0" b="0"/>
                      <wp:wrapNone/>
                      <wp:docPr id="457" name="Frame4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24460" cy="175260"/>
                      <wp:effectExtent l="0" t="0" r="0" b="0"/>
                      <wp:wrapNone/>
                      <wp:docPr id="459" name="Frame4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38785" cy="175260"/>
                      <wp:effectExtent l="0" t="0" r="0" b="0"/>
                      <wp:wrapNone/>
                      <wp:docPr id="460" name="Frame4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1285" cy="175260"/>
                      <wp:effectExtent l="0" t="0" r="0" b="0"/>
                      <wp:wrapNone/>
                      <wp:docPr id="461" name="Frame46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1" w:type="dxa"/>
            <w:tcBorders/>
            <w:vAlign w:val="center"/>
          </w:tcPr>
          <w:p>
            <w:pPr>
              <w:pStyle w:val="TableContents"/>
              <w:bidi w:val="0"/>
              <w:spacing w:before="0" w:after="0"/>
              <w:ind w:left="0" w:right="0" w:hanging="0"/>
              <w:jc w:val="left"/>
              <w:rPr/>
            </w:pPr>
            <w:r>
              <w:rPr/>
              <w:t> </w:t>
            </w:r>
          </w:p>
        </w:tc>
      </w:tr>
      <w:tr>
        <w:trPr/>
        <w:tc>
          <w:tcPr>
            <w:tcW w:w="707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Current (benefit) provision:</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Federal</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126,435</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(7,118)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2,387</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(benefit)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160,766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Deferred (benefit) provision:</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Federal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(293,666)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615,323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509,405</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(152,725)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85,045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 valuation allowance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5,817</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Total deferred (benefit)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(374,910)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702,735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602,044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(benefit) provision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731,736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762,810</w:t>
            </w:r>
          </w:p>
        </w:tc>
        <w:tc>
          <w:tcPr>
            <w:tcW w:w="19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$1.5 billion loss of “Income (loss) before income taxes” on our Consolidated Statements of Operations and Comprehensive Income (Loss) included income of $2 million related to our foreign operations.</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the principal reasons for the difference between the effective income tax rate and the statutory federal tax rate:</w:t>
      </w:r>
    </w:p>
    <w:p>
      <w:pPr>
        <w:pStyle w:val="TextBody"/>
        <w:bidi w:val="0"/>
        <w:spacing w:before="0" w:after="0"/>
        <w:ind w:left="0" w:right="0" w:hanging="0"/>
        <w:jc w:val="left"/>
        <w:rPr>
          <w:spacing w:val="-2"/>
        </w:rPr>
      </w:pPr>
      <w:r>
        <w:rPr>
          <w:spacing w:val="-2"/>
        </w:rPr>
        <w:t>​</w:t>
      </w:r>
    </w:p>
    <w:tbl>
      <w:tblPr>
        <w:tblW w:w="6622" w:type="dxa"/>
        <w:jc w:val="left"/>
        <w:tblInd w:w="0" w:type="dxa"/>
        <w:tblLayout w:type="fixed"/>
        <w:tblCellMar>
          <w:top w:w="0" w:type="dxa"/>
          <w:left w:w="0" w:type="dxa"/>
          <w:bottom w:w="0" w:type="dxa"/>
          <w:right w:w="0" w:type="dxa"/>
        </w:tblCellMar>
      </w:tblPr>
      <w:tblGrid>
        <w:gridCol w:w="3271"/>
        <w:gridCol w:w="326"/>
        <w:gridCol w:w="659"/>
        <w:gridCol w:w="447"/>
        <w:gridCol w:w="639"/>
        <w:gridCol w:w="447"/>
        <w:gridCol w:w="642"/>
        <w:gridCol w:w="1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7085" cy="175260"/>
                      <wp:effectExtent l="0" t="0" r="0" b="0"/>
                      <wp:wrapNone/>
                      <wp:docPr id="462" name="Frame462"/>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18465" cy="175260"/>
                      <wp:effectExtent l="0" t="0" r="0" b="0"/>
                      <wp:wrapNone/>
                      <wp:docPr id="464" name="Frame464"/>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83845" cy="175260"/>
                      <wp:effectExtent l="0" t="0" r="0" b="0"/>
                      <wp:wrapNone/>
                      <wp:docPr id="465" name="Frame465"/>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05765" cy="175260"/>
                      <wp:effectExtent l="0" t="0" r="0" b="0"/>
                      <wp:wrapNone/>
                      <wp:docPr id="466" name="Frame466"/>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83845" cy="175260"/>
                      <wp:effectExtent l="0" t="0" r="0" b="0"/>
                      <wp:wrapNone/>
                      <wp:docPr id="467" name="Frame46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07670" cy="175260"/>
                      <wp:effectExtent l="0" t="0" r="0" b="0"/>
                      <wp:wrapNone/>
                      <wp:docPr id="468" name="Frame468"/>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21285" cy="175260"/>
                      <wp:effectExtent l="0" t="0" r="0" b="0"/>
                      <wp:wrapNone/>
                      <wp:docPr id="469" name="Frame4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447" w:type="dxa"/>
            <w:tcBorders/>
            <w:vAlign w:val="center"/>
          </w:tcPr>
          <w:p>
            <w:pPr>
              <w:pStyle w:val="TableContents"/>
              <w:bidi w:val="0"/>
              <w:spacing w:before="0" w:after="0"/>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447" w:type="dxa"/>
            <w:tcBorders/>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1" w:type="dxa"/>
            <w:tcBorders/>
            <w:vAlign w:val="center"/>
          </w:tcPr>
          <w:p>
            <w:pPr>
              <w:pStyle w:val="TableContents"/>
              <w:bidi w:val="0"/>
              <w:spacing w:before="0" w:after="0"/>
              <w:ind w:left="0" w:right="0" w:hanging="0"/>
              <w:jc w:val="left"/>
              <w:rPr/>
            </w:pPr>
            <w:r>
              <w:rPr/>
              <w:t> </w:t>
            </w:r>
          </w:p>
        </w:tc>
      </w:tr>
      <w:tr>
        <w:trPr/>
        <w:tc>
          <w:tcPr>
            <w:tcW w:w="6622"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4"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of pre-tax income/(loss)</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Statutory rate</w:t>
            </w:r>
          </w:p>
        </w:tc>
        <w:tc>
          <w:tcPr>
            <w:tcW w:w="326"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447"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447"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income taxes, net of federal benefit</w:t>
            </w:r>
          </w:p>
        </w:tc>
        <w:tc>
          <w:tcPr>
            <w:tcW w:w="3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447"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447"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Rates different than statutory</w:t>
            </w:r>
          </w:p>
        </w:tc>
        <w:tc>
          <w:tcPr>
            <w:tcW w:w="3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447"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 valuation allowance</w:t>
            </w:r>
          </w:p>
        </w:tc>
        <w:tc>
          <w:tcPr>
            <w:tcW w:w="3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447"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credits</w:t>
            </w:r>
          </w:p>
        </w:tc>
        <w:tc>
          <w:tcPr>
            <w:tcW w:w="3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447"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447"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Impairments </w:t>
            </w:r>
          </w:p>
        </w:tc>
        <w:tc>
          <w:tcPr>
            <w:tcW w:w="3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447"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447" w:type="dxa"/>
            <w:tcBorders/>
            <w:shd w:fill="CCEEFF" w:val="clear"/>
            <w:vAlign w:val="center"/>
          </w:tcPr>
          <w:p>
            <w:pPr>
              <w:pStyle w:val="TableContents"/>
              <w:bidi w:val="0"/>
              <w:spacing w:before="0" w:after="0"/>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447" w:type="dxa"/>
            <w:tcBorders/>
            <w:shd w:fill="CCEEFF" w:val="cle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(benefit) provision for income taxes</w:t>
            </w:r>
          </w:p>
        </w:tc>
        <w:tc>
          <w:tcPr>
            <w:tcW w:w="326" w:type="dxa"/>
            <w:tcBorders/>
            <w:vAlign w:val="center"/>
          </w:tcPr>
          <w:p>
            <w:pPr>
              <w:pStyle w:val="TableContents"/>
              <w:bidi w:val="0"/>
              <w:spacing w:before="0" w:after="0"/>
              <w:ind w:left="0" w:right="0" w:hanging="0"/>
              <w:jc w:val="left"/>
              <w:rPr/>
            </w:pPr>
            <w:r>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c>
          <w:tcPr>
            <w:tcW w:w="447" w:type="dxa"/>
            <w:tcBorders/>
            <w:vAlign w:val="center"/>
          </w:tcPr>
          <w:p>
            <w:pPr>
              <w:pStyle w:val="TableContents"/>
              <w:bidi w:val="0"/>
              <w:spacing w:before="0" w:after="0"/>
              <w:ind w:left="0" w:right="0" w:hanging="0"/>
              <w:jc w:val="left"/>
              <w:rPr/>
            </w:pPr>
            <w:r>
              <w:rPr/>
              <w:t>​</w:t>
            </w:r>
          </w:p>
        </w:tc>
        <w:tc>
          <w:tcPr>
            <w:tcW w:w="6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c>
          <w:tcPr>
            <w:tcW w:w="447" w:type="dxa"/>
            <w:tcBorders/>
            <w:vAlign w:val="center"/>
          </w:tcPr>
          <w:p>
            <w:pPr>
              <w:pStyle w:val="TableContents"/>
              <w:bidi w:val="0"/>
              <w:spacing w:before="0" w:after="0"/>
              <w:ind w:left="0" w:right="0" w:hanging="0"/>
              <w:jc w:val="left"/>
              <w:rPr/>
            </w:pPr>
            <w:r>
              <w:rPr/>
              <w:t>​</w:t>
            </w:r>
          </w:p>
        </w:tc>
        <w:tc>
          <w:tcPr>
            <w:tcW w:w="6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677" w:name="Tc_aS0YB496BEKKViNK1EIZaQ_10_8"/>
      <w:bookmarkStart w:id="1678" w:name="Tc_ihIH0QLvxkOAKNLPaVfr_w_10_5"/>
      <w:bookmarkStart w:id="1679" w:name="Tc_yIqMLBh9o0aJwYBRefSdhQ_10_2"/>
      <w:bookmarkStart w:id="1680" w:name="Tc_qI7YZ6wyDEWHm-3BIkmB_Q_10_0"/>
      <w:bookmarkStart w:id="1681" w:name="Tc_CxzAyuiugkatvgyfUx5YOw_9_6"/>
      <w:bookmarkStart w:id="1682" w:name="Tc_TvG0bY6vU0a05sCwTVWwiw_9_0"/>
      <w:bookmarkStart w:id="1683" w:name="Tc_rfETHBju3keguY9Qysq8Tg_8_9"/>
      <w:bookmarkStart w:id="1684" w:name="Tc_eyruGlQVfUKQHlu40fXzSw_8_6"/>
      <w:bookmarkStart w:id="1685" w:name="Tc_-2xwREsboUCPat6bG0Jdvw_8_0"/>
      <w:bookmarkStart w:id="1686" w:name="Tc_lHtSdFXP0EWr8A9gCBQU-w_7_0"/>
      <w:bookmarkStart w:id="1687" w:name="Tc_q3zmHZT76U2bJCz2zjt5pg_6_0"/>
      <w:bookmarkStart w:id="1688" w:name="Tc_2EJOjO3qMkyZi3LkCgyqiw_5_0"/>
      <w:bookmarkStart w:id="1689" w:name="Tc_6jUMhammhE6BPdU_mk-mtA_4_8"/>
      <w:bookmarkStart w:id="1690" w:name="Tc_GLR42yJJTEyF8ciaf1-E-w_4_5"/>
      <w:bookmarkStart w:id="1691" w:name="Tc_nx7xeL6iOkG82pOqkik8Rg_4_2"/>
      <w:bookmarkStart w:id="1692" w:name="Tc_aZfvnORUN0CB6eF-4ZEVzA_4_0"/>
      <w:bookmarkStart w:id="1693" w:name="Tc_qlPvwIbD4EKrM5OeruKkWQ_3_2"/>
      <w:bookmarkStart w:id="1694" w:name="Tc_7Fqh99KMgEaIM7e6hESQvw_2_8"/>
      <w:bookmarkStart w:id="1695" w:name="Tc_UoCTgUwRc06xwo8gT9mgdg_2_5"/>
      <w:bookmarkStart w:id="1696" w:name="Tc_BWQgmRHobUWnIbqaYJfg0Q_2_2"/>
      <w:bookmarkStart w:id="1697" w:name="Tc_4RJy6eQL9U6C6cNuTh6C1Q_2_0"/>
      <w:bookmarkStart w:id="1698" w:name="Tc_IIn-aM4Vn0mDAVWtiRe2DQ_1_2"/>
      <w:bookmarkStart w:id="1699" w:name="Tc_vRWUyUAbHUa4bw1IIwfDlw_21_5"/>
      <w:bookmarkStart w:id="1700" w:name="Tc_Ve4RwvmHbkaVnSXehvgSww_21_2"/>
      <w:bookmarkStart w:id="1701" w:name="Tc_fHo9dRlIdU6T2VVaoYG5IQ_21_0"/>
      <w:bookmarkStart w:id="1702" w:name="Tc_4pr0e6BCPEar2gwiKOMA1w_20_0"/>
      <w:bookmarkStart w:id="1703" w:name="Tc_3SWc0MKVlkSyK8LXpU5v9A_19_0"/>
      <w:bookmarkStart w:id="1704" w:name="Tc_grnMvwfKQ0aaRJiBul_8sA_18_0"/>
      <w:bookmarkStart w:id="1705" w:name="Tc_mFZqkX4_QEejPxtzYAJueA_17_3"/>
      <w:bookmarkStart w:id="1706" w:name="Tc_wN0r_mT1CkCyqxEyL79xIQ_17_0"/>
      <w:bookmarkStart w:id="1707" w:name="Tc_Kdg9tOXz5EWdOwxTbmp4CA_16_0"/>
      <w:bookmarkStart w:id="1708" w:name="Tc_88JnvaBBl0udMymfTeK29g_15_0"/>
      <w:bookmarkStart w:id="1709" w:name="Tc_dkMk1B04IUa7__iimKaG8w_13_0"/>
      <w:bookmarkStart w:id="1710" w:name="Tc_jgmYgQ63ikeY6UHshHsDqQ_12_0"/>
      <w:bookmarkStart w:id="1711" w:name="Tc_NzB7piA61EyIZHLajl2UoA_11_0"/>
      <w:bookmarkStart w:id="1712" w:name="Tc_T2UGmeN5tEiQB1jD6NuLpg_10_0"/>
      <w:bookmarkStart w:id="1713" w:name="Tc_EnzYegPWc0ykLd3CFg6viA_9_0"/>
      <w:bookmarkStart w:id="1714" w:name="Tc_yWFN6A77pUmr9ek_AnExtg_8_6"/>
      <w:bookmarkStart w:id="1715" w:name="Tc_2kvfQ76KIU-b3WwJQ7zx7A_8_0"/>
      <w:bookmarkStart w:id="1716" w:name="Tc_g5afjrPo4UScXrQ5kMncgQ_7_0"/>
      <w:bookmarkStart w:id="1717" w:name="Tc_ATSto7YhV02QDTY5MRj6uw_6_0"/>
      <w:bookmarkStart w:id="1718" w:name="Tc_KnoEbGrBoku5BgpEYTF6Aw_5_5"/>
      <w:bookmarkStart w:id="1719" w:name="Tc_s4ZEkC_Gc0eQjYUS7nc8XQ_5_2"/>
      <w:bookmarkStart w:id="1720" w:name="Tc_v-3jZg8QtU-MQ-20PRM-EA_5_0"/>
      <w:bookmarkStart w:id="1721" w:name="Tc_WfINqD6mtES2Q_2X-kgqyw_4_0"/>
      <w:bookmarkStart w:id="1722" w:name="Tc_zMb_MJTDYky4varPmlqb8w_3_2"/>
      <w:bookmarkStart w:id="1723" w:name="Tc_sKYrUakGZEyZWS2e09_IYQ_2_5"/>
      <w:bookmarkStart w:id="1724" w:name="Tc_RQdutD8e7k63veV20-v0IQ_2_2"/>
      <w:bookmarkStart w:id="1725" w:name="Tc_Bu3WfTrjZ0miLkfXOs4sWw_1_2"/>
      <w:bookmarkStart w:id="1726" w:name="_76bfc438_8636_4ff0_8857_5cd6f4f8a1a7"/>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taxes arise because of the differences in the book and tax bases of certain assets and liabilities. Significant components of deferred tax assets and liabilities were as follows:</w:t>
      </w:r>
    </w:p>
    <w:p>
      <w:pPr>
        <w:pStyle w:val="TextBody"/>
        <w:bidi w:val="0"/>
        <w:spacing w:before="0" w:after="0"/>
        <w:ind w:left="0" w:right="0" w:hanging="0"/>
        <w:jc w:val="left"/>
        <w:rPr>
          <w:spacing w:val="-2"/>
        </w:rPr>
      </w:pPr>
      <w:r>
        <w:rPr>
          <w:spacing w:val="-2"/>
        </w:rPr>
        <w:t>​</w:t>
      </w:r>
    </w:p>
    <w:tbl>
      <w:tblPr>
        <w:tblW w:w="8408" w:type="dxa"/>
        <w:jc w:val="left"/>
        <w:tblInd w:w="0" w:type="dxa"/>
        <w:tblLayout w:type="fixed"/>
        <w:tblCellMar>
          <w:top w:w="0" w:type="dxa"/>
          <w:left w:w="0" w:type="dxa"/>
          <w:bottom w:w="0" w:type="dxa"/>
          <w:right w:w="0" w:type="dxa"/>
        </w:tblCellMar>
      </w:tblPr>
      <w:tblGrid>
        <w:gridCol w:w="5281"/>
        <w:gridCol w:w="326"/>
        <w:gridCol w:w="196"/>
        <w:gridCol w:w="946"/>
        <w:gridCol w:w="326"/>
        <w:gridCol w:w="196"/>
        <w:gridCol w:w="946"/>
        <w:gridCol w:w="191"/>
      </w:tblGrid>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00710" cy="175260"/>
                      <wp:effectExtent l="0" t="0" r="0" b="0"/>
                      <wp:wrapNone/>
                      <wp:docPr id="470" name="Frame4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4460" cy="175260"/>
                      <wp:effectExtent l="0" t="0" r="0" b="0"/>
                      <wp:wrapNone/>
                      <wp:docPr id="472" name="Frame4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00710" cy="175260"/>
                      <wp:effectExtent l="0" t="0" r="0" b="0"/>
                      <wp:wrapNone/>
                      <wp:docPr id="473" name="Frame47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21285" cy="175260"/>
                      <wp:effectExtent l="0" t="0" r="0" b="0"/>
                      <wp:wrapNone/>
                      <wp:docPr id="474" name="Frame47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December 31, </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840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Deferred tax assets:</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NOL, interest, credit and other carryforwards</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1,054,749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445,389</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and 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866,277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672,854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23,738</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 for sale and other investments (1)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198,587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Discount on convertible notes and convertible note hedge transaction,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64,643</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deferred tax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2,200,380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1,213,527</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Deferred tax asset after valuation allowance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2,046,927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1,131,555</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Deferred tax liabilities:</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(1,554,517)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(1,374,276)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 for sale and other investments (1)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(244,397)</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Regulatory authorizations and other intangible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(3,869,784)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(3,400,772)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Bases differences in partnerships and cost method investments (2)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(1,179,888)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(1,042,245)</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(6,604,189)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(6,061,690)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deferred tax asset (liability)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(4,557,262)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(4,930,135)</w:t>
            </w:r>
          </w:p>
        </w:tc>
        <w:tc>
          <w:tcPr>
            <w:tcW w:w="19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this line item are deferred taxes related to, among other things, changes in the probability weighted fair value of our option to purchase certain of T-Mobile’s 800 MHz spectrum licenses. See Note 5 for further information.</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this line item are deferred taxes related to, among other things, our noncontrolling investments in Northstar Spectrum and SNR HoldCo, including deferred taxes created by the tax amortization of the Northstar Licenses and SNR Licenses. See Note 2 for further information.</w:t>
            </w:r>
          </w:p>
        </w:tc>
      </w:tr>
    </w:tbl>
    <w:p>
      <w:pPr>
        <w:pStyle w:val="TextBody"/>
        <w:bidi w:val="0"/>
        <w:spacing w:lineRule="auto" w:line="304"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Accounting for Uncertainty in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filing federal income tax returns, we and one or more of our subsidiaries file income tax returns in all states that impose an income tax and a small number of foreign jurisdictions where we have immaterial operations. We are subject to United States federal, state and local income tax examinations by tax authorities for the years beginning in 2008 due to the carryover of previously incurred NOLs. We are currently under a federal income tax examination for years 2008 through 2011, 2013 through 2016, and 2018 through 2019.</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included in “Long-term deferred revenue and other long-term liabilities” on our Consolidated Balance Sheets was as follows:</w:t>
      </w:r>
    </w:p>
    <w:p>
      <w:pPr>
        <w:pStyle w:val="TextBody"/>
        <w:bidi w:val="0"/>
        <w:spacing w:before="0" w:after="0"/>
        <w:ind w:left="0" w:right="0" w:hanging="0"/>
        <w:jc w:val="left"/>
        <w:rPr>
          <w:spacing w:val="-2"/>
        </w:rPr>
      </w:pPr>
      <w:r>
        <w:rPr>
          <w:spacing w:val="-2"/>
        </w:rPr>
        <w:t>​</w:t>
      </w:r>
    </w:p>
    <w:tbl>
      <w:tblPr>
        <w:tblW w:w="9681" w:type="dxa"/>
        <w:jc w:val="left"/>
        <w:tblInd w:w="0" w:type="dxa"/>
        <w:tblLayout w:type="fixed"/>
        <w:tblCellMar>
          <w:top w:w="0" w:type="dxa"/>
          <w:left w:w="0" w:type="dxa"/>
          <w:bottom w:w="0" w:type="dxa"/>
          <w:right w:w="0" w:type="dxa"/>
        </w:tblCellMar>
      </w:tblPr>
      <w:tblGrid>
        <w:gridCol w:w="5851"/>
        <w:gridCol w:w="326"/>
        <w:gridCol w:w="196"/>
        <w:gridCol w:w="691"/>
        <w:gridCol w:w="326"/>
        <w:gridCol w:w="196"/>
        <w:gridCol w:w="691"/>
        <w:gridCol w:w="326"/>
        <w:gridCol w:w="196"/>
        <w:gridCol w:w="691"/>
        <w:gridCol w:w="191"/>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715385" cy="175260"/>
                      <wp:effectExtent l="0" t="0" r="0" b="0"/>
                      <wp:wrapNone/>
                      <wp:docPr id="475" name="Frame475"/>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24460" cy="175260"/>
                      <wp:effectExtent l="0" t="0" r="0" b="0"/>
                      <wp:wrapNone/>
                      <wp:docPr id="477" name="Frame4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38785" cy="175260"/>
                      <wp:effectExtent l="0" t="0" r="0" b="0"/>
                      <wp:wrapNone/>
                      <wp:docPr id="478" name="Frame4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24460" cy="175260"/>
                      <wp:effectExtent l="0" t="0" r="0" b="0"/>
                      <wp:wrapNone/>
                      <wp:docPr id="480" name="Frame4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38785" cy="175260"/>
                      <wp:effectExtent l="0" t="0" r="0" b="0"/>
                      <wp:wrapNone/>
                      <wp:docPr id="481" name="Frame4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24460" cy="175260"/>
                      <wp:effectExtent l="0" t="0" r="0" b="0"/>
                      <wp:wrapNone/>
                      <wp:docPr id="483" name="Frame4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38785" cy="175260"/>
                      <wp:effectExtent l="0" t="0" r="0" b="0"/>
                      <wp:wrapNone/>
                      <wp:docPr id="484" name="Frame4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1285" cy="175260"/>
                      <wp:effectExtent l="0" t="0" r="0" b="0"/>
                      <wp:wrapNone/>
                      <wp:docPr id="485" name="Frame48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58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Unrecognized tax benefit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1" w:type="dxa"/>
            <w:tcBorders/>
            <w:vAlign w:val="center"/>
          </w:tcPr>
          <w:p>
            <w:pPr>
              <w:pStyle w:val="TableContents"/>
              <w:bidi w:val="0"/>
              <w:spacing w:before="0" w:after="0"/>
              <w:ind w:left="0" w:right="0" w:hanging="0"/>
              <w:jc w:val="left"/>
              <w:rPr/>
            </w:pPr>
            <w:r>
              <w:rPr/>
              <w:t> </w:t>
            </w:r>
          </w:p>
        </w:tc>
      </w:tr>
      <w:tr>
        <w:trPr/>
        <w:tc>
          <w:tcPr>
            <w:tcW w:w="968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431,640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378,467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based on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9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based on tax positions related to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Reductions based on tax positions related to prior years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w:t>
            </w:r>
          </w:p>
        </w:tc>
        <w:tc>
          <w:tcPr>
            <w:tcW w:w="19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Reductions based on tax positions related to settlements with taxing authorities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Reductions based on tax positions related to the lapse of the statute of limitations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w:t>
            </w:r>
          </w:p>
        </w:tc>
        <w:tc>
          <w:tcPr>
            <w:tcW w:w="19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436,128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431,640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$366 million in unrecognized tax benefits that, if recognized, could favorably affect our effective tax rate. We do not expect any material portion of this amount to be paid or settled within the next 12 months. Accrued interest and penalties on uncertain tax positions are recorded as a component of “Interest expense, net of amounts capitalized” and “Other, net,” respectively, on our Consolidated Statements of Operations and Comprehensive Income (Loss). During the years ended December 31, 2023, 2022 and 2021, we recorded $39 million, $22 million and $16 million in net interest and penalty expense to earnings, respectively. Accrued interest and penalties were $164 million and $126 million at December 31, 2023 and 2022, respectively. The above table excludes these amounts</w:t>
      </w:r>
      <w:r>
        <w:rPr>
          <w:rFonts w:ascii="Times New Roman;Times;serif" w:hAnsi="Times New Roman;Times;serif"/>
          <w:spacing w:val="-2"/>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727" w:name="Tc_mWyiapGduECef4glwzV1bQ_5_8"/>
      <w:bookmarkStart w:id="1728" w:name="Tc_ooHLNYXai0-6RSuCLhI1jg_5_5"/>
      <w:bookmarkStart w:id="1729" w:name="Tc_7-Rlxt83TkedkJFBLWOd-Q_5_2"/>
      <w:bookmarkStart w:id="1730" w:name="Tc_C3vWUNbOlkSAHhrJ9s_fRQ_5_0"/>
      <w:bookmarkStart w:id="1731" w:name="Tc_lL6zKrS6zE6-z9lw-73qOg_4_8"/>
      <w:bookmarkStart w:id="1732" w:name="Tc_RynF3637nkGlsr8sSyXHDQ_4_5"/>
      <w:bookmarkStart w:id="1733" w:name="Tc_eyx6xoXV8UynjbJsb9a5YA_4_2"/>
      <w:bookmarkStart w:id="1734" w:name="Tc_YVV0tTxJqkmXvS-6AblOtg_4_0"/>
      <w:bookmarkStart w:id="1735" w:name="Tc_H_1aTiuJDEuFdqGsW9QL8A_3_2"/>
      <w:bookmarkStart w:id="1736" w:name="Tc_KO21WU0W_EGBvMV85PgTPg_2_8"/>
      <w:bookmarkStart w:id="1737" w:name="Tc_O2MWPrThjk--6cJoULMoNw_2_5"/>
      <w:bookmarkStart w:id="1738" w:name="Tc_KFBCuMQwK0-P923lmHiPcA_2_2"/>
      <w:bookmarkStart w:id="1739" w:name="Tc_5Dj5nL1gQEy5JmYPsGZ0VQ_2_0"/>
      <w:bookmarkStart w:id="1740" w:name="Tc_pdAkLML6iEOD4zeQfawqdw_1_2"/>
      <w:bookmarkStart w:id="1741" w:name="_Hlk532471582"/>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r>
        <w:rPr>
          <w:rFonts w:ascii="Times New Roman;Times;serif" w:hAnsi="Times New Roman;Times;serif"/>
          <w:b/>
          <w:sz w:val="20"/>
        </w:rPr>
        <w:t>11.    Employee Benefit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Our employees may participate in the EchoStar employee stock purchase plan (the “ESPP”), in which EchoStar is authorized to issue up to 5.0</w:t>
      </w:r>
      <w:r>
        <w:rPr>
          <w:rFonts w:ascii="Times New Roman;Times;serif" w:hAnsi="Times New Roman;Times;serif"/>
          <w:sz w:val="24"/>
        </w:rPr>
        <w:t xml:space="preserve"> </w:t>
      </w:r>
      <w:r>
        <w:rPr>
          <w:rFonts w:ascii="Times New Roman;Times;serif" w:hAnsi="Times New Roman;Times;serif"/>
          <w:sz w:val="20"/>
        </w:rPr>
        <w:t>million shares of Class A common stock. At December 31, 2023, EchoStar had 0.5</w:t>
      </w:r>
      <w:r>
        <w:rPr>
          <w:rFonts w:ascii="Times New Roman;Times;serif" w:hAnsi="Times New Roman;Times;serif"/>
          <w:sz w:val="24"/>
        </w:rPr>
        <w:t xml:space="preserve"> </w:t>
      </w:r>
      <w:r>
        <w:rPr>
          <w:rFonts w:ascii="Times New Roman;Times;serif" w:hAnsi="Times New Roman;Times;serif"/>
          <w:sz w:val="20"/>
        </w:rPr>
        <w:t xml:space="preserve">million shares of Class A common stock which remain available for issuance under the ESPP. Substantially all full-time employees who have been employed by EchoStar for at least </w:t>
      </w:r>
      <w:r>
        <w:rPr>
          <w:rFonts w:ascii="Times New Roman;Times;serif" w:hAnsi="Times New Roman;Times;serif"/>
          <w:b w:val="false"/>
          <w:i w:val="false"/>
          <w:caps w:val="false"/>
          <w:smallCaps w:val="false"/>
          <w:sz w:val="20"/>
        </w:rPr>
        <w:t>one calendar quarter</w:t>
      </w:r>
      <w:r>
        <w:rPr>
          <w:rFonts w:ascii="Times New Roman;Times;serif" w:hAnsi="Times New Roman;Times;serif"/>
          <w:sz w:val="24"/>
        </w:rPr>
        <w:t xml:space="preserve"> </w:t>
      </w:r>
      <w:r>
        <w:rPr>
          <w:rFonts w:ascii="Times New Roman;Times;serif" w:hAnsi="Times New Roman;Times;serif"/>
          <w:sz w:val="20"/>
        </w:rPr>
        <w:t>are eligible to participate in the ESPP. Employee stock purchases are made through payroll deductions. Under the terms of the ESPP, employees may not deduct an amount which would permit such employee to purchase EchoStar’s capital stock under all of EchoStar’s stock purchase plans at a rate which would exceed $25,000</w:t>
      </w:r>
      <w:r>
        <w:rPr>
          <w:rFonts w:ascii="Times New Roman;Times;serif" w:hAnsi="Times New Roman;Times;serif"/>
          <w:sz w:val="24"/>
        </w:rPr>
        <w:t xml:space="preserve"> </w:t>
      </w:r>
      <w:r>
        <w:rPr>
          <w:rFonts w:ascii="Times New Roman;Times;serif" w:hAnsi="Times New Roman;Times;serif"/>
          <w:sz w:val="20"/>
        </w:rPr>
        <w:t>in fair value of capital stock in any one year. The purchase price of the stock is 85%</w:t>
      </w:r>
      <w:r>
        <w:rPr>
          <w:rFonts w:ascii="Times New Roman;Times;serif" w:hAnsi="Times New Roman;Times;serif"/>
          <w:sz w:val="24"/>
        </w:rPr>
        <w:t xml:space="preserve"> </w:t>
      </w:r>
      <w:r>
        <w:rPr>
          <w:rFonts w:ascii="Times New Roman;Times;serif" w:hAnsi="Times New Roman;Times;serif"/>
          <w:sz w:val="20"/>
        </w:rPr>
        <w:t xml:space="preserve">of the closing price of EchoStar’s Class A common stock on the last business day of each calendar quarter in which such shares of EchoStar’s Class A common stock are deemed sold to an employee under the ESPP.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401(k) Employee Savings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EchoStar sponsors a 401(k) Employee Savings Plan (the “DISH Network 401(k) Plan”) for our eligible employees. Voluntary employee contributions to the DISH Network 401(k) Plan may be matched 50% by EchoStar, subject to a maximum annual contribution of $2,500 per employee. Forfeitures of unvested participant balances which are retained by the DISH Network 401(k) Plan may be used to fund matching and discretionary contributions. EchoStar’s Board of Directors may also authorize an annual discretionary contribution to the DISH Network 401(k) Plan, subject to the maximum deductible limit provided by the Internal Revenue Code of 1986, as amended. These contributions may be made in cash or in EchoStar’s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expense associated with our matching contributions and discretionary contributions:</w:t>
      </w:r>
    </w:p>
    <w:p>
      <w:pPr>
        <w:pStyle w:val="TextBody"/>
        <w:bidi w:val="0"/>
        <w:spacing w:before="0" w:after="0"/>
        <w:ind w:left="0" w:right="0" w:hanging="0"/>
        <w:jc w:val="center"/>
        <w:rPr/>
      </w:pPr>
      <w:r>
        <w:rPr/>
        <w:t>​</w:t>
      </w:r>
    </w:p>
    <w:tbl>
      <w:tblPr>
        <w:tblW w:w="7311" w:type="dxa"/>
        <w:jc w:val="left"/>
        <w:tblInd w:w="0" w:type="dxa"/>
        <w:tblLayout w:type="fixed"/>
        <w:tblCellMar>
          <w:top w:w="0" w:type="dxa"/>
          <w:left w:w="0" w:type="dxa"/>
          <w:bottom w:w="0" w:type="dxa"/>
          <w:right w:w="0" w:type="dxa"/>
        </w:tblCellMar>
      </w:tblPr>
      <w:tblGrid>
        <w:gridCol w:w="3751"/>
        <w:gridCol w:w="326"/>
        <w:gridCol w:w="196"/>
        <w:gridCol w:w="601"/>
        <w:gridCol w:w="326"/>
        <w:gridCol w:w="196"/>
        <w:gridCol w:w="601"/>
        <w:gridCol w:w="326"/>
        <w:gridCol w:w="196"/>
        <w:gridCol w:w="601"/>
        <w:gridCol w:w="19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381885" cy="175260"/>
                      <wp:effectExtent l="0" t="0" r="0" b="0"/>
                      <wp:wrapNone/>
                      <wp:docPr id="486" name="Frame48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4460" cy="175260"/>
                      <wp:effectExtent l="0" t="0" r="0" b="0"/>
                      <wp:wrapNone/>
                      <wp:docPr id="488" name="Frame4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81635" cy="175260"/>
                      <wp:effectExtent l="0" t="0" r="0" b="0"/>
                      <wp:wrapNone/>
                      <wp:docPr id="489" name="Frame48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24460" cy="175260"/>
                      <wp:effectExtent l="0" t="0" r="0" b="0"/>
                      <wp:wrapNone/>
                      <wp:docPr id="491" name="Frame4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81635" cy="175260"/>
                      <wp:effectExtent l="0" t="0" r="0" b="0"/>
                      <wp:wrapNone/>
                      <wp:docPr id="492" name="Frame49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24460" cy="175260"/>
                      <wp:effectExtent l="0" t="0" r="0" b="0"/>
                      <wp:wrapNone/>
                      <wp:docPr id="494" name="Frame4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81635" cy="175260"/>
                      <wp:effectExtent l="0" t="0" r="0" b="0"/>
                      <wp:wrapNone/>
                      <wp:docPr id="495" name="Frame49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1285" cy="175260"/>
                      <wp:effectExtent l="0" t="0" r="0" b="0"/>
                      <wp:wrapNone/>
                      <wp:docPr id="496" name="Frame49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Expense Recognized Related to the 401(k) Plan</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1" w:type="dxa"/>
            <w:tcBorders/>
            <w:vAlign w:val="center"/>
          </w:tcPr>
          <w:p>
            <w:pPr>
              <w:pStyle w:val="TableContents"/>
              <w:bidi w:val="0"/>
              <w:spacing w:before="0" w:after="0"/>
              <w:ind w:left="0" w:right="0" w:hanging="0"/>
              <w:jc w:val="left"/>
              <w:rPr/>
            </w:pPr>
            <w:r>
              <w:rPr/>
              <w:t> </w:t>
            </w:r>
          </w:p>
        </w:tc>
      </w:tr>
      <w:tr>
        <w:trPr/>
        <w:tc>
          <w:tcPr>
            <w:tcW w:w="731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Matching contributions, net of forfeitures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14,532</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12,800</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Discretionary stock contributions, net of forfeitures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14,564</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26,383</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12.    Stock-Based Compensation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Merger with EchoStar</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the completion of the Merger with EchoStar, EchoStar adopted all of DISH Network’s stock compensation plans. In addition, in connection with the Merger, EchoStar assumed the share reserve under each of the DISH Network Corporation 2019 Stock Incentive Plan and the Amended and Restated DISH Network Corporation 2001 Nonemployee Director Stock Option Plan to employees and directors who were employed by, or provided services to, DISH Network immediately prior to the effective time of the Merger.</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00" w:before="0" w:after="0"/>
        <w:ind w:left="0" w:right="180" w:hanging="0"/>
        <w:jc w:val="left"/>
        <w:rPr>
          <w:rFonts w:ascii="Times New Roman;Times;serif" w:hAnsi="Times New Roman;Times;serif"/>
          <w:sz w:val="20"/>
        </w:rPr>
      </w:pPr>
      <w:r>
        <w:rPr>
          <w:rFonts w:ascii="Times New Roman;Times;serif" w:hAnsi="Times New Roman;Times;serif"/>
          <w:sz w:val="20"/>
        </w:rPr>
        <w:t>At the Effective Time, each DISH Network stock option outstanding immediately prior to the Effective Time was converted automatically into an EchoStar stock option on substantially the same terms and conditions (including, if applicable, with respect to any performance-based vesting, subject to certain adjustments that may be made pursuant to the terms of the Amended Merger Agreement and to the extent necessary to reflect the consummation of the Merger and the other transactions contemplated by the Amended Merger Agreement), with respect to a number of shares of EchoStar Class A Common Stock equal to (i) the number of shares of DISH Network Common Stock subject to the corresponding DISH Network stock option immediately prior to the Effective Time, multiplied by (ii) the Exchange Ratio (with the resulting number rounded down to the nearest whole share), at an exercise price (rounded up to the nearest whole cent) equal to the exercise price of the corresponding DISH Network stock option immediately prior to the Effective Time divided by the Exchange Ratio.</w:t>
      </w:r>
    </w:p>
    <w:p>
      <w:pPr>
        <w:pStyle w:val="TextBody"/>
        <w:bidi w:val="0"/>
        <w:spacing w:lineRule="atLeast" w:line="189" w:before="0" w:after="0"/>
        <w:ind w:left="0" w:right="0" w:hanging="0"/>
        <w:jc w:val="left"/>
        <w:rPr/>
      </w:pPr>
      <w:r>
        <w:rPr/>
        <w:t>​</w:t>
      </w:r>
    </w:p>
    <w:p>
      <w:pPr>
        <w:pStyle w:val="TextBody"/>
        <w:bidi w:val="0"/>
        <w:spacing w:lineRule="auto" w:line="304" w:before="0" w:after="0"/>
        <w:ind w:left="0" w:right="320" w:hanging="0"/>
        <w:jc w:val="left"/>
        <w:rPr>
          <w:rFonts w:ascii="Times New Roman;Times;serif" w:hAnsi="Times New Roman;Times;serif"/>
          <w:sz w:val="20"/>
        </w:rPr>
      </w:pPr>
      <w:r>
        <w:rPr>
          <w:rFonts w:ascii="Times New Roman;Times;serif" w:hAnsi="Times New Roman;Times;serif"/>
          <w:sz w:val="20"/>
        </w:rPr>
        <w:t>At the Effective Time, each DISH Network restricted stock unit award outstanding immediately prior to the Effective Time was converted automatically into an EchoStar restricted stock unit award on substantially the same terms and conditions, with respect to a number of shares of EchoStar Class A Common Stock equal to (i) the number of shares of DISH Network Common Stock subject to the corresponding DISH Network restricted stock unit award immediately prior to the Effective Time, multiplied by (ii) the Exchange Ratio (with the resulting number rounded to the nearest whole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Incentive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information below includes the Merger conversion discussed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EchoStar maintains stock incentive plans to attract and retain officers, directors and key employees. Our employees participate in the EchoStar stock incentive plans. Stock awards under these plans include both performance/market and non-performance based stock incentives. As of December 31, 2023, EchoStar had outstanding under these plans stock options to acquire 9.9</w:t>
      </w:r>
      <w:r>
        <w:rPr>
          <w:rFonts w:ascii="Times New Roman;Times;serif" w:hAnsi="Times New Roman;Times;serif"/>
          <w:sz w:val="24"/>
        </w:rPr>
        <w:t xml:space="preserve"> </w:t>
      </w:r>
      <w:r>
        <w:rPr>
          <w:rFonts w:ascii="Times New Roman;Times;serif" w:hAnsi="Times New Roman;Times;serif"/>
          <w:sz w:val="20"/>
        </w:rPr>
        <w:t>million shares of EchoStar’s Class A common stock and 49</w:t>
      </w:r>
      <w:r>
        <w:rPr>
          <w:rFonts w:ascii="Times New Roman;Times;serif" w:hAnsi="Times New Roman;Times;serif"/>
          <w:sz w:val="24"/>
        </w:rPr>
        <w:t xml:space="preserve"> </w:t>
      </w:r>
      <w:r>
        <w:rPr>
          <w:rFonts w:ascii="Times New Roman;Times;serif" w:hAnsi="Times New Roman;Times;serif"/>
          <w:sz w:val="20"/>
        </w:rPr>
        <w:t>thousand restricted stock units and awards associated with our employees. Stock options granted on or prior to December 31, 2023 were granted with exercise prices equal to or greater than the market value of EchoStar’s Class A common stock at the date of grant and with a maximum term of approximately ten years. EchoStar accounts for forfeitures as they are incurred. While historically EchoStar has issued stock awards subject to vesting, typically at the rate of 20%</w:t>
      </w:r>
      <w:r>
        <w:rPr>
          <w:rFonts w:ascii="Times New Roman;Times;serif" w:hAnsi="Times New Roman;Times;serif"/>
          <w:sz w:val="24"/>
        </w:rPr>
        <w:t xml:space="preserve"> </w:t>
      </w:r>
      <w:r>
        <w:rPr>
          <w:rFonts w:ascii="Times New Roman;Times;serif" w:hAnsi="Times New Roman;Times;serif"/>
          <w:sz w:val="20"/>
        </w:rPr>
        <w:t>per year, certain stock awards have been granted with immediate vesting and certain other stock awards vest only upon the achievement of certain EchoStar-specific subscriber, operational and/or financial goals. In addition, the Ergen 2020 Performance Award is subject to the achievement of specified EchoStar Class A common stock price targets. As of December 31, 2023, EchoStar had 17.2</w:t>
      </w:r>
      <w:r>
        <w:rPr>
          <w:rFonts w:ascii="Times New Roman;Times;serif" w:hAnsi="Times New Roman;Times;serif"/>
          <w:sz w:val="24"/>
        </w:rPr>
        <w:t xml:space="preserve"> </w:t>
      </w:r>
      <w:r>
        <w:rPr>
          <w:rFonts w:ascii="Times New Roman;Times;serif" w:hAnsi="Times New Roman;Times;serif"/>
          <w:sz w:val="20"/>
        </w:rPr>
        <w:t xml:space="preserve">million shares of its Class A common stock available for future grant under the DISH Network stock incentive plans.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Exchange offer</w:t>
      </w:r>
      <w:r>
        <w:rPr>
          <w:rFonts w:ascii="Times New Roman;Times;serif" w:hAnsi="Times New Roman;Times;serif"/>
          <w:sz w:val="20"/>
        </w:rPr>
        <w:t xml:space="preserve">. On June 24, 2022, DISH Network commenced a tender offer to our eligible employees (which excludes our co-founders and the independent members of our Board of Directors, at that time) to exchange eligible stock options (which excludes the Ergen 2020 Performance Award) for new options as detailed in our Schedule TO filed June 23, 2022 with the Securities and Exchange Commission (the “Exchange Offer”), to, among other things, further align our employee incentives with the current market. The Exchange Offer expired on July 22, 2022. As a result of the Exchange Offer, the exercise price of approximately 13 million stock options, affecting approximately 700 eligible employees, was adjusted during the third quarter of 2022 to $20.00.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1742" w:name="Tc_OXjFtynLTkmLws_mJJOAkQ_7_4"/>
      <w:bookmarkStart w:id="1743" w:name="Tc_452-oyEslEGkvtX8qEnOLw_7_0"/>
      <w:bookmarkStart w:id="1744" w:name="Tc_qWiS0kv1NECy0nUd-esfIg_6_4"/>
      <w:bookmarkStart w:id="1745" w:name="Tc_j7NtzEdb-kSR7KijjoE-Fg_6_0"/>
      <w:bookmarkStart w:id="1746" w:name="Tc_rcyndqS92keAmSoUSmRK5w_5_4"/>
      <w:bookmarkStart w:id="1747" w:name="Tc_uhUQxheWCkGIAV7PZTBxWg_5_0"/>
      <w:bookmarkStart w:id="1748" w:name="Tc_XVgg4VjfaEiS-l7Dk_EbrQ_4_4"/>
      <w:bookmarkStart w:id="1749" w:name="Tc_8LeHvaRsCkapmldC0z4mYg_4_0"/>
      <w:bookmarkStart w:id="1750" w:name="Tc_BHlX79ovdEmXd-rJLr3fUA_3_4"/>
      <w:bookmarkStart w:id="1751" w:name="Tc_au96Sbxj90KuTsX8G50QuQ_3_0"/>
      <w:bookmarkStart w:id="1752" w:name="Tc_DPEOzoYqeE2pxmy7BAuu7A_2_4"/>
      <w:bookmarkStart w:id="1753" w:name="Tc_P51DKQEW50KwxLtG6X5m8w_2_2"/>
      <w:bookmarkStart w:id="1754" w:name="Tc_KlSfZpmkQEOtXSBMqzKTfQ_1_2"/>
      <w:bookmarkStart w:id="1755" w:name="_49b147ef_084f_468c_bb98_b242c5e96f54"/>
      <w:bookmarkStart w:id="1756" w:name="Tc_Cx-BNOTRNUWgaxxCRUju-w_4_8"/>
      <w:bookmarkStart w:id="1757" w:name="Tc_30LO8u2OPE-e3N90FV6DQA_4_5"/>
      <w:bookmarkStart w:id="1758" w:name="Tc__iWsIs_f3E-VeW_i1QMApQ_4_2"/>
      <w:bookmarkStart w:id="1759" w:name="Tc_-HdRUSx7HESj6-DerMsZ9A_4_0"/>
      <w:bookmarkStart w:id="1760" w:name="Tc_7PDHiY_zB0mxWQuVAT4YYw_3_2"/>
      <w:bookmarkStart w:id="1761" w:name="Tc_INc2j_0k70S7a6XdaUEhgA_2_8"/>
      <w:bookmarkStart w:id="1762" w:name="Tc_ONdJe2PoJ0WNMwH3HfOIzg_2_5"/>
      <w:bookmarkStart w:id="1763" w:name="Tc_9tdSMYonB0KdGdQWYScnLg_2_2"/>
      <w:bookmarkStart w:id="1764" w:name="Tc_MVpxGVjBPkKMILW2AdUAHw_1_2"/>
      <w:bookmarkStart w:id="1765" w:name="Tc_JiJyQjT7OUKIKWTvanBf3Q_9_8"/>
      <w:bookmarkStart w:id="1766" w:name="Tc_dZslXukbqECDQTCZxqCIFQ_9_7"/>
      <w:bookmarkStart w:id="1767" w:name="Tc_4Zc1BuzEWUqzQAEU-ZtNyA_9_4"/>
      <w:bookmarkStart w:id="1768" w:name="Tc_cFknEhkCHkuajhT3aXwJ1A_9_0"/>
      <w:bookmarkStart w:id="1769" w:name="Tc_oT5dTBXRuUepeF7RNqNvvQ_8_4"/>
      <w:bookmarkStart w:id="1770" w:name="Tc_7fOZJZeQ6ki6nYoiaffixw_8_0"/>
      <w:bookmarkStart w:id="1771" w:name="Tc_2u9cJuzZiU6Hf12L2Ym9eg_7_8"/>
      <w:bookmarkStart w:id="1772" w:name="Tc_Sddwo3wJzk-eE1AfLqBXlQ_7_7"/>
      <w:bookmarkStart w:id="1773" w:name="Tc_8JBi1CplxUSnZwSyxLVVDw_7_4"/>
      <w:bookmarkStart w:id="1774" w:name="Tc_zFJOVDBPE0yhZ-0lR8mtHA_7_0"/>
      <w:bookmarkStart w:id="1775" w:name="Tc_lvQ8WwBlzEyhY-qyL8JZGQ_6_4"/>
      <w:bookmarkStart w:id="1776" w:name="Tc_-6oAOVYSR0ii7P2nPQqb3g_6_0"/>
      <w:bookmarkStart w:id="1777" w:name="Tc_R10yEyKVy0CA-x9nU9dB0w_5_5"/>
      <w:bookmarkStart w:id="1778" w:name="Tc__fdKy8ozME2rvEYFmYlV_w_5_4"/>
      <w:bookmarkStart w:id="1779" w:name="Tc_yLvNqDt6hUmxB_nKrMjiFw_5_2"/>
      <w:bookmarkStart w:id="1780" w:name="Tc_okdEdiI8CUmxjbKFZ48dUg_5_0"/>
      <w:bookmarkStart w:id="1781" w:name="Tc_Ul2k1aP_FUuOl2Dqa7Lwtg_4_4"/>
      <w:bookmarkStart w:id="1782" w:name="Tc_GaKn-MHthk2LiFEzsclI9w_4_0"/>
      <w:bookmarkStart w:id="1783" w:name="Tc_rRkLQmEiMkSCeAgBLIUXzA_3_4"/>
      <w:bookmarkStart w:id="1784" w:name="Tc_nnSSmTrCr0iFiots-dB44w_3_0"/>
      <w:bookmarkStart w:id="1785" w:name="Tc_3pU0E_sFTE-3LtFWG1O_wg_2_10"/>
      <w:bookmarkStart w:id="1786" w:name="Tc_4K-jnVDlVUyNG0ULqCxCkg_2_8"/>
      <w:bookmarkStart w:id="1787" w:name="Tc_MEfsuJ1RDUeQ00Lq11k8lA_2_4"/>
      <w:bookmarkStart w:id="1788" w:name="Tc_HYvwQuVMB0KjRgTMG0beiQ_2_2"/>
      <w:bookmarkStart w:id="1789" w:name="Tc_t2tVL93w6EGY2o3FT3eMKw_1_2"/>
      <w:bookmarkStart w:id="1790" w:name="_8809a454_b881_4fe2_bc77_cbd99b33d8d4"/>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r>
        <w:rPr>
          <w:rFonts w:ascii="Times New Roman;Times;serif" w:hAnsi="Times New Roman;Times;serif"/>
          <w:b/>
          <w:i/>
          <w:sz w:val="20"/>
        </w:rPr>
        <w:t>Stock Award Activity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EchoStar stock option activity associated with our employees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68"/>
        <w:gridCol w:w="326"/>
        <w:gridCol w:w="933"/>
        <w:gridCol w:w="326"/>
        <w:gridCol w:w="249"/>
        <w:gridCol w:w="652"/>
        <w:gridCol w:w="109"/>
        <w:gridCol w:w="196"/>
        <w:gridCol w:w="1539"/>
        <w:gridCol w:w="109"/>
        <w:gridCol w:w="2142"/>
        <w:gridCol w:w="156"/>
      </w:tblGrid>
      <w:tr>
        <w:trPr/>
        <w:tc>
          <w:tcPr>
            <w:tcW w:w="3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202180" cy="175260"/>
                      <wp:effectExtent l="0" t="0" r="0" b="0"/>
                      <wp:wrapNone/>
                      <wp:docPr id="497" name="Frame497"/>
                      <a:graphic xmlns:a="http://schemas.openxmlformats.org/drawingml/2006/main">
                        <a:graphicData uri="http://schemas.microsoft.com/office/word/2010/wordprocessingShape">
                          <wps:wsp>
                            <wps:cNvSpPr txBox="1"/>
                            <wps:spPr>
                              <a:xfrm>
                                <a:off x="0" y="0"/>
                                <a:ext cx="2202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592455" cy="175260"/>
                      <wp:effectExtent l="0" t="0" r="0" b="0"/>
                      <wp:wrapNone/>
                      <wp:docPr id="499" name="Frame49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58115" cy="175260"/>
                      <wp:effectExtent l="0" t="0" r="0" b="0"/>
                      <wp:wrapNone/>
                      <wp:docPr id="501" name="Frame50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14020" cy="175260"/>
                      <wp:effectExtent l="0" t="0" r="0" b="0"/>
                      <wp:wrapNone/>
                      <wp:docPr id="502" name="Frame502"/>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3"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24460" cy="175260"/>
                      <wp:effectExtent l="0" t="0" r="0" b="0"/>
                      <wp:wrapNone/>
                      <wp:docPr id="504" name="Frame5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977265" cy="175260"/>
                      <wp:effectExtent l="0" t="0" r="0" b="0"/>
                      <wp:wrapNone/>
                      <wp:docPr id="505" name="Frame505"/>
                      <a:graphic xmlns:a="http://schemas.openxmlformats.org/drawingml/2006/main">
                        <a:graphicData uri="http://schemas.microsoft.com/office/word/2010/wordprocessingShape">
                          <wps:wsp>
                            <wps:cNvSpPr txBox="1"/>
                            <wps:spPr>
                              <a:xfrm>
                                <a:off x="0" y="0"/>
                                <a:ext cx="977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60170" cy="175260"/>
                      <wp:effectExtent l="0" t="0" r="0" b="0"/>
                      <wp:wrapNone/>
                      <wp:docPr id="507" name="Frame507"/>
                      <a:graphic xmlns:a="http://schemas.openxmlformats.org/drawingml/2006/main">
                        <a:graphicData uri="http://schemas.microsoft.com/office/word/2010/wordprocessingShape">
                          <wps:wsp>
                            <wps:cNvSpPr txBox="1"/>
                            <wps:spPr>
                              <a:xfrm>
                                <a:off x="0" y="0"/>
                                <a:ext cx="1360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99060" cy="175260"/>
                      <wp:effectExtent l="0" t="0" r="0" b="0"/>
                      <wp:wrapNone/>
                      <wp:docPr id="508" name="Frame50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11" w:type="dxa"/>
            <w:gridSpan w:val="10"/>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 Ended December 31, 2023</w:t>
            </w:r>
          </w:p>
        </w:tc>
      </w:tr>
      <w:tr>
        <w:trPr/>
        <w:tc>
          <w:tcPr>
            <w:tcW w:w="34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br/>
              <w:t>Average</w:t>
              <w:br/>
              <w:t>Exercise</w:t>
              <w:br/>
              <w:t>Price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5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Aggregate intrinsic value</w:t>
              <w:br/>
            </w:r>
            <w:r>
              <w:rPr>
                <w:rFonts w:ascii="Times New Roman;Times;serif" w:hAnsi="Times New Roman;Time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21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br/>
              <w:t>Average Remaining Contractual Life</w:t>
            </w:r>
          </w:p>
        </w:tc>
        <w:tc>
          <w:tcPr>
            <w:tcW w:w="156" w:type="dxa"/>
            <w:tcBorders/>
            <w:vAlign w:val="center"/>
          </w:tcPr>
          <w:p>
            <w:pPr>
              <w:pStyle w:val="TableContents"/>
              <w:bidi w:val="0"/>
              <w:spacing w:before="0" w:after="0"/>
              <w:ind w:left="0" w:right="0" w:hanging="0"/>
              <w:jc w:val="left"/>
              <w:rPr/>
            </w:pPr>
            <w:r>
              <w:rPr/>
              <w:t>​</w:t>
            </w:r>
          </w:p>
        </w:tc>
      </w:tr>
      <w:tr>
        <w:trPr/>
        <w:tc>
          <w:tcPr>
            <w:tcW w:w="3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options outstanding,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10,494,032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5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2"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3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790,526</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5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2"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3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5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2"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3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and cancelled (1)</w:t>
            </w:r>
          </w:p>
        </w:tc>
        <w:tc>
          <w:tcPr>
            <w:tcW w:w="326" w:type="dxa"/>
            <w:tcBorders/>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(1,397,228)</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5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2"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346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options outstanding,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9,887,330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346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Performance/market based options outstanding, end of period (2)</w:t>
            </w:r>
          </w:p>
        </w:tc>
        <w:tc>
          <w:tcPr>
            <w:tcW w:w="326" w:type="dxa"/>
            <w:tcBorders/>
            <w:vAlign w:val="center"/>
          </w:tcPr>
          <w:p>
            <w:pPr>
              <w:pStyle w:val="TableContents"/>
              <w:bidi w:val="0"/>
              <w:spacing w:before="0" w:after="0"/>
              <w:ind w:left="0" w:right="0" w:hanging="0"/>
              <w:jc w:val="left"/>
              <w:rPr/>
            </w:pPr>
            <w:r>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4,631,083</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5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2"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346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Exercisable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2,893,380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34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5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2"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bl>
    <w:tbl>
      <w:tblPr>
        <w:tblW w:w="5822" w:type="dxa"/>
        <w:jc w:val="left"/>
        <w:tblInd w:w="0" w:type="dxa"/>
        <w:tblLayout w:type="fixed"/>
        <w:tblCellMar>
          <w:top w:w="0" w:type="dxa"/>
          <w:left w:w="0" w:type="dxa"/>
          <w:bottom w:w="0" w:type="dxa"/>
          <w:right w:w="0" w:type="dxa"/>
        </w:tblCellMar>
      </w:tblPr>
      <w:tblGrid>
        <w:gridCol w:w="346"/>
        <w:gridCol w:w="54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cancellation of the 2013 LTIP. See discussion below.</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These stock options are included in the caption “Total options outstanding, end of period.” See discussion of the 2017 LTIP, 2019 LTIP, 2022 Incentive Plan,</w:t>
            </w:r>
            <w:r>
              <w:rPr>
                <w:caps w:val="false"/>
                <w:smallCaps w:val="false"/>
              </w:rPr>
              <w:t xml:space="preserve"> </w:t>
            </w:r>
            <w:r>
              <w:rPr>
                <w:rFonts w:ascii="Times New Roman;Times;serif" w:hAnsi="Times New Roman;Times;serif"/>
                <w:b w:val="false"/>
                <w:i w:val="false"/>
                <w:caps w:val="false"/>
                <w:smallCaps w:val="false"/>
                <w:sz w:val="20"/>
              </w:rPr>
              <w:t>Ergen 2020 Performance Award</w:t>
            </w:r>
            <w:r>
              <w:rPr>
                <w:caps w:val="false"/>
                <w:smallCaps w:val="false"/>
              </w:rPr>
              <w:t xml:space="preserve"> </w:t>
            </w:r>
            <w:r>
              <w:rPr>
                <w:rFonts w:ascii="Times New Roman;Times;serif" w:hAnsi="Times New Roman;Times;serif"/>
                <w:b w:val="false"/>
                <w:i w:val="false"/>
                <w:caps w:val="false"/>
                <w:smallCaps w:val="false"/>
                <w:sz w:val="20"/>
              </w:rPr>
              <w:t>and Other Employee Performance Awards below.</w:t>
            </w:r>
            <w:r>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realized tax benefits from stock awards exercised as follows:</w:t>
      </w:r>
    </w:p>
    <w:p>
      <w:pPr>
        <w:pStyle w:val="TextBody"/>
        <w:bidi w:val="0"/>
        <w:spacing w:before="0" w:after="0"/>
        <w:ind w:left="0" w:right="0" w:hanging="0"/>
        <w:jc w:val="left"/>
        <w:rPr/>
      </w:pPr>
      <w:r>
        <w:rPr/>
        <w:t>​</w:t>
      </w:r>
    </w:p>
    <w:tbl>
      <w:tblPr>
        <w:tblW w:w="6560" w:type="dxa"/>
        <w:jc w:val="left"/>
        <w:tblInd w:w="0" w:type="dxa"/>
        <w:tblLayout w:type="fixed"/>
        <w:tblCellMar>
          <w:top w:w="0" w:type="dxa"/>
          <w:left w:w="0" w:type="dxa"/>
          <w:bottom w:w="0" w:type="dxa"/>
          <w:right w:w="0" w:type="dxa"/>
        </w:tblCellMar>
      </w:tblPr>
      <w:tblGrid>
        <w:gridCol w:w="3211"/>
        <w:gridCol w:w="326"/>
        <w:gridCol w:w="210"/>
        <w:gridCol w:w="548"/>
        <w:gridCol w:w="350"/>
        <w:gridCol w:w="210"/>
        <w:gridCol w:w="403"/>
        <w:gridCol w:w="350"/>
        <w:gridCol w:w="210"/>
        <w:gridCol w:w="551"/>
        <w:gridCol w:w="19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38985" cy="175260"/>
                      <wp:effectExtent l="0" t="0" r="0" b="0"/>
                      <wp:wrapNone/>
                      <wp:docPr id="509" name="Frame50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10"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350" cy="175260"/>
                      <wp:effectExtent l="0" t="0" r="0" b="0"/>
                      <wp:wrapNone/>
                      <wp:docPr id="511" name="Frame511"/>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47980" cy="175260"/>
                      <wp:effectExtent l="0" t="0" r="0" b="0"/>
                      <wp:wrapNone/>
                      <wp:docPr id="512" name="Frame512"/>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22250" cy="175260"/>
                      <wp:effectExtent l="0" t="0" r="0" b="0"/>
                      <wp:wrapNone/>
                      <wp:docPr id="513" name="Frame51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350" cy="175260"/>
                      <wp:effectExtent l="0" t="0" r="0" b="0"/>
                      <wp:wrapNone/>
                      <wp:docPr id="514" name="Frame514"/>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55905" cy="175260"/>
                      <wp:effectExtent l="0" t="0" r="0" b="0"/>
                      <wp:wrapNone/>
                      <wp:docPr id="515" name="Frame515"/>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22250" cy="175260"/>
                      <wp:effectExtent l="0" t="0" r="0" b="0"/>
                      <wp:wrapNone/>
                      <wp:docPr id="516" name="Frame51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350" cy="175260"/>
                      <wp:effectExtent l="0" t="0" r="0" b="0"/>
                      <wp:wrapNone/>
                      <wp:docPr id="517" name="Frame517"/>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49885" cy="175260"/>
                      <wp:effectExtent l="0" t="0" r="0" b="0"/>
                      <wp:wrapNone/>
                      <wp:docPr id="518" name="Frame518"/>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1285" cy="175260"/>
                      <wp:effectExtent l="0" t="0" r="0" b="0"/>
                      <wp:wrapNone/>
                      <wp:docPr id="519" name="Frame5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2"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50" w:type="dxa"/>
            <w:tcBorders/>
            <w:vAlign w:val="center"/>
          </w:tcPr>
          <w:p>
            <w:pPr>
              <w:pStyle w:val="TableContents"/>
              <w:bidi w:val="0"/>
              <w:spacing w:before="0" w:after="0"/>
              <w:ind w:left="0" w:right="0" w:hanging="0"/>
              <w:jc w:val="left"/>
              <w:rPr/>
            </w:pPr>
            <w:r>
              <w:rPr/>
              <w:t>    </w:t>
            </w:r>
          </w:p>
        </w:tc>
        <w:tc>
          <w:tcPr>
            <w:tcW w:w="6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50" w:type="dxa"/>
            <w:tcBorders/>
            <w:vAlign w:val="center"/>
          </w:tcPr>
          <w:p>
            <w:pPr>
              <w:pStyle w:val="TableContents"/>
              <w:bidi w:val="0"/>
              <w:spacing w:before="0" w:after="0"/>
              <w:ind w:left="0" w:right="0" w:hanging="0"/>
              <w:jc w:val="left"/>
              <w:rPr/>
            </w:pPr>
            <w:r>
              <w:rPr/>
              <w:t>    </w:t>
            </w:r>
          </w:p>
        </w:tc>
        <w:tc>
          <w:tcPr>
            <w:tcW w:w="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1" w:type="dxa"/>
            <w:tcBorders/>
            <w:vAlign w:val="center"/>
          </w:tcPr>
          <w:p>
            <w:pPr>
              <w:pStyle w:val="TableContents"/>
              <w:bidi w:val="0"/>
              <w:spacing w:before="0" w:after="0"/>
              <w:ind w:left="0" w:right="0" w:hanging="0"/>
              <w:jc w:val="left"/>
              <w:rPr/>
            </w:pPr>
            <w:r>
              <w:rPr/>
              <w:t> </w:t>
            </w:r>
          </w:p>
        </w:tc>
      </w:tr>
      <w:tr>
        <w:trPr/>
        <w:tc>
          <w:tcPr>
            <w:tcW w:w="656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32"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Tax benefit from stock awards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w:t>
            </w:r>
          </w:p>
        </w:tc>
        <w:tc>
          <w:tcPr>
            <w:tcW w:w="350" w:type="dxa"/>
            <w:tcBorders/>
            <w:shd w:fill="CCEEFF" w:val="clear"/>
            <w:vAlign w:val="center"/>
          </w:tcPr>
          <w:p>
            <w:pPr>
              <w:pStyle w:val="TableContents"/>
              <w:bidi w:val="0"/>
              <w:spacing w:before="0" w:after="0"/>
              <w:ind w:left="0" w:right="0" w:hanging="0"/>
              <w:jc w:val="center"/>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w:t>
            </w:r>
          </w:p>
        </w:tc>
        <w:tc>
          <w:tcPr>
            <w:tcW w:w="350" w:type="dxa"/>
            <w:tcBorders/>
            <w:shd w:fill="CCEEFF" w:val="clear"/>
            <w:vAlign w:val="center"/>
          </w:tcPr>
          <w:p>
            <w:pPr>
              <w:pStyle w:val="TableContents"/>
              <w:bidi w:val="0"/>
              <w:spacing w:before="0" w:after="0"/>
              <w:ind w:left="0" w:right="0" w:hanging="0"/>
              <w:jc w:val="center"/>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EchoStar restricted stock unit and award activity associated with our employees was as follows:</w:t>
      </w:r>
    </w:p>
    <w:p>
      <w:pPr>
        <w:pStyle w:val="TextBody"/>
        <w:bidi w:val="0"/>
        <w:spacing w:before="0" w:after="0"/>
        <w:ind w:left="0" w:right="0" w:hanging="0"/>
        <w:jc w:val="left"/>
        <w:rPr/>
      </w:pPr>
      <w:r>
        <w:rPr/>
        <w:t>​</w:t>
      </w:r>
    </w:p>
    <w:tbl>
      <w:tblPr>
        <w:tblW w:w="8707" w:type="dxa"/>
        <w:jc w:val="left"/>
        <w:tblInd w:w="0" w:type="dxa"/>
        <w:tblLayout w:type="fixed"/>
        <w:tblCellMar>
          <w:top w:w="0" w:type="dxa"/>
          <w:left w:w="0" w:type="dxa"/>
          <w:bottom w:w="0" w:type="dxa"/>
          <w:right w:w="0" w:type="dxa"/>
        </w:tblCellMar>
      </w:tblPr>
      <w:tblGrid>
        <w:gridCol w:w="4891"/>
        <w:gridCol w:w="326"/>
        <w:gridCol w:w="1603"/>
        <w:gridCol w:w="440"/>
        <w:gridCol w:w="264"/>
        <w:gridCol w:w="812"/>
        <w:gridCol w:w="37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105785" cy="175260"/>
                      <wp:effectExtent l="0" t="0" r="0" b="0"/>
                      <wp:wrapNone/>
                      <wp:docPr id="520" name="Frame520"/>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017905" cy="175260"/>
                      <wp:effectExtent l="0" t="0" r="0" b="0"/>
                      <wp:wrapNone/>
                      <wp:docPr id="522" name="Frame522"/>
                      <a:graphic xmlns:a="http://schemas.openxmlformats.org/drawingml/2006/main">
                        <a:graphicData uri="http://schemas.microsoft.com/office/word/2010/wordprocessingShape">
                          <wps:wsp>
                            <wps:cNvSpPr txBox="1"/>
                            <wps:spPr>
                              <a:xfrm>
                                <a:off x="0" y="0"/>
                                <a:ext cx="1017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79400" cy="175260"/>
                      <wp:effectExtent l="0" t="0" r="0" b="0"/>
                      <wp:wrapNone/>
                      <wp:docPr id="523" name="Frame523"/>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67640" cy="175260"/>
                      <wp:effectExtent l="0" t="0" r="0" b="0"/>
                      <wp:wrapNone/>
                      <wp:docPr id="524" name="Frame524"/>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15620" cy="175260"/>
                      <wp:effectExtent l="0" t="0" r="0" b="0"/>
                      <wp:wrapNone/>
                      <wp:docPr id="525" name="Frame525"/>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35585" cy="175260"/>
                      <wp:effectExtent l="0" t="0" r="0" b="0"/>
                      <wp:wrapNone/>
                      <wp:docPr id="526" name="Frame52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1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 Ended December 31, 2023</w:t>
            </w:r>
          </w:p>
        </w:tc>
        <w:tc>
          <w:tcPr>
            <w:tcW w:w="371" w:type="dxa"/>
            <w:tcBorders/>
            <w:vAlign w:val="center"/>
          </w:tcPr>
          <w:p>
            <w:pPr>
              <w:pStyle w:val="TableContents"/>
              <w:bidi w:val="0"/>
              <w:spacing w:before="0" w:after="0"/>
              <w:ind w:left="0" w:right="0" w:hanging="0"/>
              <w:jc w:val="left"/>
              <w:rPr/>
            </w:pPr>
            <w:r>
              <w:rPr/>
              <w:t>​</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Restricted</w:t>
              <w:br/>
              <w:t>Stock</w:t>
              <w:br/>
              <w:t>Units/Awards</w:t>
            </w:r>
          </w:p>
        </w:tc>
        <w:tc>
          <w:tcPr>
            <w:tcW w:w="440" w:type="dxa"/>
            <w:tcBorders/>
            <w:vAlign w:val="center"/>
          </w:tcPr>
          <w:p>
            <w:pPr>
              <w:pStyle w:val="TableContents"/>
              <w:bidi w:val="0"/>
              <w:spacing w:before="0" w:after="0"/>
              <w:ind w:left="0" w:right="0" w:hanging="0"/>
              <w:jc w:val="left"/>
              <w:rPr/>
            </w:pPr>
            <w:r>
              <w:rPr/>
              <w:t>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br/>
              <w:t>Average</w:t>
              <w:br/>
              <w:t>Grant Date</w:t>
              <w:br/>
              <w:t>Fair Value</w:t>
            </w:r>
          </w:p>
        </w:tc>
        <w:tc>
          <w:tcPr>
            <w:tcW w:w="371" w:type="dxa"/>
            <w:tcBorders/>
            <w:vAlign w:val="center"/>
          </w:tcPr>
          <w:p>
            <w:pPr>
              <w:pStyle w:val="TableContents"/>
              <w:bidi w:val="0"/>
              <w:spacing w:before="0" w:after="0"/>
              <w:ind w:left="0" w:right="0" w:hanging="0"/>
              <w:jc w:val="left"/>
              <w:rPr/>
            </w:pPr>
            <w:r>
              <w:rPr/>
              <w:t>    </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restricted stock units/awards outstanding,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16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502,804</w:t>
            </w:r>
          </w:p>
        </w:tc>
        <w:tc>
          <w:tcPr>
            <w:tcW w:w="440"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w:t>
            </w:r>
          </w:p>
        </w:tc>
        <w:tc>
          <w:tcPr>
            <w:tcW w:w="160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5,776</w:t>
            </w:r>
          </w:p>
        </w:tc>
        <w:tc>
          <w:tcPr>
            <w:tcW w:w="440"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c>
          <w:tcPr>
            <w:tcW w:w="371" w:type="dxa"/>
            <w:tcBorders/>
            <w:vAlign w:val="center"/>
          </w:tcPr>
          <w:p>
            <w:pPr>
              <w:pStyle w:val="TableContents"/>
              <w:bidi w:val="0"/>
              <w:spacing w:before="0" w:after="0"/>
              <w:ind w:left="0" w:right="0" w:hanging="0"/>
              <w:jc w:val="lef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6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(275,100)</w:t>
            </w:r>
          </w:p>
        </w:tc>
        <w:tc>
          <w:tcPr>
            <w:tcW w:w="440"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and cancelled</w:t>
            </w:r>
          </w:p>
        </w:tc>
        <w:tc>
          <w:tcPr>
            <w:tcW w:w="326" w:type="dxa"/>
            <w:tcBorders/>
            <w:vAlign w:val="center"/>
          </w:tcPr>
          <w:p>
            <w:pPr>
              <w:pStyle w:val="TableContents"/>
              <w:bidi w:val="0"/>
              <w:spacing w:before="0" w:after="0"/>
              <w:ind w:left="0" w:right="0" w:hanging="0"/>
              <w:jc w:val="left"/>
              <w:rPr/>
            </w:pPr>
            <w:r>
              <w:rPr/>
              <w:t>​</w:t>
            </w:r>
          </w:p>
        </w:tc>
        <w:tc>
          <w:tcPr>
            <w:tcW w:w="16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(184,835)</w:t>
            </w:r>
          </w:p>
        </w:tc>
        <w:tc>
          <w:tcPr>
            <w:tcW w:w="440"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110.50</w:t>
            </w:r>
          </w:p>
        </w:tc>
        <w:tc>
          <w:tcPr>
            <w:tcW w:w="371" w:type="dxa"/>
            <w:tcBorders/>
            <w:vAlign w:val="center"/>
          </w:tcPr>
          <w:p>
            <w:pPr>
              <w:pStyle w:val="TableContents"/>
              <w:bidi w:val="0"/>
              <w:spacing w:before="0" w:after="0"/>
              <w:ind w:left="0" w:right="0" w:hanging="0"/>
              <w:jc w:val="lef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restricted stock units/awards outstanding,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6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48,645</w:t>
            </w:r>
          </w:p>
        </w:tc>
        <w:tc>
          <w:tcPr>
            <w:tcW w:w="440"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bookmarkStart w:id="1791" w:name="_Hlk724430"/>
      <w:bookmarkStart w:id="1792" w:name="Tc_p83KNN4rtE25uCy_hKGWXw_10_8"/>
      <w:bookmarkStart w:id="1793" w:name="Tc_TP6iGyqEgkye9O4AFkLC0w_10_5"/>
      <w:bookmarkStart w:id="1794" w:name="Tc_-cBkTJT9MkqmaB5aNiDMjg_10_2"/>
      <w:bookmarkStart w:id="1795" w:name="Tc_jtbho8d16kWhLNxoJolBoA_10_0"/>
      <w:bookmarkStart w:id="1796" w:name="Tc_B5PYScMMqk2nm3DZreBRmw_9_8"/>
      <w:bookmarkStart w:id="1797" w:name="Tc_s8Rg6yG_MUWCzhl4138wyw_9_5"/>
      <w:bookmarkStart w:id="1798" w:name="Tc_X-cUTjvEF0uFFv4io13Jrg_9_2"/>
      <w:bookmarkStart w:id="1799" w:name="Tc_X5oPeRXce0CaJ_uh8UsRTg_9_0"/>
      <w:bookmarkStart w:id="1800" w:name="Tc_sv8OL1RCak-wpZviZq8EcQ_8_0"/>
      <w:bookmarkStart w:id="1801" w:name="Tc_62mtunTTVESYYfHZ6bWLKQ_6_8"/>
      <w:bookmarkStart w:id="1802" w:name="Tc_RTWO8dO_XU221k7yXkv3tw_6_5"/>
      <w:bookmarkStart w:id="1803" w:name="Tc_rm1yzZLuRkSwU0icBohXfg_6_3"/>
      <w:bookmarkStart w:id="1804" w:name="Tc_SGhN1NJwl02R4CX3EH5Rwg_6_2"/>
      <w:bookmarkStart w:id="1805" w:name="Tc_nl9e19scRUiGNGmd5t38tQ_6_0"/>
      <w:bookmarkStart w:id="1806" w:name="Tc_r4yoI-k05E6Ato2iwyUlHQ_5_8"/>
      <w:bookmarkStart w:id="1807" w:name="Tc_7uTzCBM-okWoCv49A2WPOQ_5_5"/>
      <w:bookmarkStart w:id="1808" w:name="Tc_aYse8mkwEUOyKQi7udUh9w_5_2"/>
      <w:bookmarkStart w:id="1809" w:name="Tc_dFQYMOhrl0CwDWV1kVuoYQ_5_0"/>
      <w:bookmarkStart w:id="1810" w:name="Tc_eSAzmBYGA0OrBptpSC74hw_4_0"/>
      <w:bookmarkStart w:id="1811" w:name="Tc_K78iMkxXPUK87AhOItHjgg_3_2"/>
      <w:bookmarkStart w:id="1812" w:name="Tc_kkcpNZDJL0e3neyPJHS49Q_2_8"/>
      <w:bookmarkStart w:id="1813" w:name="Tc_2mCkoontbUWJZi8Gsxiu3A_2_5"/>
      <w:bookmarkStart w:id="1814" w:name="Tc_lsmY2SbE402eASlOK8xrmg_2_2"/>
      <w:bookmarkStart w:id="1815" w:name="Tc_Uzkggc3XMUCQu8B3jyIyCA_1_2"/>
      <w:bookmarkStart w:id="1816" w:name="_08a8755e_6f30_4f4f_bbf1_0eaa893be3a2"/>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r>
        <w:rPr>
          <w:rFonts w:ascii="Times New Roman;Times;serif" w:hAnsi="Times New Roman;Times;serif"/>
          <w:sz w:val="20"/>
        </w:rPr>
        <w:t>The following table summarizes additional information about EchoStar stock options and restricted stock units and awards associated with our employees:</w:t>
      </w:r>
    </w:p>
    <w:p>
      <w:pPr>
        <w:pStyle w:val="TextBody"/>
        <w:bidi w:val="0"/>
        <w:spacing w:before="0" w:after="0"/>
        <w:ind w:left="0" w:right="0" w:hanging="0"/>
        <w:jc w:val="left"/>
        <w:rPr/>
      </w:pPr>
      <w:r>
        <w:rPr/>
        <w:t>​</w:t>
      </w:r>
    </w:p>
    <w:tbl>
      <w:tblPr>
        <w:tblW w:w="8230" w:type="dxa"/>
        <w:jc w:val="left"/>
        <w:tblInd w:w="0" w:type="dxa"/>
        <w:tblLayout w:type="fixed"/>
        <w:tblCellMar>
          <w:top w:w="0" w:type="dxa"/>
          <w:left w:w="0" w:type="dxa"/>
          <w:bottom w:w="0" w:type="dxa"/>
          <w:right w:w="0" w:type="dxa"/>
        </w:tblCellMar>
      </w:tblPr>
      <w:tblGrid>
        <w:gridCol w:w="4846"/>
        <w:gridCol w:w="326"/>
        <w:gridCol w:w="206"/>
        <w:gridCol w:w="537"/>
        <w:gridCol w:w="342"/>
        <w:gridCol w:w="206"/>
        <w:gridCol w:w="537"/>
        <w:gridCol w:w="342"/>
        <w:gridCol w:w="206"/>
        <w:gridCol w:w="682"/>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077210" cy="175260"/>
                      <wp:effectExtent l="0" t="0" r="0" b="0"/>
                      <wp:wrapNone/>
                      <wp:docPr id="527" name="Frame527"/>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0810" cy="175260"/>
                      <wp:effectExtent l="0" t="0" r="0" b="0"/>
                      <wp:wrapNone/>
                      <wp:docPr id="529" name="Frame52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40995" cy="175260"/>
                      <wp:effectExtent l="0" t="0" r="0" b="0"/>
                      <wp:wrapNone/>
                      <wp:docPr id="530" name="Frame530"/>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7170" cy="175260"/>
                      <wp:effectExtent l="0" t="0" r="0" b="0"/>
                      <wp:wrapNone/>
                      <wp:docPr id="531" name="Frame53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0810" cy="175260"/>
                      <wp:effectExtent l="0" t="0" r="0" b="0"/>
                      <wp:wrapNone/>
                      <wp:docPr id="532" name="Frame53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40995" cy="175260"/>
                      <wp:effectExtent l="0" t="0" r="0" b="0"/>
                      <wp:wrapNone/>
                      <wp:docPr id="533" name="Frame533"/>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7170" cy="175260"/>
                      <wp:effectExtent l="0" t="0" r="0" b="0"/>
                      <wp:wrapNone/>
                      <wp:docPr id="534" name="Frame534"/>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0810" cy="175260"/>
                      <wp:effectExtent l="0" t="0" r="0" b="0"/>
                      <wp:wrapNone/>
                      <wp:docPr id="535" name="Frame5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33070" cy="175260"/>
                      <wp:effectExtent l="0" t="0" r="0" b="0"/>
                      <wp:wrapNone/>
                      <wp:docPr id="536" name="Frame536"/>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r>
      <w:tr>
        <w:trPr/>
        <w:tc>
          <w:tcPr>
            <w:tcW w:w="4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42" w:type="dxa"/>
            <w:tcBorders/>
            <w:vAlign w:val="center"/>
          </w:tcPr>
          <w:p>
            <w:pPr>
              <w:pStyle w:val="TableContents"/>
              <w:bidi w:val="0"/>
              <w:spacing w:before="0" w:after="0"/>
              <w:ind w:left="0" w:right="0" w:hanging="0"/>
              <w:jc w:val="left"/>
              <w:rPr/>
            </w:pPr>
            <w:r>
              <w:rPr/>
              <w:t>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42" w:type="dxa"/>
            <w:tcBorders/>
            <w:vAlign w:val="center"/>
          </w:tcPr>
          <w:p>
            <w:pPr>
              <w:pStyle w:val="TableContents"/>
              <w:bidi w:val="0"/>
              <w:spacing w:before="0" w:after="0"/>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r>
      <w:tr>
        <w:trPr/>
        <w:tc>
          <w:tcPr>
            <w:tcW w:w="823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58"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per share amounts)</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center"/>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grant date fair value of options granted</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28.24</w:t>
            </w:r>
          </w:p>
        </w:tc>
        <w:tc>
          <w:tcPr>
            <w:tcW w:w="342" w:type="dxa"/>
            <w:tcBorders/>
            <w:vAlign w:val="center"/>
          </w:tcPr>
          <w:p>
            <w:pPr>
              <w:pStyle w:val="TableContents"/>
              <w:bidi w:val="0"/>
              <w:spacing w:before="0" w:after="0"/>
              <w:ind w:left="0" w:right="0" w:hanging="0"/>
              <w:jc w:val="center"/>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63.90</w:t>
            </w:r>
          </w:p>
        </w:tc>
        <w:tc>
          <w:tcPr>
            <w:tcW w:w="342" w:type="dxa"/>
            <w:tcBorders/>
            <w:vAlign w:val="center"/>
          </w:tcPr>
          <w:p>
            <w:pPr>
              <w:pStyle w:val="TableContents"/>
              <w:bidi w:val="0"/>
              <w:spacing w:before="0" w:after="0"/>
              <w:ind w:left="0" w:right="0" w:hanging="0"/>
              <w:jc w:val="center"/>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112.76</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Intrinsic value of options exercised (1)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16,029</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Restricted stock units and awards:</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center"/>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grant date fair value of units and awards granted</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c>
          <w:tcPr>
            <w:tcW w:w="342" w:type="dxa"/>
            <w:tcBorders/>
            <w:vAlign w:val="center"/>
          </w:tcPr>
          <w:p>
            <w:pPr>
              <w:pStyle w:val="TableContents"/>
              <w:bidi w:val="0"/>
              <w:spacing w:before="0" w:after="0"/>
              <w:ind w:left="0" w:right="0" w:hanging="0"/>
              <w:jc w:val="center"/>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88.39</w:t>
            </w:r>
          </w:p>
        </w:tc>
        <w:tc>
          <w:tcPr>
            <w:tcW w:w="342" w:type="dxa"/>
            <w:tcBorders/>
            <w:vAlign w:val="center"/>
          </w:tcPr>
          <w:p>
            <w:pPr>
              <w:pStyle w:val="TableContents"/>
              <w:bidi w:val="0"/>
              <w:spacing w:before="0" w:after="0"/>
              <w:ind w:left="0" w:right="0" w:hanging="0"/>
              <w:jc w:val="center"/>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120.86</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of units and rewards vested (1)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5,612</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2,212</w:t>
            </w:r>
          </w:p>
        </w:tc>
        <w:tc>
          <w:tcPr>
            <w:tcW w:w="342" w:type="dxa"/>
            <w:tcBorders/>
            <w:shd w:fill="CCEEFF" w:val="clear"/>
            <w:vAlign w:val="center"/>
          </w:tcPr>
          <w:p>
            <w:pPr>
              <w:pStyle w:val="TableContents"/>
              <w:bidi w:val="0"/>
              <w:spacing w:before="0" w:after="0"/>
              <w:ind w:left="0" w:right="0" w:hanging="0"/>
              <w:jc w:val="center"/>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left"/>
              <w:rPr/>
            </w:pPr>
            <w:r>
              <w:rPr/>
              <w:t>​</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 xml:space="preserve"> </w:t>
      </w:r>
      <w:r>
        <w:rPr>
          <w:rFonts w:ascii="Times New Roman;Times;serif" w:hAnsi="Times New Roman;Times;serif"/>
          <w:sz w:val="20"/>
        </w:rPr>
        <w:t>Intrinsic value and fair value is based on the closing market price of EchoStar’s Class A Common Stock on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Long-Term Performance-Based Plans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2013 LTIP.</w:t>
      </w:r>
      <w:r>
        <w:rPr>
          <w:rFonts w:ascii="Times New Roman;Times;serif" w:hAnsi="Times New Roman;Times;serif"/>
          <w:sz w:val="20"/>
        </w:rPr>
        <w:t xml:space="preserve"> During 2013, EchoStar adopted a long-term, performance-based stock incentive plan (the “2013 LTIP”). The 2013 LTIP provides stock options and restricted stock units in combination, which vest based on certain EchoStar-specific subscriber and financial performance conditions. Exercise of the stock awards is contingent on achieving these performance conditions by September 30, 2022. This plan expired on January 1, 2023 which resulted in the cancellation of 276,147 stock options and 137,449 restricted stock units and awards.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b/>
          <w:i/>
          <w:sz w:val="20"/>
        </w:rPr>
        <w:t>2017 LTIP.</w:t>
      </w:r>
      <w:r>
        <w:rPr>
          <w:rFonts w:ascii="Times New Roman;Times;serif" w:hAnsi="Times New Roman;Times;serif"/>
          <w:sz w:val="20"/>
        </w:rPr>
        <w:t xml:space="preserve"> On December 2, 2016, EchoStar adopted a long-term, performance-based stock incentive plan (the “2017 LTIP”). The 2017 LTIP provided stock options, which were subject to vesting based on certain EchoStar-specific subscriber and financial performance conditions. Awards were initially granted under the 2017 LTIP as of January 1, 2017. Exercise of the stock awards was contingent on achieving these performance conditions by December 31, 2020, however, none of the performance conditions were achieved. This plan will expire on January 1, 2027 which as of December 31, 2023, would result in the cancellation of 471,727 stock options.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2019 LTIP.</w:t>
      </w:r>
      <w:r>
        <w:rPr>
          <w:rFonts w:ascii="Times New Roman;Times;serif" w:hAnsi="Times New Roman;Times;serif"/>
          <w:sz w:val="20"/>
        </w:rPr>
        <w:t xml:space="preserve">  On August 17, 2018, EchoStar adopted a long-term, performance-based stock incentive plan (the “2019 LTIP”).  The 2019 LTIP provides stock options, which vest based on certain EchoStar-specific subscriber, operational and/or financial performance conditions.  Vesting of the stock awards is contingent on achieving these conditions by December 31,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no awards vest until EchoStar attains the performance conditions described above, compensation related to the 2019 LTIP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2022 and 2021, EchoStar determined that 85%, 89% and 90%, respectively, of the 2019 LTIP performance conditions were probable of achievement. As a result, non-cash, stock-based compensation expense was recorded for the years ended December 31, 2023, 2022 and 2021, as indicated in the table below titled “Non-Cash, Stock-Based Compensation Expense Recognized.” As of December 31, 2023, 2022 and 2021, approximately 78%, 75% and 69%, respectively, of the 2019 LTIP awards had vested. No additional awards will vest in future periods for the 2019 LTIP.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2022 Incentive Plan. </w:t>
      </w:r>
      <w:r>
        <w:rPr>
          <w:rFonts w:ascii="Times New Roman;Times;serif" w:hAnsi="Times New Roman;Times;serif"/>
          <w:sz w:val="20"/>
        </w:rPr>
        <w:t>On December 30, 2021, EchoStar adopted a performance-based incentive plan (the “2022 Incentive Plan”).  The 2022 Incentive Plan provides stock options, which vest based on certain EchoStar-specific operational and/or financial performance conditions. Awards were initially granted under the 2022 Incentive Plan as of February 1, 2022. Exercise of the stock awards is contingent on achieving these conditions by December 31, 2026.</w:t>
      </w:r>
    </w:p>
    <w:p>
      <w:pPr>
        <w:pStyle w:val="TextBody"/>
        <w:bidi w:val="0"/>
        <w:spacing w:lineRule="atLeast" w:line="22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no awards vest until EchoStar attains the performance conditions described above, compensation related to the 2022 Incentive Plan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2023, EchoStar determined that 100% of the 2022 Incentive Plan performance conditions were probable of achievement. As a result, non-cash, stock-based compensation expense was recorded for the years ended December 31, 2023 as indicated in the table below titled “Non-Cash, Stock-Based Compensation Expense Recognized.” As of December 31, 2023 and 2022, approximately 17% and 33%, respectively, of the 2022 Incentive Plan awards had vested.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i/>
          <w:sz w:val="20"/>
        </w:rPr>
        <w:t>Ergen 2020 Performance Award.</w:t>
      </w:r>
      <w:r>
        <w:rPr>
          <w:rFonts w:ascii="Times New Roman;Times;serif" w:hAnsi="Times New Roman;Times;serif"/>
          <w:sz w:val="24"/>
        </w:rPr>
        <w:t xml:space="preserve"> </w:t>
      </w:r>
      <w:r>
        <w:rPr>
          <w:rFonts w:ascii="Times New Roman;Times;serif" w:hAnsi="Times New Roman;Times;serif"/>
          <w:sz w:val="20"/>
        </w:rPr>
        <w:t>On November 4, 2020, our Executive Compensation Committee of the Board of Directors, at that time, approved an award to Charles W. Ergen, our Chairman, of long-term performance-based options (the “Ergen 2020 Performance Award”) to purchase up to 4,385,962</w:t>
      </w:r>
      <w:r>
        <w:rPr>
          <w:rFonts w:ascii="Times New Roman;Times;serif" w:hAnsi="Times New Roman;Times;serif"/>
          <w:sz w:val="24"/>
        </w:rPr>
        <w:t xml:space="preserve"> </w:t>
      </w:r>
      <w:r>
        <w:rPr>
          <w:rFonts w:ascii="Times New Roman;Times;serif" w:hAnsi="Times New Roman;Times;serif"/>
          <w:sz w:val="20"/>
        </w:rPr>
        <w:t>shares of EchoStar’s Class A common stock.  The award is subject to the achievement of specified EchoStar Class A common stock price targets during the approximate ten-year</w:t>
      </w:r>
      <w:r>
        <w:rPr>
          <w:rFonts w:ascii="Times New Roman;Times;serif" w:hAnsi="Times New Roman;Times;serif"/>
          <w:sz w:val="24"/>
        </w:rPr>
        <w:t xml:space="preserve"> </w:t>
      </w:r>
      <w:r>
        <w:rPr>
          <w:rFonts w:ascii="Times New Roman;Times;serif" w:hAnsi="Times New Roman;Times;serif"/>
          <w:sz w:val="20"/>
        </w:rPr>
        <w:t>period following the date of grant.  The award was granted on November 6, 2020 and will expire on February 6, 2031.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Although no awards will vest until the market conditions are satisfied, as of December 31, 2020, we began recording non-cash, stock-based compensation expense for each vesting tranche based on the estimated achievement date of the specified stock price target.  The valuation and probability of achievement for each tranche is determined using a Monte Carlo simulation.  The same Monte Carlo simulation is used as the basis for determining the expected achievement date.  As the probability of achievement is factored in as part of the Monte Carlo simulation, the expense for these tranches will be recognized concurrently over each tranche’s estimated achievement date even if some or all of the options never vest.  If the related milestone for a tranche is achieved earlier than is expected, all unamortized expense for such tranche will be recognized immediately. Non-cash, stock-based compensation expense was recorded for the years ended December 31, 2023, 2022 and 2021, as indicated in the table below titled “Non-Cash, Stock-Based Compensation Expense Recognized.” As of December 31, 2023, 2022 and 2021, approximately 20% of the Ergen 2020 Performance Award awards had vested.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Employee Performance Awards.</w:t>
      </w:r>
      <w:r>
        <w:rPr>
          <w:rFonts w:ascii="Times New Roman;Times;serif" w:hAnsi="Times New Roman;Times;serif"/>
          <w:sz w:val="20"/>
        </w:rPr>
        <w:t xml:space="preserve"> In addition to the above long-term, performance stock incentive plans, EchoStar has other stock awards that vest based on certain other EchoStar-specific subscriber, operational and/or financial performance conditions. Exercise of these stock awards is contingent on achieving certain performance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compensation related to these awards will be recorded based on EchoStar’s assessment of the probability of meeting the remaining performance conditions. If the remaining performance conditions are probable of being achieved, we will begin recognizing the associated non-cash, stock-based compensation expense on our Consolidated Statements of Operations and Comprehensive Income (Loss) over the estimated period to achieve the performance condition. See the table below titled “Estimated Remaining Non-Cash, Stock-Based Compensation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no awards vest until the performance conditions are attained, EchoStar determined that certain performance conditions described above were probable of achievement and, as a result, we recorded non-cash, stock-based compensation expense for the years ended December 31, 2023, 2022 and 2021, as indicated in the table below titled “Non-Cash, Stock-Based Compensation Expense Recognized.”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817" w:name="Tc_Aq8fY2-1h0OjIIfVPtAkcg_7_4"/>
      <w:bookmarkStart w:id="1818" w:name="Tc_JPuVC56S00u0RQKtzT3vYg_7_0"/>
      <w:bookmarkStart w:id="1819" w:name="Tc_q1rMa-5Gh0mmE6azuzAVCQ_6_4"/>
      <w:bookmarkStart w:id="1820" w:name="Tc_7Mjj2qrZTkmmuHLJLpH2ig_6_0"/>
      <w:bookmarkStart w:id="1821" w:name="Tc_NGOFAm-H9U6wRzAzBYKvYw_5_4"/>
      <w:bookmarkStart w:id="1822" w:name="Tc_0hzuyZRlg0ue1JRrod7nXw_5_0"/>
      <w:bookmarkStart w:id="1823" w:name="Tc_N7hkbgLG60OO6r_XUYF4ww_4_4"/>
      <w:bookmarkStart w:id="1824" w:name="Tc_D8Ql8g-zn0qbIVgXe2vgAg_4_0"/>
      <w:bookmarkStart w:id="1825" w:name="Tc_W5QMvU3hoUKNYypTb80rOQ_3_4"/>
      <w:bookmarkStart w:id="1826" w:name="Tc_Smcm-wn-C0mCq0yPq7kDcw_3_0"/>
      <w:bookmarkStart w:id="1827" w:name="Tc_pW7fxLPCGEeZJsJiYWa1HQ_2_4"/>
      <w:bookmarkStart w:id="1828" w:name="Tc_rK7nz76ZhkuKCA4E6nwLIw_2_2"/>
      <w:bookmarkStart w:id="1829" w:name="Tc_pG-wcyaXb0yRcouKIH2Kfw_2_0"/>
      <w:bookmarkStart w:id="1830" w:name="Tc_X-RYRVjpOkGcc_y-AIIBvg_1_2"/>
      <w:bookmarkStart w:id="1831" w:name="Tc_MZbxI7PagEyJ3LH8Hf4hSw_5_12"/>
      <w:bookmarkStart w:id="1832" w:name="Tc_K8gSxaeeHkKbU1CEiFM_5g_5_11"/>
      <w:bookmarkStart w:id="1833" w:name="Tc_bRnzNgqpT0mdz5UwSWgBoQ_5_8"/>
      <w:bookmarkStart w:id="1834" w:name="Tc_LSr-Hfxbt0irVFG2XFhUtw_5_6"/>
      <w:bookmarkStart w:id="1835" w:name="Tc_xW7IZSZiGUSMTdoNfVLDjA_5_5"/>
      <w:bookmarkStart w:id="1836" w:name="Tc_bz91IqD6IEaaD25GzaKDJQ_5_2"/>
      <w:bookmarkStart w:id="1837" w:name="Tc_Fqn_6xkhWkqljvxXIIYLHw_5_0"/>
      <w:bookmarkStart w:id="1838" w:name="Tc_WWQOui96XE24PEbFz5UHDw_4_12"/>
      <w:bookmarkStart w:id="1839" w:name="Tc_2XHFkRojakudC-i723trkQ_4_6"/>
      <w:bookmarkStart w:id="1840" w:name="Tc_TTeNLJgmr0mMmxyVzLukUA_4_0"/>
      <w:bookmarkStart w:id="1841" w:name="Tc_1EfULhurcUiq4uXZLvglUA_3_12"/>
      <w:bookmarkStart w:id="1842" w:name="Tc_urTJA1qNuECtfvDr3xxWhA_3_11"/>
      <w:bookmarkStart w:id="1843" w:name="Tc_-_B3TCI-bUChObxfseuxKA_3_8"/>
      <w:bookmarkStart w:id="1844" w:name="Tc_ebpiQH1oZ0KOPIXxeFLb1g_3_6"/>
      <w:bookmarkStart w:id="1845" w:name="Tc_Hr-TbGEIq0KYEFyfHAKkKw_3_5"/>
      <w:bookmarkStart w:id="1846" w:name="Tc_oKjh54MKika3Mbz7P5QKNQ_3_2"/>
      <w:bookmarkStart w:id="1847" w:name="Tc_4q8fpm9s10eR78t7EARgdA_3_0"/>
      <w:bookmarkStart w:id="1848" w:name="Tc_ZXRRgpETjkCoL41vu9WGQw_2_2"/>
      <w:bookmarkStart w:id="1849" w:name="Tc_aNV7lWV92E2prRXSbN1b1w_1_11"/>
      <w:bookmarkStart w:id="1850" w:name="Tc_IdZCu_3Oo0iMMqnJNiewGg_1_8"/>
      <w:bookmarkStart w:id="1851" w:name="Tc_l0kr8iShb0Og8jBcdFPb-Q_1_5"/>
      <w:bookmarkStart w:id="1852" w:name="Tc_6h5kVe8wMUa3EkUctl6gQQ_1_2"/>
      <w:bookmarkStart w:id="1853" w:name="Tc_aRiYCS04_06ggcWBSv-eLQ_1_0"/>
      <w:bookmarkStart w:id="1854" w:name="_70a06f72_0358_4dd1_901e_8f067e3849c7"/>
      <w:bookmarkStart w:id="1855" w:name="Tc_eGw5dAIWek6oFWJccRdAxA_9_8"/>
      <w:bookmarkStart w:id="1856" w:name="Tc_520aMMjYRECZ_xB7JYUa7g_9_5"/>
      <w:bookmarkStart w:id="1857" w:name="Tc_MinpAf2vAkSij4JKcu1KUg_9_2"/>
      <w:bookmarkStart w:id="1858" w:name="Tc_CJNUPbhwpkWaDn0oCj01Pw_9_0"/>
      <w:bookmarkStart w:id="1859" w:name="Tc_0GeXXW36PUe6tBlEt9xhrQ_8_0"/>
      <w:bookmarkStart w:id="1860" w:name="Tc_FetMr9_lL02PrIG_o4EjOw_7_0"/>
      <w:bookmarkStart w:id="1861" w:name="Tc_q3tMcqIo4EGqx3RTe1MxsA_6_6"/>
      <w:bookmarkStart w:id="1862" w:name="Tc_0eUeYshEVEOl1Snn-myBzQ_6_3"/>
      <w:bookmarkStart w:id="1863" w:name="Tc_YE6YWlAQJEWuCUA-GiAMWw_6_0"/>
      <w:bookmarkStart w:id="1864" w:name="Tc_mefZEdLPpEa52IpKNEDn3w_5_0"/>
      <w:bookmarkStart w:id="1865" w:name="Tc_56fSF03rHEyUACI3XYOg8w_4_9"/>
      <w:bookmarkStart w:id="1866" w:name="Tc_k9cOrt4UDEuA_DiODuBwCg_4_8"/>
      <w:bookmarkStart w:id="1867" w:name="Tc_8Jhbfua680KP9Wssog0NRw_4_5"/>
      <w:bookmarkStart w:id="1868" w:name="Tc_woVYfV9IeEuEqfnx1I_siQ_4_2"/>
      <w:bookmarkStart w:id="1869" w:name="Tc_qQ1aPyS8T0CqA8Df_LKF-A_4_0"/>
      <w:bookmarkStart w:id="1870" w:name="Tc_YcD4QXaP2UCGfTZJPuACZw_3_2"/>
      <w:bookmarkStart w:id="1871" w:name="Tc_s8vSp_F3302zanKomDkprQ_2_8"/>
      <w:bookmarkStart w:id="1872" w:name="Tc_9Pbx-EQK7kGv6C3CA6OMJA_2_5"/>
      <w:bookmarkStart w:id="1873" w:name="Tc_Pi9GPqiSH0WIKfiY2kXYnA_2_2"/>
      <w:bookmarkStart w:id="1874" w:name="Tc_fyyZIhvIiESgqxiXVFSBZw_2_0"/>
      <w:bookmarkStart w:id="1875" w:name="Tc_QvH9XaYwjUyImv-rLToDJw_1_2"/>
      <w:bookmarkStart w:id="1876" w:name="_9fce4984_94e1_4f72_b9db_3d041f58f829"/>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r>
        <w:rPr>
          <w:rFonts w:ascii="Times New Roman;Times;serif" w:hAnsi="Times New Roman;Times;serif"/>
          <w:sz w:val="20"/>
        </w:rPr>
        <w:t>The non-cash, stock-based compensation expense associated with these awards for our employees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22"/>
        <w:gridCol w:w="326"/>
        <w:gridCol w:w="196"/>
        <w:gridCol w:w="621"/>
        <w:gridCol w:w="326"/>
        <w:gridCol w:w="196"/>
        <w:gridCol w:w="601"/>
        <w:gridCol w:w="326"/>
        <w:gridCol w:w="196"/>
        <w:gridCol w:w="702"/>
        <w:gridCol w:w="193"/>
      </w:tblGrid>
      <w:tr>
        <w:trPr/>
        <w:tc>
          <w:tcPr>
            <w:tcW w:w="6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141470" cy="175260"/>
                      <wp:effectExtent l="0" t="0" r="0" b="0"/>
                      <wp:wrapNone/>
                      <wp:docPr id="537" name="Frame537"/>
                      <a:graphic xmlns:a="http://schemas.openxmlformats.org/drawingml/2006/main">
                        <a:graphicData uri="http://schemas.microsoft.com/office/word/2010/wordprocessingShape">
                          <wps:wsp>
                            <wps:cNvSpPr txBox="1"/>
                            <wps:spPr>
                              <a:xfrm>
                                <a:off x="0" y="0"/>
                                <a:ext cx="414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24460" cy="175260"/>
                      <wp:effectExtent l="0" t="0" r="0" b="0"/>
                      <wp:wrapNone/>
                      <wp:docPr id="539" name="Frame5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94335" cy="175260"/>
                      <wp:effectExtent l="0" t="0" r="0" b="0"/>
                      <wp:wrapNone/>
                      <wp:docPr id="540" name="Frame540"/>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24460" cy="175260"/>
                      <wp:effectExtent l="0" t="0" r="0" b="0"/>
                      <wp:wrapNone/>
                      <wp:docPr id="542" name="Frame5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81635" cy="175260"/>
                      <wp:effectExtent l="0" t="0" r="0" b="0"/>
                      <wp:wrapNone/>
                      <wp:docPr id="543" name="Frame54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24460" cy="175260"/>
                      <wp:effectExtent l="0" t="0" r="0" b="0"/>
                      <wp:wrapNone/>
                      <wp:docPr id="545" name="Frame5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45770" cy="175260"/>
                      <wp:effectExtent l="0" t="0" r="0" b="0"/>
                      <wp:wrapNone/>
                      <wp:docPr id="546" name="Frame546"/>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22555" cy="175260"/>
                      <wp:effectExtent l="0" t="0" r="0" b="0"/>
                      <wp:wrapNone/>
                      <wp:docPr id="547" name="Frame547"/>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4"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3" w:type="dxa"/>
            <w:tcBorders/>
            <w:vAlign w:val="center"/>
          </w:tcPr>
          <w:p>
            <w:pPr>
              <w:pStyle w:val="TableContents"/>
              <w:bidi w:val="0"/>
              <w:spacing w:before="0" w:after="0"/>
              <w:ind w:left="0" w:right="0" w:hanging="0"/>
              <w:jc w:val="left"/>
              <w:rPr/>
            </w:pPr>
            <w:r>
              <w:rPr/>
              <w:t>​</w:t>
            </w:r>
          </w:p>
        </w:tc>
      </w:tr>
      <w:tr>
        <w:trPr/>
        <w:tc>
          <w:tcPr>
            <w:tcW w:w="65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Stock-Based Compensation Expense Recognized (1)</w:t>
            </w:r>
          </w:p>
        </w:tc>
        <w:tc>
          <w:tcPr>
            <w:tcW w:w="326" w:type="dxa"/>
            <w:tcBorders/>
            <w:vAlign w:val="center"/>
          </w:tcPr>
          <w:p>
            <w:pPr>
              <w:pStyle w:val="TableContents"/>
              <w:bidi w:val="0"/>
              <w:spacing w:before="0" w:after="0"/>
              <w:ind w:left="0" w:right="0" w:hanging="0"/>
              <w:jc w:val="left"/>
              <w:rPr/>
            </w:pPr>
            <w:r>
              <w:rPr/>
              <w:t>    </w:t>
            </w:r>
          </w:p>
        </w:tc>
        <w:tc>
          <w:tcPr>
            <w:tcW w:w="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3" w:type="dxa"/>
            <w:tcBorders/>
            <w:vAlign w:val="center"/>
          </w:tcPr>
          <w:p>
            <w:pPr>
              <w:pStyle w:val="TableContents"/>
              <w:bidi w:val="0"/>
              <w:spacing w:before="0" w:after="0"/>
              <w:ind w:left="0" w:right="0" w:hanging="0"/>
              <w:jc w:val="left"/>
              <w:rPr/>
            </w:pPr>
            <w:r>
              <w:rPr/>
              <w:t> </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65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4"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3" w:type="dxa"/>
            <w:tcBorders/>
            <w:vAlign w:val="center"/>
          </w:tcPr>
          <w:p>
            <w:pPr>
              <w:pStyle w:val="TableContents"/>
              <w:bidi w:val="0"/>
              <w:spacing w:before="0" w:after="0"/>
              <w:ind w:left="0" w:right="0" w:hanging="0"/>
              <w:jc w:val="center"/>
              <w:rPr/>
            </w:pPr>
            <w:r>
              <w:rPr/>
              <w:t>​</w:t>
            </w:r>
          </w:p>
        </w:tc>
      </w:tr>
      <w:tr>
        <w:trPr/>
        <w:tc>
          <w:tcPr>
            <w:tcW w:w="65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2022 Incentive Plan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center"/>
              <w:rPr/>
            </w:pPr>
            <w:r>
              <w:rPr/>
              <w:t>​</w:t>
            </w:r>
          </w:p>
        </w:tc>
      </w:tr>
      <w:tr>
        <w:trPr/>
        <w:tc>
          <w:tcPr>
            <w:tcW w:w="65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2019 LTIP</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w:t>
            </w:r>
          </w:p>
        </w:tc>
        <w:tc>
          <w:tcPr>
            <w:tcW w:w="193" w:type="dxa"/>
            <w:tcBorders/>
            <w:vAlign w:val="center"/>
          </w:tcPr>
          <w:p>
            <w:pPr>
              <w:pStyle w:val="TableContents"/>
              <w:bidi w:val="0"/>
              <w:spacing w:before="0" w:after="0"/>
              <w:ind w:left="0" w:right="0" w:hanging="0"/>
              <w:jc w:val="center"/>
              <w:rPr/>
            </w:pPr>
            <w:r>
              <w:rPr/>
              <w:t>​</w:t>
            </w:r>
          </w:p>
        </w:tc>
      </w:tr>
      <w:tr>
        <w:trPr/>
        <w:tc>
          <w:tcPr>
            <w:tcW w:w="65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2013 LTIP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(13,610)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5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Ergen 2020 Performance Award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34,513</w:t>
            </w:r>
          </w:p>
        </w:tc>
        <w:tc>
          <w:tcPr>
            <w:tcW w:w="193" w:type="dxa"/>
            <w:tcBorders/>
            <w:vAlign w:val="center"/>
          </w:tcPr>
          <w:p>
            <w:pPr>
              <w:pStyle w:val="TableContents"/>
              <w:bidi w:val="0"/>
              <w:spacing w:before="0" w:after="0"/>
              <w:ind w:left="0" w:right="0" w:hanging="0"/>
              <w:jc w:val="left"/>
              <w:rPr/>
            </w:pPr>
            <w:r>
              <w:rPr/>
              <w:t>​</w:t>
            </w:r>
          </w:p>
        </w:tc>
      </w:tr>
      <w:tr>
        <w:trPr/>
        <w:tc>
          <w:tcPr>
            <w:tcW w:w="65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employee performance awards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52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non-cash, stock-based compensation expense recognized for performance based awards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30,425</w:t>
            </w:r>
          </w:p>
        </w:tc>
        <w:tc>
          <w:tcPr>
            <w:tcW w:w="193" w:type="dxa"/>
            <w:tcBorders/>
            <w:vAlign w:val="center"/>
          </w:tcPr>
          <w:p>
            <w:pPr>
              <w:pStyle w:val="TableContents"/>
              <w:bidi w:val="0"/>
              <w:spacing w:before="0" w:after="0"/>
              <w:ind w:left="0" w:right="0" w:hanging="0"/>
              <w:jc w:val="left"/>
              <w:rPr/>
            </w:pPr>
            <w:r>
              <w:rPr/>
              <w:t>​</w:t>
            </w:r>
          </w:p>
        </w:tc>
      </w:tr>
      <w:tr>
        <w:trPr/>
        <w:tc>
          <w:tcPr>
            <w:tcW w:w="65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w:t>
      </w:r>
      <w:r>
        <w:rPr>
          <w:rFonts w:ascii="Times New Roman;Times;serif" w:hAnsi="Times New Roman;Times;serif"/>
          <w:sz w:val="20"/>
        </w:rPr>
        <w:t>Non-Cash, Stock-Based Compensation Expense Recognized” includes actual forfeitures.</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5536"/>
        <w:gridCol w:w="109"/>
        <w:gridCol w:w="237"/>
        <w:gridCol w:w="621"/>
        <w:gridCol w:w="109"/>
        <w:gridCol w:w="336"/>
        <w:gridCol w:w="595"/>
        <w:gridCol w:w="109"/>
        <w:gridCol w:w="287"/>
        <w:gridCol w:w="884"/>
        <w:gridCol w:w="109"/>
        <w:gridCol w:w="390"/>
        <w:gridCol w:w="691"/>
        <w:gridCol w:w="192"/>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3515360" cy="175260"/>
                      <wp:effectExtent l="0" t="0" r="0" b="0"/>
                      <wp:wrapNone/>
                      <wp:docPr id="548" name="Frame548"/>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9215" cy="175260"/>
                      <wp:effectExtent l="0" t="0" r="0" b="0"/>
                      <wp:wrapNone/>
                      <wp:docPr id="549" name="Frame5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50495" cy="175260"/>
                      <wp:effectExtent l="0" t="0" r="0" b="0"/>
                      <wp:wrapNone/>
                      <wp:docPr id="550" name="Frame55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94335" cy="175260"/>
                      <wp:effectExtent l="0" t="0" r="0" b="0"/>
                      <wp:wrapNone/>
                      <wp:docPr id="551" name="Frame551"/>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9215" cy="175260"/>
                      <wp:effectExtent l="0" t="0" r="0" b="0"/>
                      <wp:wrapNone/>
                      <wp:docPr id="552" name="Frame5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3360" cy="175260"/>
                      <wp:effectExtent l="0" t="0" r="0" b="0"/>
                      <wp:wrapNone/>
                      <wp:docPr id="553" name="Frame55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377825" cy="175260"/>
                      <wp:effectExtent l="0" t="0" r="0" b="0"/>
                      <wp:wrapNone/>
                      <wp:docPr id="554" name="Frame554"/>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260"/>
                      <wp:effectExtent l="0" t="0" r="0" b="0"/>
                      <wp:wrapNone/>
                      <wp:docPr id="555"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82245" cy="175260"/>
                      <wp:effectExtent l="0" t="0" r="0" b="0"/>
                      <wp:wrapNone/>
                      <wp:docPr id="556" name="Frame55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61340" cy="175260"/>
                      <wp:effectExtent l="0" t="0" r="0" b="0"/>
                      <wp:wrapNone/>
                      <wp:docPr id="557" name="Frame55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58" name="Frame5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47650" cy="175260"/>
                      <wp:effectExtent l="0" t="0" r="0" b="0"/>
                      <wp:wrapNone/>
                      <wp:docPr id="559" name="Frame55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38785" cy="175260"/>
                      <wp:effectExtent l="0" t="0" r="0" b="0"/>
                      <wp:wrapNone/>
                      <wp:docPr id="560" name="Frame5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21920" cy="175260"/>
                      <wp:effectExtent l="0" t="0" r="0" b="0"/>
                      <wp:wrapNone/>
                      <wp:docPr id="561" name="Frame56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Estimated Remaining Non-Cash, Stock-Based Compensation Expense</w:t>
            </w:r>
          </w:p>
        </w:tc>
        <w:tc>
          <w:tcPr>
            <w:tcW w:w="109" w:type="dxa"/>
            <w:tcBorders/>
            <w:vAlign w:val="center"/>
          </w:tcPr>
          <w:p>
            <w:pPr>
              <w:pStyle w:val="TableContents"/>
              <w:bidi w:val="0"/>
              <w:spacing w:before="0" w:after="0"/>
              <w:ind w:left="0" w:right="0" w:hanging="0"/>
              <w:jc w:val="left"/>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 Incentive Plan</w:t>
            </w:r>
          </w:p>
        </w:tc>
        <w:tc>
          <w:tcPr>
            <w:tcW w:w="109"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2019 LTIP</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Ergen 2020 Performance Award</w:t>
            </w:r>
          </w:p>
        </w:tc>
        <w:tc>
          <w:tcPr>
            <w:tcW w:w="109"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br/>
              <w:t>Employee</w:t>
              <w:br/>
              <w:t>Performance</w:t>
              <w:br/>
              <w:t>Awards</w:t>
            </w:r>
          </w:p>
        </w:tc>
        <w:tc>
          <w:tcPr>
            <w:tcW w:w="192" w:type="dxa"/>
            <w:tcBorders/>
            <w:vAlign w:val="center"/>
          </w:tcPr>
          <w:p>
            <w:pPr>
              <w:pStyle w:val="TableContents"/>
              <w:bidi w:val="0"/>
              <w:spacing w:before="0" w:after="0"/>
              <w:ind w:left="0" w:right="0" w:hanging="0"/>
              <w:jc w:val="left"/>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8" w:type="dxa"/>
            <w:gridSpan w:val="11"/>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2" w:type="dxa"/>
            <w:tcBorders/>
            <w:vAlign w:val="center"/>
          </w:tcPr>
          <w:p>
            <w:pPr>
              <w:pStyle w:val="TableContents"/>
              <w:bidi w:val="0"/>
              <w:spacing w:before="0" w:after="0"/>
              <w:ind w:left="0" w:right="0" w:hanging="0"/>
              <w:jc w:val="lef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 estimated to be recognized during 2024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10,816</w:t>
            </w:r>
          </w:p>
        </w:tc>
        <w:tc>
          <w:tcPr>
            <w:tcW w:w="109"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Estimated contingent expense subsequent to 2024</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1,114</w:t>
            </w:r>
          </w:p>
        </w:tc>
        <w:tc>
          <w:tcPr>
            <w:tcW w:w="109"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16,913</w:t>
            </w:r>
          </w:p>
        </w:tc>
        <w:tc>
          <w:tcPr>
            <w:tcW w:w="109" w:type="dxa"/>
            <w:tcBorders/>
            <w:vAlign w:val="center"/>
          </w:tcPr>
          <w:p>
            <w:pPr>
              <w:pStyle w:val="TableContents"/>
              <w:bidi w:val="0"/>
              <w:spacing w:before="0" w:after="0"/>
              <w:ind w:left="0" w:right="0" w:hanging="0"/>
              <w:jc w:val="left"/>
              <w:rPr/>
            </w:pPr>
            <w:r>
              <w:rPr/>
              <w:t>​</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estimated remaining expense over the term of the plan</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3,233</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27,729</w:t>
            </w:r>
          </w:p>
        </w:tc>
        <w:tc>
          <w:tcPr>
            <w:tcW w:w="109" w:type="dxa"/>
            <w:tcBorders/>
            <w:shd w:fill="CCEEFF" w:val="clear"/>
            <w:vAlign w:val="center"/>
          </w:tcPr>
          <w:p>
            <w:pPr>
              <w:pStyle w:val="TableContents"/>
              <w:bidi w:val="0"/>
              <w:spacing w:before="0" w:after="0"/>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competitive nature of EchoStar’s business, small variations in subscriber churn, gross new subscriber activation rates and certain other factors can significantly impact subscriber growth. Consequently, while it was determined that achievement of certain other EchoStar-specific subscriber, operational and/or financial performance conditions were not probable as of December 31, 2023, that assessment could change in the future.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 the 9.9 million stock options and 49 thousand restricted stock units and awards outstanding under the EchoStar stock incentive plans associated with our employees as of December 31, 2023, the following awards were outstanding pursuant to the performance-based stock incentive plans:</w:t>
      </w:r>
    </w:p>
    <w:p>
      <w:pPr>
        <w:pStyle w:val="TextBody"/>
        <w:bidi w:val="0"/>
        <w:spacing w:before="0" w:after="0"/>
        <w:ind w:left="0" w:right="0" w:hanging="0"/>
        <w:jc w:val="left"/>
        <w:rPr/>
      </w:pPr>
      <w:r>
        <w:rPr/>
        <w:t>​</w:t>
      </w:r>
    </w:p>
    <w:tbl>
      <w:tblPr>
        <w:tblW w:w="5526" w:type="dxa"/>
        <w:jc w:val="left"/>
        <w:tblInd w:w="0" w:type="dxa"/>
        <w:tblLayout w:type="fixed"/>
        <w:tblCellMar>
          <w:top w:w="0" w:type="dxa"/>
          <w:left w:w="0" w:type="dxa"/>
          <w:bottom w:w="0" w:type="dxa"/>
          <w:right w:w="0" w:type="dxa"/>
        </w:tblCellMar>
      </w:tblPr>
      <w:tblGrid>
        <w:gridCol w:w="2746"/>
        <w:gridCol w:w="326"/>
        <w:gridCol w:w="946"/>
        <w:gridCol w:w="326"/>
        <w:gridCol w:w="243"/>
        <w:gridCol w:w="748"/>
        <w:gridCol w:w="19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743710" cy="175260"/>
                      <wp:effectExtent l="0" t="0" r="0" b="0"/>
                      <wp:wrapNone/>
                      <wp:docPr id="562" name="Frame56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3"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00710" cy="175260"/>
                      <wp:effectExtent l="0" t="0" r="0" b="0"/>
                      <wp:wrapNone/>
                      <wp:docPr id="564" name="Frame56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07010" cy="175260"/>
                      <wp:effectExtent l="0" t="0" r="0" b="0"/>
                      <wp:wrapNone/>
                      <wp:docPr id="565" name="Frame5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54305" cy="175260"/>
                      <wp:effectExtent l="0" t="0" r="0" b="0"/>
                      <wp:wrapNone/>
                      <wp:docPr id="566" name="Frame56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474980" cy="175260"/>
                      <wp:effectExtent l="0" t="0" r="0" b="0"/>
                      <wp:wrapNone/>
                      <wp:docPr id="567" name="Frame567"/>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21285" cy="175260"/>
                      <wp:effectExtent l="0" t="0" r="0" b="0"/>
                      <wp:wrapNone/>
                      <wp:docPr id="568" name="Frame56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3"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December 31, 2023</w:t>
            </w:r>
          </w:p>
        </w:tc>
        <w:tc>
          <w:tcPr>
            <w:tcW w:w="191" w:type="dxa"/>
            <w:tcBorders/>
            <w:vAlign w:val="center"/>
          </w:tcPr>
          <w:p>
            <w:pPr>
              <w:pStyle w:val="TableContents"/>
              <w:bidi w:val="0"/>
              <w:spacing w:before="0" w:after="0"/>
              <w:ind w:left="0" w:right="0" w:hanging="0"/>
              <w:jc w:val="left"/>
              <w:rPr/>
            </w:pPr>
            <w:r>
              <w:rPr/>
              <w:t>​</w: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Performance Based Stock Options</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br/>
              <w:t>Awards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br/>
              <w:t>Average</w:t>
              <w:br/>
              <w:t>Grant Price</w:t>
            </w:r>
          </w:p>
        </w:tc>
        <w:tc>
          <w:tcPr>
            <w:tcW w:w="191" w:type="dxa"/>
            <w:tcBorders/>
            <w:vAlign w:val="center"/>
          </w:tcPr>
          <w:p>
            <w:pPr>
              <w:pStyle w:val="TableContents"/>
              <w:bidi w:val="0"/>
              <w:spacing w:before="0" w:after="0"/>
              <w:ind w:left="0" w:right="0" w:hanging="0"/>
              <w:jc w:val="lef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2022 Incentive Plan</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401,828</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2019 LTIP</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248,758</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60.04</w:t>
            </w:r>
          </w:p>
        </w:tc>
        <w:tc>
          <w:tcPr>
            <w:tcW w:w="191"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2017 LTIP</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471,727</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Ergen 2020 Performance Award</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3,508,770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78.98</w:t>
            </w:r>
          </w:p>
        </w:tc>
        <w:tc>
          <w:tcPr>
            <w:tcW w:w="191"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4,631,083</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1877" w:name="Tc_dSbi7wwMIUK5aLlMGN4uhg_6_22"/>
      <w:bookmarkStart w:id="1878" w:name="Tc_dfh-K_Gz90mu1qlUEn4QZg_6_21"/>
      <w:bookmarkStart w:id="1879" w:name="Tc_EI5QGmH3qE60OB7SSWw3fQ_6_18"/>
      <w:bookmarkStart w:id="1880" w:name="Tc_iOwYrfQuC0qQrFLCBSloTQ_6_14"/>
      <w:bookmarkStart w:id="1881" w:name="Tc_EyGbjIEvYUy1iInjth2jfQ_6_13"/>
      <w:bookmarkStart w:id="1882" w:name="Tc_orW4yvwtz06406WqfvnltQ_6_10"/>
      <w:bookmarkStart w:id="1883" w:name="Tc_ubn4mrPZ7U2TWBUfh9_a2g_6_6"/>
      <w:bookmarkStart w:id="1884" w:name="Tc_LD3n5kX8mkqBtKyfsTSfRw_6_5"/>
      <w:bookmarkStart w:id="1885" w:name="Tc_VR4HbBa2IkCfVaXGGcUdHg_6_2"/>
      <w:bookmarkStart w:id="1886" w:name="Tc_MV-mX4kBKk2mMCsUwsHE0g_6_0"/>
      <w:bookmarkStart w:id="1887" w:name="Tc_yEkmN06okkeT2ocC3VtTgA_5_21"/>
      <w:bookmarkStart w:id="1888" w:name="Tc_41saPhlQ9UuQ9plpkxZDzw_5_13"/>
      <w:bookmarkStart w:id="1889" w:name="Tc_TGwpdEOuCUaNtbasZF5TGw_5_5"/>
      <w:bookmarkStart w:id="1890" w:name="Tc_rqYe4jvEyka933NaajMeYg_5_0"/>
      <w:bookmarkStart w:id="1891" w:name="Tc_it0SkC48g0KCGDvSYKeGYw_4_24"/>
      <w:bookmarkStart w:id="1892" w:name="Tc_rWy1OfHbgEOavGx11btDUw_4_21"/>
      <w:bookmarkStart w:id="1893" w:name="Tc_iCwhAfDdEkuMywihkl3rdg_4_20"/>
      <w:bookmarkStart w:id="1894" w:name="Tc_O6kchamdaEiJbqPfAJ3_GA_4_16"/>
      <w:bookmarkStart w:id="1895" w:name="Tc_ER-bCcwBakqeI9hI3ZGG3g_4_13"/>
      <w:bookmarkStart w:id="1896" w:name="Tc_zT2YdPckmUWUciq-b1vChw_4_12"/>
      <w:bookmarkStart w:id="1897" w:name="Tc_Xy3CMEajSkSqdNg38EHuSA_4_8"/>
      <w:bookmarkStart w:id="1898" w:name="Tc_gonbJL9LXkK4Wb7Y-TJIXA_4_5"/>
      <w:bookmarkStart w:id="1899" w:name="Tc_-7Ru5B1Ls063c1df6Z8Vhw_4_4"/>
      <w:bookmarkStart w:id="1900" w:name="Tc_2xtMqD6ZPUi-joedXro0yw_4_0"/>
      <w:bookmarkStart w:id="1901" w:name="Tc_sqdhudFJY0ueuSbd02Zugw_3_24"/>
      <w:bookmarkStart w:id="1902" w:name="Tc__zD2WyxiWkuSC_m7LoHe3g_3_21"/>
      <w:bookmarkStart w:id="1903" w:name="Tc_1gw_mwR1OUaHTHGNd7lzKQ_3_20"/>
      <w:bookmarkStart w:id="1904" w:name="Tc_h8m9e2zqnEGqYwPfDGVljg_3_16"/>
      <w:bookmarkStart w:id="1905" w:name="Tc_r5xRpoerXkauXRv9hYcoCw_3_13"/>
      <w:bookmarkStart w:id="1906" w:name="Tc_Q1LTkC_VOUujBLnZCMDUVw_3_12"/>
      <w:bookmarkStart w:id="1907" w:name="Tc_YmBSKH0C7kKJZ8Jiwd4LqA_3_8"/>
      <w:bookmarkStart w:id="1908" w:name="Tc_PEBtRklNxUW2ZnrgZes64w_3_5"/>
      <w:bookmarkStart w:id="1909" w:name="Tc_JvMiXMeWQEyMl3IRcnR5bQ_3_4"/>
      <w:bookmarkStart w:id="1910" w:name="Tc_aiBcxFyZqUW7tq2O1IdHVg_3_0"/>
      <w:bookmarkStart w:id="1911" w:name="Tc_QPzEVbuD0kaNEm0TcRGa8A_2_18"/>
      <w:bookmarkStart w:id="1912" w:name="Tc_8lyOcPuLpEWvX50c7PEJsQ_2_10"/>
      <w:bookmarkStart w:id="1913" w:name="Tc_VvReHxUTX02xzP-qFFc0_g_2_2"/>
      <w:bookmarkStart w:id="1914" w:name="Tc_BLICAkceOUm9lhxC1H6fpQ_2_0"/>
      <w:bookmarkStart w:id="1915" w:name="Tc_OXm5X4yBTEqC3De5zwHb9Q_1_2"/>
      <w:bookmarkStart w:id="1916" w:name="Tc_ZCRZWdmQu0m3B219EXlqHw_6_8"/>
      <w:bookmarkStart w:id="1917" w:name="Tc_ekVJVgJZykmNGDBcQ3yvYQ_6_5"/>
      <w:bookmarkStart w:id="1918" w:name="Tc_nQ3I-QVYAk-Q_5z9HikaMA_6_2"/>
      <w:bookmarkStart w:id="1919" w:name="Tc_qEOMgSWjcE-ZP65nXxM2NA_6_0"/>
      <w:bookmarkStart w:id="1920" w:name="Tc_lUhO7hzdqUWvTwIFkRqWCw_5_0"/>
      <w:bookmarkStart w:id="1921" w:name="Tc_gmbOY5p8P0uKuJOqS8lISQ_4_8"/>
      <w:bookmarkStart w:id="1922" w:name="Tc_5ykCS0rKFkKfXgq01LdapQ_4_5"/>
      <w:bookmarkStart w:id="1923" w:name="Tc_z0TL7xAm_0Ot3iH8BFkPMw_4_2"/>
      <w:bookmarkStart w:id="1924" w:name="Tc_0WF-48PSlkSLcf-dMyS2rQ_4_0"/>
      <w:bookmarkStart w:id="1925" w:name="Tc_EaPULuE2CEeOmvZezD5fww_3_2"/>
      <w:bookmarkStart w:id="1926" w:name="Tc_SOW34Jo3YUC_mRYc_0M7pg_2_8"/>
      <w:bookmarkStart w:id="1927" w:name="Tc_Zpw1akU6c0OSTZSKYi_UKA_2_5"/>
      <w:bookmarkStart w:id="1928" w:name="Tc_dhmhBIxbKE6AJuXwARojgw_2_2"/>
      <w:bookmarkStart w:id="1929" w:name="Tc_E74xQhxepUaqfRBfsZkOxQ_1_2"/>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r>
        <w:rPr>
          <w:rFonts w:ascii="Times New Roman;Times;serif" w:hAnsi="Times New Roman;Times;serif"/>
          <w:b/>
          <w:i/>
          <w:sz w:val="20"/>
        </w:rPr>
        <w:t>Stock-Based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non-cash, stock-based compensation expense for all of our employees is shown in the following table for the years ended December 31, 2023, 2022 and 2021 and was allocated to the same expense categories as the base compensation for such employees:</w:t>
      </w:r>
    </w:p>
    <w:p>
      <w:pPr>
        <w:pStyle w:val="TextBody"/>
        <w:bidi w:val="0"/>
        <w:spacing w:before="0" w:after="0"/>
        <w:ind w:left="0" w:right="0" w:hanging="0"/>
        <w:jc w:val="left"/>
        <w:rPr/>
      </w:pPr>
      <w:r>
        <w:rPr/>
        <w:t>​</w:t>
      </w:r>
    </w:p>
    <w:tbl>
      <w:tblPr>
        <w:tblW w:w="6996" w:type="dxa"/>
        <w:jc w:val="left"/>
        <w:tblInd w:w="0" w:type="dxa"/>
        <w:tblLayout w:type="fixed"/>
        <w:tblCellMar>
          <w:top w:w="0" w:type="dxa"/>
          <w:left w:w="0" w:type="dxa"/>
          <w:bottom w:w="0" w:type="dxa"/>
          <w:right w:w="0" w:type="dxa"/>
        </w:tblCellMar>
      </w:tblPr>
      <w:tblGrid>
        <w:gridCol w:w="3436"/>
        <w:gridCol w:w="326"/>
        <w:gridCol w:w="196"/>
        <w:gridCol w:w="601"/>
        <w:gridCol w:w="326"/>
        <w:gridCol w:w="196"/>
        <w:gridCol w:w="601"/>
        <w:gridCol w:w="326"/>
        <w:gridCol w:w="196"/>
        <w:gridCol w:w="601"/>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81860" cy="175260"/>
                      <wp:effectExtent l="0" t="0" r="0" b="0"/>
                      <wp:wrapNone/>
                      <wp:docPr id="569" name="Frame569"/>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24460" cy="175260"/>
                      <wp:effectExtent l="0" t="0" r="0" b="0"/>
                      <wp:wrapNone/>
                      <wp:docPr id="571" name="Frame5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81635" cy="175260"/>
                      <wp:effectExtent l="0" t="0" r="0" b="0"/>
                      <wp:wrapNone/>
                      <wp:docPr id="572" name="Frame57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24460" cy="175260"/>
                      <wp:effectExtent l="0" t="0" r="0" b="0"/>
                      <wp:wrapNone/>
                      <wp:docPr id="574" name="Frame5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81635" cy="175260"/>
                      <wp:effectExtent l="0" t="0" r="0" b="0"/>
                      <wp:wrapNone/>
                      <wp:docPr id="575" name="Frame57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6" name="Frame5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24460" cy="175260"/>
                      <wp:effectExtent l="0" t="0" r="0" b="0"/>
                      <wp:wrapNone/>
                      <wp:docPr id="577" name="Frame5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81635" cy="175260"/>
                      <wp:effectExtent l="0" t="0" r="0" b="0"/>
                      <wp:wrapNone/>
                      <wp:docPr id="578" name="Frame57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21285" cy="175260"/>
                      <wp:effectExtent l="0" t="0" r="0" b="0"/>
                      <wp:wrapNone/>
                      <wp:docPr id="579" name="Frame57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91" w:type="dxa"/>
            <w:tcBorders/>
            <w:vAlign w:val="center"/>
          </w:tcPr>
          <w:p>
            <w:pPr>
              <w:pStyle w:val="TableContents"/>
              <w:bidi w:val="0"/>
              <w:spacing w:before="0" w:after="0"/>
              <w:ind w:left="0" w:right="0" w:hanging="0"/>
              <w:jc w:val="left"/>
              <w:rPr/>
            </w:pPr>
            <w:r>
              <w:rPr/>
              <w:t> </w:t>
            </w:r>
          </w:p>
        </w:tc>
      </w:tr>
      <w:tr>
        <w:trPr/>
        <w:tc>
          <w:tcPr>
            <w:tcW w:w="699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64,939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47,315</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Total non-cash, stock-based compensation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As of December 31, 2023, our total unrecognized compensation cost related to our non-performance based unvested stock awards was $50</w:t>
      </w:r>
      <w:r>
        <w:rPr>
          <w:rFonts w:ascii="Times New Roman;Times;serif" w:hAnsi="Times New Roman;Times;serif"/>
          <w:sz w:val="24"/>
        </w:rPr>
        <w:t xml:space="preserve"> </w:t>
      </w:r>
      <w:r>
        <w:rPr>
          <w:rFonts w:ascii="Times New Roman;Times;serif" w:hAnsi="Times New Roman;Times;serif"/>
          <w:sz w:val="20"/>
        </w:rPr>
        <w:t>million and will be recognized over a weighted-average period of approximately 8.6</w:t>
      </w:r>
      <w:r>
        <w:rPr>
          <w:rFonts w:ascii="Times New Roman;Times;serif" w:hAnsi="Times New Roman;Times;serif"/>
          <w:sz w:val="24"/>
        </w:rPr>
        <w:t xml:space="preserve"> </w:t>
      </w:r>
      <w:r>
        <w:rPr>
          <w:rFonts w:ascii="Times New Roman;Times;serif" w:hAnsi="Times New Roman;Times;serif"/>
          <w:sz w:val="20"/>
        </w:rPr>
        <w:t>years. Share-based compensation expense is recognized based on stock awards ultimately expected to vest.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each stock option granted (excluding the Ergen 2020 Performance Award) for the years ended December 31, 2023, 2022 and 2021 was estimated at the date of the grant using a Black-Scholes option valuation model with the following assumptions:</w:t>
      </w:r>
    </w:p>
    <w:p>
      <w:pPr>
        <w:pStyle w:val="TextBody"/>
        <w:bidi w:val="0"/>
        <w:spacing w:before="0" w:after="0"/>
        <w:ind w:left="0" w:right="0" w:hanging="0"/>
        <w:jc w:val="left"/>
        <w:rPr/>
      </w:pPr>
      <w:r>
        <w:rPr/>
        <w:t>​</w:t>
      </w:r>
    </w:p>
    <w:tbl>
      <w:tblPr>
        <w:tblW w:w="10005" w:type="dxa"/>
        <w:jc w:val="left"/>
        <w:tblInd w:w="0" w:type="dxa"/>
        <w:tblLayout w:type="fixed"/>
        <w:tblCellMar>
          <w:top w:w="0" w:type="dxa"/>
          <w:left w:w="0" w:type="dxa"/>
          <w:bottom w:w="0" w:type="dxa"/>
          <w:right w:w="0" w:type="dxa"/>
        </w:tblCellMar>
      </w:tblPr>
      <w:tblGrid>
        <w:gridCol w:w="2491"/>
        <w:gridCol w:w="326"/>
        <w:gridCol w:w="196"/>
        <w:gridCol w:w="511"/>
        <w:gridCol w:w="346"/>
        <w:gridCol w:w="166"/>
        <w:gridCol w:w="196"/>
        <w:gridCol w:w="511"/>
        <w:gridCol w:w="346"/>
        <w:gridCol w:w="109"/>
        <w:gridCol w:w="196"/>
        <w:gridCol w:w="511"/>
        <w:gridCol w:w="346"/>
        <w:gridCol w:w="166"/>
        <w:gridCol w:w="196"/>
        <w:gridCol w:w="511"/>
        <w:gridCol w:w="346"/>
        <w:gridCol w:w="109"/>
        <w:gridCol w:w="196"/>
        <w:gridCol w:w="511"/>
        <w:gridCol w:w="346"/>
        <w:gridCol w:w="166"/>
        <w:gridCol w:w="196"/>
        <w:gridCol w:w="511"/>
        <w:gridCol w:w="346"/>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581785" cy="175260"/>
                      <wp:effectExtent l="0" t="0" r="0" b="0"/>
                      <wp:wrapNone/>
                      <wp:docPr id="580" name="Frame58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24460" cy="175260"/>
                      <wp:effectExtent l="0" t="0" r="0" b="0"/>
                      <wp:wrapNone/>
                      <wp:docPr id="582" name="Frame5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24485" cy="175260"/>
                      <wp:effectExtent l="0" t="0" r="0" b="0"/>
                      <wp:wrapNone/>
                      <wp:docPr id="583" name="Frame5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4"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05410" cy="175260"/>
                      <wp:effectExtent l="0" t="0" r="0" b="0"/>
                      <wp:wrapNone/>
                      <wp:docPr id="585" name="Frame58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24460" cy="175260"/>
                      <wp:effectExtent l="0" t="0" r="0" b="0"/>
                      <wp:wrapNone/>
                      <wp:docPr id="586" name="Frame5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24485" cy="175260"/>
                      <wp:effectExtent l="0" t="0" r="0" b="0"/>
                      <wp:wrapNone/>
                      <wp:docPr id="587" name="Frame58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8"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9215" cy="175260"/>
                      <wp:effectExtent l="0" t="0" r="0" b="0"/>
                      <wp:wrapNone/>
                      <wp:docPr id="589" name="Frame5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24460" cy="175260"/>
                      <wp:effectExtent l="0" t="0" r="0" b="0"/>
                      <wp:wrapNone/>
                      <wp:docPr id="590" name="Frame5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324485" cy="175260"/>
                      <wp:effectExtent l="0" t="0" r="0" b="0"/>
                      <wp:wrapNone/>
                      <wp:docPr id="591" name="Frame5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2"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05410" cy="175260"/>
                      <wp:effectExtent l="0" t="0" r="0" b="0"/>
                      <wp:wrapNone/>
                      <wp:docPr id="593" name="Frame59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24460" cy="175260"/>
                      <wp:effectExtent l="0" t="0" r="0" b="0"/>
                      <wp:wrapNone/>
                      <wp:docPr id="594" name="Frame5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324485" cy="175260"/>
                      <wp:effectExtent l="0" t="0" r="0" b="0"/>
                      <wp:wrapNone/>
                      <wp:docPr id="595" name="Frame59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96"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175260"/>
                      <wp:effectExtent l="0" t="0" r="0" b="0"/>
                      <wp:wrapNone/>
                      <wp:docPr id="597"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24460" cy="175260"/>
                      <wp:effectExtent l="0" t="0" r="0" b="0"/>
                      <wp:wrapNone/>
                      <wp:docPr id="598" name="Frame5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24485" cy="175260"/>
                      <wp:effectExtent l="0" t="0" r="0" b="0"/>
                      <wp:wrapNone/>
                      <wp:docPr id="599" name="Frame59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05410" cy="175260"/>
                      <wp:effectExtent l="0" t="0" r="0" b="0"/>
                      <wp:wrapNone/>
                      <wp:docPr id="601" name="Frame60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24460" cy="175260"/>
                      <wp:effectExtent l="0" t="0" r="0" b="0"/>
                      <wp:wrapNone/>
                      <wp:docPr id="602" name="Frame6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324485" cy="175260"/>
                      <wp:effectExtent l="0" t="0" r="0" b="0"/>
                      <wp:wrapNone/>
                      <wp:docPr id="603" name="Frame60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97790" cy="175260"/>
                      <wp:effectExtent l="0" t="0" r="0" b="0"/>
                      <wp:wrapNone/>
                      <wp:docPr id="605" name="Frame60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34" w:type="dxa"/>
            <w:gridSpan w:val="2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54" w:type="dxa"/>
            <w:tcBorders/>
            <w:vAlign w:val="center"/>
          </w:tcPr>
          <w:p>
            <w:pPr>
              <w:pStyle w:val="TableContents"/>
              <w:bidi w:val="0"/>
              <w:spacing w:before="0" w:after="0"/>
              <w:ind w:left="0" w:right="0" w:hanging="0"/>
              <w:jc w:val="left"/>
              <w:rPr/>
            </w:pPr>
            <w:r>
              <w:rPr/>
              <w:t>​</w: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 Options</w:t>
            </w:r>
          </w:p>
        </w:tc>
        <w:tc>
          <w:tcPr>
            <w:tcW w:w="326" w:type="dxa"/>
            <w:tcBorders/>
            <w:vAlign w:val="center"/>
          </w:tcPr>
          <w:p>
            <w:pPr>
              <w:pStyle w:val="TableContents"/>
              <w:bidi w:val="0"/>
              <w:spacing w:before="0" w:after="0"/>
              <w:ind w:left="0" w:right="0" w:hanging="0"/>
              <w:jc w:val="center"/>
              <w:rPr/>
            </w:pPr>
            <w:r>
              <w:rPr/>
              <w:t>    </w:t>
            </w:r>
          </w:p>
        </w:tc>
        <w:tc>
          <w:tcPr>
            <w:tcW w:w="19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9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9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Volatility factor</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54"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Expected term of options in years</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of options granted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EchoStar currently does not intend to declare dividends on its Class A common stock, EchoStar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continue to evaluate the assumptions used to derive the estimated fair value of EchoStar’s stock options as new events or changes in circumstances become known.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bookmarkStart w:id="1930" w:name="Tc_5LMYXA5amEuS_ZI1mMPlwQ_11_20"/>
      <w:bookmarkStart w:id="1931" w:name="Tc_xNsiH_cYkUCsygBl2fE0YQ_11_17"/>
      <w:bookmarkStart w:id="1932" w:name="Tc_J7b1vIVXqkSwu2pzkek7ww_11_14"/>
      <w:bookmarkStart w:id="1933" w:name="Tc_JFZOfq4KgEuEr9TJN6U0QA_11_11"/>
      <w:bookmarkStart w:id="1934" w:name="Tc_3AXODqBzekefxIkT-0s62w_11_8"/>
      <w:bookmarkStart w:id="1935" w:name="Tc_3aSDmqn8PU-HVwHuqPYCsQ_11_5"/>
      <w:bookmarkStart w:id="1936" w:name="Tc_YuuAinOKSEWPWwcmRpx15Q_11_2"/>
      <w:bookmarkStart w:id="1937" w:name="Tc_zZWcQLcTkEaAaSePcXb-Ww_11_0"/>
      <w:bookmarkStart w:id="1938" w:name="Tc_Roy0KDrHnkyrHF0wd5JmTg_10_21"/>
      <w:bookmarkStart w:id="1939" w:name="Tc_NLPM-r02WEGSLwFfedJeyw_10_18"/>
      <w:bookmarkStart w:id="1940" w:name="Tc_l1OgqbCUoUiQ4eKDuJxknA_10_0"/>
      <w:bookmarkStart w:id="1941" w:name="Tc_mTV6wMYMWESwShlJlGFplA_9_0"/>
      <w:bookmarkStart w:id="1942" w:name="Tc_zNIYqrPAqkyKZo43D9RHlg_8_0"/>
      <w:bookmarkStart w:id="1943" w:name="Tc_Ys_nRBK_W0-1Vf6LRDBjxg_7_21"/>
      <w:bookmarkStart w:id="1944" w:name="Tc_cAXnr4LxS0ej7Okg8UJGmg_7_18"/>
      <w:bookmarkStart w:id="1945" w:name="Tc_uB8YSSGx4U6gRqVjjhVnDg_7_0"/>
      <w:bookmarkStart w:id="1946" w:name="Tc_dazzUHqvEUSCp_IeLN2drQ_6_21"/>
      <w:bookmarkStart w:id="1947" w:name="Tc_9kFCU73SS0qO38y-wEBIIQ_6_18"/>
      <w:bookmarkStart w:id="1948" w:name="Tc_khpOXckhzkOlPpE7ZNFXBg_6_0"/>
      <w:bookmarkStart w:id="1949" w:name="Tc_4O4m3fRj5kyx656HVH8irA_5_0"/>
      <w:bookmarkStart w:id="1950" w:name="Tc_XVETVmYFhEOWmU9uiM-aiQ_4_20"/>
      <w:bookmarkStart w:id="1951" w:name="Tc_4m6-fNMyXUmtoW_MA085lg_4_17"/>
      <w:bookmarkStart w:id="1952" w:name="Tc_3DHRjE8CqkefcnAl9iCe9g_4_14"/>
      <w:bookmarkStart w:id="1953" w:name="Tc_CcDg6YCQDEKR8wC1SIksHQ_4_11"/>
      <w:bookmarkStart w:id="1954" w:name="Tc_RRJMMBUQgkCh-tMDe522lw_4_8"/>
      <w:bookmarkStart w:id="1955" w:name="Tc_brpaLUCCd0CwZ2n2zK7tYw_4_5"/>
      <w:bookmarkStart w:id="1956" w:name="Tc_e_m7_fU0-0ixue-LL31Ncg_4_2"/>
      <w:bookmarkStart w:id="1957" w:name="Tc_5L2VNzCCHkWWROXMBnTYDA_4_0"/>
      <w:bookmarkStart w:id="1958" w:name="Tc_4WQIRtcm-k-eZeiRtkgjQg_3_2"/>
      <w:bookmarkStart w:id="1959" w:name="Tc_vgek__RTvEmLYbI8YF399Q_2_20"/>
      <w:bookmarkStart w:id="1960" w:name="Tc_1zGelL-l6U6N82N1iYkSuQ_2_17"/>
      <w:bookmarkStart w:id="1961" w:name="Tc_Hevg5fc5EU6NIjWX6NGPrQ_2_14"/>
      <w:bookmarkStart w:id="1962" w:name="Tc_3envksaqjEu3EzVJO5CVLA_2_11"/>
      <w:bookmarkStart w:id="1963" w:name="Tc_ovaLDwjzL0Ky6BhYCHo6GA_2_8"/>
      <w:bookmarkStart w:id="1964" w:name="Tc_Nb1xtL3JqECOs-7yfh3gqQ_2_5"/>
      <w:bookmarkStart w:id="1965" w:name="Tc_-yp8b6zE5Uq9U4wdan8ZyQ_2_2"/>
      <w:bookmarkStart w:id="1966" w:name="Tc_tqDAjwyv8UWK_7PlatHkTA_1_2"/>
      <w:bookmarkStart w:id="1967" w:name="_ecb08c52_b2b3_4c3e_8088_5e85bde15b56"/>
      <w:bookmarkStart w:id="1968" w:name="_Hlk506313172"/>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r>
        <w:rPr>
          <w:rFonts w:ascii="Times New Roman;Times;serif" w:hAnsi="Times New Roman;Times;serif"/>
          <w:b/>
          <w:sz w:val="20"/>
        </w:rPr>
        <w:t>13.    Commitments and Contingencies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 Bold" w:hAnsi="Times New Roman Bold"/>
          <w:b/>
          <w:sz w:val="20"/>
        </w:rPr>
      </w:pPr>
      <w:r>
        <w:rPr>
          <w:rFonts w:ascii="Times New Roman Bold" w:hAnsi="Times New Roman Bold"/>
          <w:b/>
          <w:sz w:val="20"/>
        </w:rPr>
        <w:t>Commitments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December 31, 2023, future maturities of our long-term debt, finance lease and contractual obligations are summarized as follows: </w:t>
      </w:r>
    </w:p>
    <w:p>
      <w:pPr>
        <w:pStyle w:val="TextBody"/>
        <w:bidi w:val="0"/>
        <w:spacing w:before="0" w:after="0"/>
        <w:ind w:left="0" w:right="0" w:hanging="0"/>
        <w:jc w:val="left"/>
        <w:rPr/>
      </w:pPr>
      <w:r>
        <w:rPr/>
        <w:t>​</w:t>
      </w:r>
    </w:p>
    <w:tbl>
      <w:tblPr>
        <w:tblW w:w="10476" w:type="dxa"/>
        <w:jc w:val="left"/>
        <w:tblInd w:w="0" w:type="dxa"/>
        <w:tblLayout w:type="fixed"/>
        <w:tblCellMar>
          <w:top w:w="0" w:type="dxa"/>
          <w:left w:w="0" w:type="dxa"/>
          <w:bottom w:w="0" w:type="dxa"/>
          <w:right w:w="0" w:type="dxa"/>
        </w:tblCellMar>
      </w:tblPr>
      <w:tblGrid>
        <w:gridCol w:w="886"/>
        <w:gridCol w:w="109"/>
        <w:gridCol w:w="196"/>
        <w:gridCol w:w="916"/>
        <w:gridCol w:w="326"/>
        <w:gridCol w:w="196"/>
        <w:gridCol w:w="826"/>
        <w:gridCol w:w="326"/>
        <w:gridCol w:w="196"/>
        <w:gridCol w:w="826"/>
        <w:gridCol w:w="326"/>
        <w:gridCol w:w="196"/>
        <w:gridCol w:w="916"/>
        <w:gridCol w:w="326"/>
        <w:gridCol w:w="196"/>
        <w:gridCol w:w="826"/>
        <w:gridCol w:w="326"/>
        <w:gridCol w:w="196"/>
        <w:gridCol w:w="826"/>
        <w:gridCol w:w="326"/>
        <w:gridCol w:w="196"/>
        <w:gridCol w:w="826"/>
        <w:gridCol w:w="19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562610" cy="175260"/>
                      <wp:effectExtent l="0" t="0" r="0" b="0"/>
                      <wp:wrapNone/>
                      <wp:docPr id="606" name="Frame6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75260"/>
                      <wp:effectExtent l="0" t="0" r="0" b="0"/>
                      <wp:wrapNone/>
                      <wp:docPr id="607" name="Frame6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24460" cy="175260"/>
                      <wp:effectExtent l="0" t="0" r="0" b="0"/>
                      <wp:wrapNone/>
                      <wp:docPr id="608" name="Frame6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81660" cy="175260"/>
                      <wp:effectExtent l="0" t="0" r="0" b="0"/>
                      <wp:wrapNone/>
                      <wp:docPr id="609" name="Frame60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24460" cy="175260"/>
                      <wp:effectExtent l="0" t="0" r="0" b="0"/>
                      <wp:wrapNone/>
                      <wp:docPr id="611" name="Frame6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524510" cy="175260"/>
                      <wp:effectExtent l="0" t="0" r="0" b="0"/>
                      <wp:wrapNone/>
                      <wp:docPr id="612" name="Frame6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3" name="Frame6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24460" cy="175260"/>
                      <wp:effectExtent l="0" t="0" r="0" b="0"/>
                      <wp:wrapNone/>
                      <wp:docPr id="614" name="Frame6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524510" cy="175260"/>
                      <wp:effectExtent l="0" t="0" r="0" b="0"/>
                      <wp:wrapNone/>
                      <wp:docPr id="615" name="Frame6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6"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24460" cy="175260"/>
                      <wp:effectExtent l="0" t="0" r="0" b="0"/>
                      <wp:wrapNone/>
                      <wp:docPr id="617" name="Frame6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581660" cy="175260"/>
                      <wp:effectExtent l="0" t="0" r="0" b="0"/>
                      <wp:wrapNone/>
                      <wp:docPr id="618" name="Frame6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619" name="Frame6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24460" cy="175260"/>
                      <wp:effectExtent l="0" t="0" r="0" b="0"/>
                      <wp:wrapNone/>
                      <wp:docPr id="620" name="Frame6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24510" cy="175260"/>
                      <wp:effectExtent l="0" t="0" r="0" b="0"/>
                      <wp:wrapNone/>
                      <wp:docPr id="621" name="Frame62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22" name="Frame6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24460" cy="175260"/>
                      <wp:effectExtent l="0" t="0" r="0" b="0"/>
                      <wp:wrapNone/>
                      <wp:docPr id="623" name="Frame6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24510" cy="175260"/>
                      <wp:effectExtent l="0" t="0" r="0" b="0"/>
                      <wp:wrapNone/>
                      <wp:docPr id="624" name="Frame6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5"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24460" cy="175260"/>
                      <wp:effectExtent l="0" t="0" r="0" b="0"/>
                      <wp:wrapNone/>
                      <wp:docPr id="626" name="Frame6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24510" cy="175260"/>
                      <wp:effectExtent l="0" t="0" r="0" b="0"/>
                      <wp:wrapNone/>
                      <wp:docPr id="627" name="Frame6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21285" cy="175260"/>
                      <wp:effectExtent l="0" t="0" r="0" b="0"/>
                      <wp:wrapNone/>
                      <wp:docPr id="628" name="Frame6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90" w:type="dxa"/>
            <w:gridSpan w:val="20"/>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c>
          <w:tcPr>
            <w:tcW w:w="191"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191" w:type="dxa"/>
            <w:tcBorders/>
            <w:vAlign w:val="center"/>
          </w:tcPr>
          <w:p>
            <w:pPr>
              <w:pStyle w:val="TableContents"/>
              <w:bidi w:val="0"/>
              <w:spacing w:before="0" w:after="0"/>
              <w:ind w:left="0" w:right="0" w:hanging="0"/>
              <w:jc w:val="left"/>
              <w:rPr/>
            </w:pPr>
            <w:r>
              <w:rPr/>
              <w:t> </w:t>
            </w:r>
          </w:p>
        </w:tc>
      </w:tr>
      <w:tr>
        <w:trPr/>
        <w:tc>
          <w:tcPr>
            <w:tcW w:w="10476"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90" w:type="dxa"/>
            <w:gridSpan w:val="2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21,163,274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2,984,970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1,985,772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7,669,305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3,511,107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3,502,529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1,509,591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expense on long-term debt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4,490,593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1,237,046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1,106,622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1,105,276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707,126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294,971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39,552</w:t>
            </w:r>
          </w:p>
        </w:tc>
        <w:tc>
          <w:tcPr>
            <w:tcW w:w="191" w:type="dxa"/>
            <w:tcBorders/>
            <w:vAlign w:val="center"/>
          </w:tcPr>
          <w:p>
            <w:pPr>
              <w:pStyle w:val="TableContents"/>
              <w:bidi w:val="0"/>
              <w:spacing w:before="0" w:after="0"/>
              <w:ind w:left="0" w:right="0" w:hanging="0"/>
              <w:jc w:val="left"/>
              <w:rPr/>
            </w:pPr>
            <w:r>
              <w:rPr/>
              <w: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obligations (1)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on finance lease obligations (1)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obligations (2)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13,406,816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2,886,529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2,198,229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1,913,876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1,158,515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4,236,411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obligations (1)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5,399,528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423,347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463,276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495,472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495,786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454,612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3,067,035</w:t>
            </w:r>
          </w:p>
        </w:tc>
        <w:tc>
          <w:tcPr>
            <w:tcW w:w="191" w:type="dxa"/>
            <w:tcBorders/>
            <w:vAlign w:val="center"/>
          </w:tcPr>
          <w:p>
            <w:pPr>
              <w:pStyle w:val="TableContents"/>
              <w:bidi w:val="0"/>
              <w:spacing w:before="0" w:after="0"/>
              <w:ind w:left="0" w:right="0" w:hanging="0"/>
              <w:jc w:val="left"/>
              <w:rPr/>
            </w:pPr>
            <w:r>
              <w:rPr/>
              <w: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Purchase obligations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2,086,259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2,052,898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46,687,097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9,650,863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5,816,559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11,226,273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5,875,445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5,265,368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8,852,589</w:t>
            </w:r>
          </w:p>
        </w:tc>
        <w:tc>
          <w:tcPr>
            <w:tcW w:w="191" w:type="dxa"/>
            <w:tcBorders/>
            <w:vAlign w:val="center"/>
          </w:tcPr>
          <w:p>
            <w:pPr>
              <w:pStyle w:val="TableContents"/>
              <w:bidi w:val="0"/>
              <w:spacing w:before="0" w:after="0"/>
              <w:ind w:left="0" w:right="0" w:hanging="0"/>
              <w:jc w:val="left"/>
              <w:rPr/>
            </w:pPr>
            <w:r>
              <w:rPr/>
              <w:t>​</w:t>
            </w:r>
          </w:p>
        </w:tc>
      </w:tr>
      <w:tr>
        <w:trPr/>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tbl>
      <w:tblPr>
        <w:tblW w:w="4206" w:type="dxa"/>
        <w:jc w:val="left"/>
        <w:tblInd w:w="0" w:type="dxa"/>
        <w:tblLayout w:type="fixed"/>
        <w:tblCellMar>
          <w:top w:w="28" w:type="dxa"/>
          <w:left w:w="28" w:type="dxa"/>
          <w:bottom w:w="28" w:type="dxa"/>
          <w:right w:w="28" w:type="dxa"/>
        </w:tblCellMar>
      </w:tblPr>
      <w:tblGrid>
        <w:gridCol w:w="124"/>
        <w:gridCol w:w="331"/>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8 for further information on leases. </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minimum contractual commitments related to communication tower obligations, certain 5G Network Deployment commitments, obligations under the NSA with AT&amp;T and the MNSA with T-Mobile, certain wireless device purchases and marketing obligations, radios, software and integration services and satellite related and other obligations.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certain circumstances the dates on which we are obligated to make these payments could be delayed.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table above does not include $436 million of liabilities associated with unrecognized tax benefits that were accrued, as discussed in Note 10 and are included on our Consolidated Balance Sheets as of December 31, 2023. We do not expect any portion of this amount to be paid or settled within the next 12 months.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table above does not include all potential expenses we expect to incur for our 5G Network Deployment. We currently expect capital expenditures, </w:t>
      </w:r>
      <w:r>
        <w:rPr>
          <w:rFonts w:ascii="Times New Roman;Times;serif" w:hAnsi="Times New Roman;Times;serif"/>
          <w:sz w:val="20"/>
          <w:shd w:fill="FFFFFF" w:val="clear"/>
        </w:rPr>
        <w:t>excluding capitalized interest,</w:t>
      </w:r>
      <w:r>
        <w:rPr>
          <w:rFonts w:ascii="Times New Roman;Times;serif" w:hAnsi="Times New Roman;Times;serif"/>
          <w:sz w:val="20"/>
        </w:rPr>
        <w:t xml:space="preserve"> for our 5G Network Deployment to be approximately $10 billion, including amounts incurred in 2021, 2022 and 2023, of which approximately $1.557 billion is included in the table above in “Other long-term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Agreements in Connection with the</w:t>
      </w:r>
      <w:r>
        <w:rPr>
          <w:rFonts w:ascii="Times New Roman;Times;serif" w:hAnsi="Times New Roman;Times;serif"/>
          <w:sz w:val="20"/>
        </w:rPr>
        <w:t xml:space="preserve"> </w:t>
      </w:r>
      <w:r>
        <w:rPr>
          <w:rFonts w:ascii="Times New Roman;Times;serif" w:hAnsi="Times New Roman;Times;serif"/>
          <w:i/>
          <w:sz w:val="20"/>
        </w:rPr>
        <w:t>Asset Purchase Agreement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1, 2020, we completed the Boost Mobile Acquisition. In connection with the closing of the Boost Mobile Acquisition, we and T-Mobile entered into, among other things, a spectrum purchase agreement for the option to purchase all of Sprint’s 800 MHz spectrum licenses for approximately $3.59 billion (“License Purchase Agreement”). The $3.59 billion is not included in “Other long-term obligations” above. If we elect to not exercise the option to purchase the 800 MHz spectrum licenses pursuant to the License Purchase Agreement or it expires, we were potentially subject to pay T-Mobile a fee of approximately $72 million per the License Purchase Agreement, under certain circumstances. In conjunction with the Amendment that modifies the License Purchase Agreement, discussed below, the $72 million fee has been superseded by the Upfront Payment.</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30, 2023, the DOJ provided notice to the District Court that, pursuant to its discretion under the Final Judgment, it granted a 60-day extension of the deadline for T-Mobile to divest the 800 MHz spectrum licenses, which expired on August 30, 2023.</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17, 2023, we filed a petition with the District Court seeking an extension of the deadline for T-Mobile to divest the 800 MHz spectrum licenses.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15, 2023, we and T-Mobile entered into the Amendment that, among other things, provides the Extension. In connection with the Extension, we agreed to make an Upfront Payment of $100 million to T-Mobile.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Amendment also resolves all outstanding disputes between the parties with respect to the License Purchase Agreement. On October 25, 2023, we paid the $100 million Upfront Payment to T-Mobile.</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Amendment has been approved by the DOJ in accordance with the Stipulation and Order filed in the District Court on July 26, 2019 and the Final Judgment entered by the District Court on April 1, 2020. The Amendment became effective upon the District Court entering the Amended Final Judgment on October 23, 2023.</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Upfront Payment is fully creditable against the purchase price in the event we exercise our option to purchase the 800 MHz spectrum licenses from T-Mobile. T-Mobile has the right (but not the obligation) to pursue an alternative offer between now and April 1, 2024 provided that we retain the first right to purchase the spectrum before April 1, 2024. If we elect to not exercise the option to purchase the 800 MHz spectrum licenses pursuant to the License Purchase Agreement or it expires, T-Mobile will retain the $100 million Upfront Payment per the Amendment.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Wireless – 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invested a total of over $30 billion in Wireless spectrum licenses, which includes over $10 billion in initial noncontrolling investments in certain entities. The $30 billion of investments related to Wireless spectrum licenses does not include $9 billion of capitalized interest related to the carrying value of such licenses.  See Note 2 for further information on capitalized interest.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these Wireless spectrum licenses, which may affect the carrying amount of these assets and our future financial condition or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1969" w:name="Tc_foQE3IxhA0mtEaroULR9Jw_25_2"/>
      <w:bookmarkStart w:id="1970" w:name="Tc_BHemmyfj2kit7HRj2lERcw_25_0"/>
      <w:bookmarkStart w:id="1971" w:name="Tc_mKgr9CGyvUK8JxiSZE72aA_24_0"/>
      <w:bookmarkStart w:id="1972" w:name="Tc_goMQjDfT70q0aNziHVi9ww_22_9"/>
      <w:bookmarkStart w:id="1973" w:name="Tc_QArPUp4sBEK7VPsFR_VY7Q_22_7"/>
      <w:bookmarkStart w:id="1974" w:name="Tc_dgXGRABZ8E2JBsak-3sURg_22_0"/>
      <w:bookmarkStart w:id="1975" w:name="Tc_NCjDbpBDWUyPNNlT-jpe_Q_21_0"/>
      <w:bookmarkStart w:id="1976" w:name="Tc_gagWlx7-zEGiAnd28IZVWA_20_0"/>
      <w:bookmarkStart w:id="1977" w:name="Tc__On3f612JEaK0aigFVajiQ_19_9"/>
      <w:bookmarkStart w:id="1978" w:name="Tc_FZu22OOfU0-LeYSN-DH9Sw_19_7"/>
      <w:bookmarkStart w:id="1979" w:name="Tc_XIGvKMovEU-4V3USj5btXg_19_0"/>
      <w:bookmarkStart w:id="1980" w:name="Tc_WZL_4UYyq0C674Bru19GyQ_18_9"/>
      <w:bookmarkStart w:id="1981" w:name="Tc_M6lay_jUC02GEMe1yv1KLA_18_0"/>
      <w:bookmarkStart w:id="1982" w:name="Tc_10c_aik3aUeL46wTq-kF8A_17_9"/>
      <w:bookmarkStart w:id="1983" w:name="Tc_LTSJMRsY6k65A6Cr2ZWp9g_17_7"/>
      <w:bookmarkStart w:id="1984" w:name="Tc_94IWwOcp70a7h9IkMS1cRA_17_5"/>
      <w:bookmarkStart w:id="1985" w:name="Tc_7EsJjYefZ0WVoX1tdvalZg_17_0"/>
      <w:bookmarkStart w:id="1986" w:name="Tc_bZIIbg9JH0SA7Z65nwCGkw_16_9"/>
      <w:bookmarkStart w:id="1987" w:name="Tc_ZimSOw97s0mjcTT9-FZmwA_16_7"/>
      <w:bookmarkStart w:id="1988" w:name="Tc_M4yczLf0y0ux1KQzdyEfuQ_16_5"/>
      <w:bookmarkStart w:id="1989" w:name="Tc_KJ4GZWLEYEWbsSYLZvxu8A_16_0"/>
      <w:bookmarkStart w:id="1990" w:name="Tc_8DIwNdCsJ0Geun8FrH97uA_15_9"/>
      <w:bookmarkStart w:id="1991" w:name="Tc_ZmP1yRsjvECKYhL7ndlIJw_15_7"/>
      <w:bookmarkStart w:id="1992" w:name="Tc_zY4NV1fpGEO2A8dr7oUcOg_15_0"/>
      <w:bookmarkStart w:id="1993" w:name="Tc_XbwRJjMlUEafQt8NDVCDKQ_14_9"/>
      <w:bookmarkStart w:id="1994" w:name="Tc_3TCEwixKCUOeZqMGrx3-GA_14_7"/>
      <w:bookmarkStart w:id="1995" w:name="Tc_ANEy1jNogk-9Sun7AcJPOA_14_0"/>
      <w:bookmarkStart w:id="1996" w:name="Tc_V487Se60LUSA8OtMo9AFRA_13_9"/>
      <w:bookmarkStart w:id="1997" w:name="Tc_dwS3kGzS8k-Ab9rxqOeM7A_13_7"/>
      <w:bookmarkStart w:id="1998" w:name="Tc_bhXr1aulE0qChOyWdAetTw_13_0"/>
      <w:bookmarkStart w:id="1999" w:name="Tc_QbJJKmbwhkOBa12od4e5hw_12_9"/>
      <w:bookmarkStart w:id="2000" w:name="Tc_8g3DNfv-NEWQnyrBw6ftDA_12_7"/>
      <w:bookmarkStart w:id="2001" w:name="Tc_6EICo2oj70Sf4Wa96JE32w_12_0"/>
      <w:bookmarkStart w:id="2002" w:name="Tc_pdRmQQk1D0Kc8wOm6FLp1A_11_9"/>
      <w:bookmarkStart w:id="2003" w:name="Tc_yFeKuqbMZEG1cPNEgAkrUQ_11_3"/>
      <w:bookmarkStart w:id="2004" w:name="Tc_SnBMRnJJYkCvHRw7DHSwjQ_11_0"/>
      <w:bookmarkStart w:id="2005" w:name="Tc_dK-tWZl1WUGqKML_5XxCvw_10_9"/>
      <w:bookmarkStart w:id="2006" w:name="Tc_d5yFx096UUuWoORE9Wt21Q_10_0"/>
      <w:bookmarkStart w:id="2007" w:name="Tc_sAWZwatS5ki8k2MN0tw1mA_9_9"/>
      <w:bookmarkStart w:id="2008" w:name="Tc_Ri3umnYm6UO7N-RTJxurww_9_7"/>
      <w:bookmarkStart w:id="2009" w:name="Tc_6Q8-xGNPVU-6SZthxraCDQ_9_0"/>
      <w:bookmarkStart w:id="2010" w:name="Tc_-g1KjUvankaVWCygeMmdRQ_8_9"/>
      <w:bookmarkStart w:id="2011" w:name="Tc_2vNbD_NeVkSPg0FM3zK89A_8_7"/>
      <w:bookmarkStart w:id="2012" w:name="Tc_O2ubVQPvnUO3v4VwT6_WSA_8_0"/>
      <w:bookmarkStart w:id="2013" w:name="Tc_XlfjGnSKAE-_UMhGbW86VQ_7_9"/>
      <w:bookmarkStart w:id="2014" w:name="Tc_m5ef9XMkpUCtUVkWgIM-UA_7_7"/>
      <w:bookmarkStart w:id="2015" w:name="Tc_MnMZu7jp9kW4AVaEn80Rag_7_0"/>
      <w:bookmarkStart w:id="2016" w:name="Tc_jQFq_u-yhEq0R8D5lRb6Rw_6_9"/>
      <w:bookmarkStart w:id="2017" w:name="Tc_yxNnRwcA90mLBuVkQST6Dg_6_7"/>
      <w:bookmarkStart w:id="2018" w:name="Tc_jdRCAWf0x0iCfnqlQw4irw_6_0"/>
      <w:bookmarkStart w:id="2019" w:name="Tc_cxdw8m39p0uUwzLHJxxrLg_5_2"/>
      <w:bookmarkStart w:id="2020" w:name="Tc_OrHMYRUnsU2t0oMutf7XKw_5_0"/>
      <w:bookmarkStart w:id="2021" w:name="Tc_1F1sjFxxHEmVlX4BxAzVfw_4_0"/>
      <w:bookmarkStart w:id="2022" w:name="Tc__vFvtZVvYkG9njGcLAVihw_3_2"/>
      <w:bookmarkStart w:id="2023" w:name="Tc_CEtEDQnINkCbGK11ZfRZdA_2_9"/>
      <w:bookmarkStart w:id="2024" w:name="Tc_nYd6-QfIS0mo2B7IpugPdg_2_7"/>
      <w:bookmarkStart w:id="2025" w:name="Tc_2vn1I2Zf50ujtZxQ7mHu1w_2_5"/>
      <w:bookmarkStart w:id="2026" w:name="Tc_uJJ0v7s6Y0K7okBpsjHREw_2_2"/>
      <w:bookmarkStart w:id="2027" w:name="Tc_mwRncm9zKU6YdZfSt4xBvg_1_9"/>
      <w:bookmarkStart w:id="2028" w:name="Tc_G1w24szdSUW3C7UvDV5aZw_1_5"/>
      <w:bookmarkStart w:id="2029" w:name="Tc_Hn1Cq3RreEC_tZknMC4Rgw_1_2"/>
      <w:bookmarkStart w:id="2030" w:name="_5ecf5cff_bf90_4d4e_81d3_fd1f8d442d05"/>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r>
        <w:rPr>
          <w:rFonts w:ascii="Times New Roman;Times;serif" w:hAnsi="Times New Roman;Times;serif"/>
          <w:i/>
          <w:sz w:val="20"/>
        </w:rPr>
        <w:t>Wireless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These Wireless spectrum licenses are subject to certain build-out requirements, as well as certain renewal requirements that are summarized in the table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16"/>
        <w:gridCol w:w="109"/>
        <w:gridCol w:w="196"/>
        <w:gridCol w:w="916"/>
        <w:gridCol w:w="109"/>
        <w:gridCol w:w="1289"/>
        <w:gridCol w:w="109"/>
        <w:gridCol w:w="1696"/>
        <w:gridCol w:w="109"/>
        <w:gridCol w:w="1300"/>
        <w:gridCol w:w="15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677160" cy="175260"/>
                      <wp:effectExtent l="0" t="0" r="0" b="0"/>
                      <wp:wrapNone/>
                      <wp:docPr id="629" name="Frame62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9215" cy="175260"/>
                      <wp:effectExtent l="0" t="0" r="0" b="0"/>
                      <wp:wrapNone/>
                      <wp:docPr id="630" name="Frame6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24460" cy="175260"/>
                      <wp:effectExtent l="0" t="0" r="0" b="0"/>
                      <wp:wrapNone/>
                      <wp:docPr id="631" name="Frame6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81660" cy="175260"/>
                      <wp:effectExtent l="0" t="0" r="0" b="0"/>
                      <wp:wrapNone/>
                      <wp:docPr id="632" name="Frame63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33" name="Frame6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818515" cy="175260"/>
                      <wp:effectExtent l="0" t="0" r="0" b="0"/>
                      <wp:wrapNone/>
                      <wp:docPr id="634" name="Frame634"/>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9215" cy="175260"/>
                      <wp:effectExtent l="0" t="0" r="0" b="0"/>
                      <wp:wrapNone/>
                      <wp:docPr id="635"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076960" cy="175260"/>
                      <wp:effectExtent l="0" t="0" r="0" b="0"/>
                      <wp:wrapNone/>
                      <wp:docPr id="636" name="Frame63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9215" cy="175260"/>
                      <wp:effectExtent l="0" t="0" r="0" b="0"/>
                      <wp:wrapNone/>
                      <wp:docPr id="637" name="Frame6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825500" cy="175260"/>
                      <wp:effectExtent l="0" t="0" r="0" b="0"/>
                      <wp:wrapNone/>
                      <wp:docPr id="638" name="Frame638"/>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99060" cy="175260"/>
                      <wp:effectExtent l="0" t="0" r="0" b="0"/>
                      <wp:wrapNone/>
                      <wp:docPr id="639" name="Frame639"/>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Carrying </w:t>
            </w:r>
          </w:p>
        </w:tc>
        <w:tc>
          <w:tcPr>
            <w:tcW w:w="109" w:type="dxa"/>
            <w:tcBorders/>
            <w:vAlign w:val="center"/>
          </w:tcPr>
          <w:p>
            <w:pPr>
              <w:pStyle w:val="TableContents"/>
              <w:bidi w:val="0"/>
              <w:spacing w:before="0" w:after="0"/>
              <w:ind w:left="0" w:right="0" w:hanging="0"/>
              <w:jc w:val="center"/>
              <w:rPr/>
            </w:pPr>
            <w:r>
              <w:rPr/>
              <w:t>​</w:t>
            </w:r>
          </w:p>
        </w:tc>
        <w:tc>
          <w:tcPr>
            <w:tcW w:w="3094"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Build-Out Deadlines</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Interim</w:t>
            </w:r>
          </w:p>
        </w:tc>
        <w:tc>
          <w:tcPr>
            <w:tcW w:w="109"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Final</w:t>
            </w:r>
          </w:p>
        </w:tc>
        <w:tc>
          <w:tcPr>
            <w:tcW w:w="109" w:type="dxa"/>
            <w:tcBorders/>
            <w:vAlign w:val="center"/>
          </w:tcPr>
          <w:p>
            <w:pPr>
              <w:pStyle w:val="TableContents"/>
              <w:bidi w:val="0"/>
              <w:spacing w:before="0" w:after="0"/>
              <w:ind w:left="0" w:right="0" w:hanging="0"/>
              <w:jc w:val="left"/>
              <w:rPr/>
            </w:pPr>
            <w:r>
              <w:rPr/>
              <w:t>​</w:t>
            </w:r>
          </w:p>
        </w:tc>
        <w:tc>
          <w:tcPr>
            <w:tcW w:w="13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Owned: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DBS Licenses (1)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677,409</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700 MHz Licenses (2)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711,871</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14, 2025 (3)</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2033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AWS-4 Licenses (2)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1,940,000</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14, 2025 (3)</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2033</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 Block Licenses (2)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1,671,506</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14, 2025 (4)</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2033</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 MHz Licenses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6,213,335</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14, 2025 (5)</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2029</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MVDDS Licenses (1)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24,000</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2024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LMDS Licenses (1)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September 2028</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28 GHz Licenses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2,883</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 2029 (6)</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2029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24 GHz Licenses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11,772</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11, 2029 (6)</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2029</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37 GHz, 39 GHz and 47 GHz Licenses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202,533</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4, 2030 (6)</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2030</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3550-3650 MHz Licenses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912,939</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12, 2031 (6)</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2031</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3.7-3.98 GHz Licenses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2,969</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23, 2029 (6)</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23, 2033 (6)</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2036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3.45–3.55 GHz Licenses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7,327,989</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May 4, 2026 (6)</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May 4, 2030 (6)</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May 2037</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1695-1710 MHz, 1755-1780 MHz, and 2155-2180 MHz (2)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2026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AWS-3 (8)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5,618,930</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2025 (7)</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2025 (7)</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Subtotal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25,319,108</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Noncontrolling Investments: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SNR (9)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4,271,459</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2025 (7)</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2025 (7)</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Interest (10)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8,523,682</w:t>
            </w:r>
          </w:p>
        </w:tc>
        <w:tc>
          <w:tcPr>
            <w:tcW w:w="109"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center"/>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 of December 31, 2023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38,114,249</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bl>
    <w:tbl>
      <w:tblPr>
        <w:tblW w:w="5177" w:type="dxa"/>
        <w:jc w:val="left"/>
        <w:tblInd w:w="0" w:type="dxa"/>
        <w:tblLayout w:type="fixed"/>
        <w:tblCellMar>
          <w:top w:w="0" w:type="dxa"/>
          <w:left w:w="0" w:type="dxa"/>
          <w:bottom w:w="0" w:type="dxa"/>
          <w:right w:w="0" w:type="dxa"/>
        </w:tblCellMar>
      </w:tblPr>
      <w:tblGrid>
        <w:gridCol w:w="346"/>
        <w:gridCol w:w="48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build-out deadlines for these licenses have been met. </w:t>
            </w:r>
          </w:p>
        </w:tc>
      </w:tr>
    </w:tbl>
    <w:tbl>
      <w:tblPr>
        <w:tblW w:w="5717" w:type="dxa"/>
        <w:jc w:val="left"/>
        <w:tblInd w:w="0" w:type="dxa"/>
        <w:tblLayout w:type="fixed"/>
        <w:tblCellMar>
          <w:top w:w="0" w:type="dxa"/>
          <w:left w:w="0" w:type="dxa"/>
          <w:bottom w:w="0" w:type="dxa"/>
          <w:right w:w="0" w:type="dxa"/>
        </w:tblCellMar>
      </w:tblPr>
      <w:tblGrid>
        <w:gridCol w:w="346"/>
        <w:gridCol w:w="53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build-out deadlines for these licenses are in the past.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a July 14, 2023 filing to the FCC, we certified that we were offering 5G broadband service to at least 70%</w:t>
            </w:r>
            <w:r>
              <w:rPr>
                <w:caps w:val="false"/>
                <w:smallCaps w:val="false"/>
              </w:rPr>
              <w:t xml:space="preserve"> </w:t>
            </w:r>
            <w:r>
              <w:rPr>
                <w:rFonts w:ascii="Times New Roman;Times;serif" w:hAnsi="Times New Roman;Times;serif"/>
                <w:b w:val="false"/>
                <w:i w:val="false"/>
                <w:caps w:val="false"/>
                <w:smallCaps w:val="false"/>
                <w:sz w:val="20"/>
              </w:rPr>
              <w:t>of the United States population as of June 14, 2023, and certified to meeting other FCC related commitments. As a result of us providing 5G broadband service to over 50%</w:t>
            </w:r>
            <w:r>
              <w:rPr>
                <w:caps w:val="false"/>
                <w:smallCaps w:val="false"/>
              </w:rPr>
              <w:t xml:space="preserve"> </w:t>
            </w:r>
            <w:r>
              <w:rPr>
                <w:rFonts w:ascii="Times New Roman;Times;serif" w:hAnsi="Times New Roman;Times;serif"/>
                <w:b w:val="false"/>
                <w:i w:val="false"/>
                <w:caps w:val="false"/>
                <w:smallCaps w:val="false"/>
                <w:sz w:val="20"/>
              </w:rPr>
              <w:t>of the U.S. population by June 14, 2023, the final build-out deadlines have been extended automatically to June 14, 2025. For these licenses, we must offer 5G broadband service to at least 70%</w:t>
            </w:r>
            <w:r>
              <w:rPr>
                <w:caps w:val="false"/>
                <w:smallCaps w:val="false"/>
              </w:rPr>
              <w:t xml:space="preserve"> </w:t>
            </w:r>
            <w:r>
              <w:rPr>
                <w:rFonts w:ascii="Times New Roman;Times;serif" w:hAnsi="Times New Roman;Times;serif"/>
                <w:b w:val="false"/>
                <w:i w:val="false"/>
                <w:caps w:val="false"/>
                <w:smallCaps w:val="false"/>
                <w:sz w:val="20"/>
              </w:rPr>
              <w:t>of the population in each Economic Area (which is a service area established by the FCC). On September 29, 2023, the FCC confirmed we have met all of our June 14, 2023 band-specific 5G deployment commitments, and two of our three nationwide 5G commitments. The single remaining 5G commitment, that at least 70%</w:t>
            </w:r>
            <w:r>
              <w:rPr>
                <w:caps w:val="false"/>
                <w:smallCaps w:val="false"/>
              </w:rPr>
              <w:t xml:space="preserve"> </w:t>
            </w:r>
            <w:r>
              <w:rPr>
                <w:rFonts w:ascii="Times New Roman;Times;serif" w:hAnsi="Times New Roman;Times;serif"/>
                <w:b w:val="false"/>
                <w:i w:val="false"/>
                <w:caps w:val="false"/>
                <w:smallCaps w:val="false"/>
                <w:sz w:val="20"/>
              </w:rPr>
              <w:t xml:space="preserve">of the U.S. population has access to average download speeds equal to 35 Mbps, was confirmed using the drive test methodology agreed to and approved by the FCC and overseen by an independent monitor.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a July 14, 2023 filing to the FCC, we certified that we were offering 5G broadband service to at least 70%</w:t>
            </w:r>
            <w:r>
              <w:rPr>
                <w:caps w:val="false"/>
                <w:smallCaps w:val="false"/>
              </w:rPr>
              <w:t xml:space="preserve"> </w:t>
            </w:r>
            <w:r>
              <w:rPr>
                <w:rFonts w:ascii="Times New Roman;Times;serif" w:hAnsi="Times New Roman;Times;serif"/>
                <w:b w:val="false"/>
                <w:i w:val="false"/>
                <w:caps w:val="false"/>
                <w:smallCaps w:val="false"/>
                <w:sz w:val="20"/>
              </w:rPr>
              <w:t>of the United States population as of June 14, 2023, and certified to meeting other FCC related commitments. As a result of us providing 5G broadband service to over 50%</w:t>
            </w:r>
            <w:r>
              <w:rPr>
                <w:caps w:val="false"/>
                <w:smallCaps w:val="false"/>
              </w:rPr>
              <w:t xml:space="preserve"> </w:t>
            </w:r>
            <w:r>
              <w:rPr>
                <w:rFonts w:ascii="Times New Roman;Times;serif" w:hAnsi="Times New Roman;Times;serif"/>
                <w:b w:val="false"/>
                <w:i w:val="false"/>
                <w:caps w:val="false"/>
                <w:smallCaps w:val="false"/>
                <w:sz w:val="20"/>
              </w:rPr>
              <w:t>of the U.S. population by June 14, 2023, the final build-out deadlines have been extended automatically to June 14, 2025. For these licenses, we must offer 5G broadband service to at least 75%</w:t>
            </w:r>
            <w:r>
              <w:rPr>
                <w:caps w:val="false"/>
                <w:smallCaps w:val="false"/>
              </w:rPr>
              <w:t xml:space="preserve"> </w:t>
            </w:r>
            <w:r>
              <w:rPr>
                <w:rFonts w:ascii="Times New Roman;Times;serif" w:hAnsi="Times New Roman;Times;serif"/>
                <w:b w:val="false"/>
                <w:i w:val="false"/>
                <w:caps w:val="false"/>
                <w:smallCaps w:val="false"/>
                <w:sz w:val="20"/>
              </w:rPr>
              <w:t>of the population in each Economic Area (which is a service area established by the FCC). On September 29, 2023, the FCC confirmed we have met all of our June 14, 2023 band-specific 5G deployment commitments, and two of our three nationwide 5G commitments. The single remaining 5G commitment, that at least 70%</w:t>
            </w:r>
            <w:r>
              <w:rPr>
                <w:caps w:val="false"/>
                <w:smallCaps w:val="false"/>
              </w:rPr>
              <w:t xml:space="preserve"> </w:t>
            </w:r>
            <w:r>
              <w:rPr>
                <w:rFonts w:ascii="Times New Roman;Times;serif" w:hAnsi="Times New Roman;Times;serif"/>
                <w:b w:val="false"/>
                <w:i w:val="false"/>
                <w:caps w:val="false"/>
                <w:smallCaps w:val="false"/>
                <w:sz w:val="20"/>
              </w:rPr>
              <w:t>of the U.S. population has access to average download speeds equal to 35 Mbps, was confirmed using the drive test methodology agreed to and approved by the FCC and overseen by an independent monitor.</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 these licenses, we must offer 5G broadband service to at least 75%</w:t>
            </w:r>
            <w:r>
              <w:rPr>
                <w:caps w:val="false"/>
                <w:smallCaps w:val="false"/>
              </w:rPr>
              <w:t xml:space="preserve"> </w:t>
            </w:r>
            <w:r>
              <w:rPr>
                <w:rFonts w:ascii="Times New Roman;Times;serif" w:hAnsi="Times New Roman;Times;serif"/>
                <w:b w:val="false"/>
                <w:i w:val="false"/>
                <w:caps w:val="false"/>
                <w:smallCaps w:val="false"/>
                <w:sz w:val="20"/>
              </w:rPr>
              <w:t>of the population in each Partial Economic Area (which is a service area established by the FCC) by this date. We have also acquired certain additional 600 MHz licenses through private transactions. These licenses are currently subject to their original FCC buildout deadlines.</w:t>
            </w:r>
          </w:p>
        </w:tc>
      </w:tr>
    </w:tbl>
    <w:tbl>
      <w:tblPr>
        <w:tblW w:w="8882" w:type="dxa"/>
        <w:jc w:val="left"/>
        <w:tblInd w:w="0" w:type="dxa"/>
        <w:tblLayout w:type="fixed"/>
        <w:tblCellMar>
          <w:top w:w="0" w:type="dxa"/>
          <w:left w:w="0" w:type="dxa"/>
          <w:bottom w:w="0" w:type="dxa"/>
          <w:right w:w="0" w:type="dxa"/>
        </w:tblCellMar>
      </w:tblPr>
      <w:tblGrid>
        <w:gridCol w:w="346"/>
        <w:gridCol w:w="85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a variety of build-out options and associated build-out metrics associated with these licenses.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 these licenses, we must provide reliable signal coverage and offer service to at least 75%</w:t>
            </w:r>
            <w:r>
              <w:rPr>
                <w:caps w:val="false"/>
                <w:smallCaps w:val="false"/>
              </w:rPr>
              <w:t xml:space="preserve"> </w:t>
            </w:r>
            <w:r>
              <w:rPr>
                <w:rFonts w:ascii="Times New Roman;Times;serif" w:hAnsi="Times New Roman;Times;serif"/>
                <w:b w:val="false"/>
                <w:i w:val="false"/>
                <w:caps w:val="false"/>
                <w:smallCaps w:val="false"/>
                <w:sz w:val="20"/>
              </w:rPr>
              <w:t>of the population of each license area by this date. The AWS-3 interim build-out requirement was not met and as a result, the AWS-3 expiration date and the AWS-3 final build-out requirement have been accelerated by two years</w:t>
            </w:r>
            <w:r>
              <w:rPr>
                <w:caps w:val="false"/>
                <w:smallCaps w:val="false"/>
              </w:rPr>
              <w:t xml:space="preserve"> </w:t>
            </w:r>
            <w:r>
              <w:rPr>
                <w:rFonts w:ascii="Times New Roman;Times;serif" w:hAnsi="Times New Roman;Times;serif"/>
                <w:b w:val="false"/>
                <w:i w:val="false"/>
                <w:caps w:val="false"/>
                <w:smallCaps w:val="false"/>
                <w:sz w:val="20"/>
              </w:rPr>
              <w:t>(from October 2027 to October 2025) for each AWS-3 License area for which we did not meet the requirement.</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October 12, 2023, the FCC consented to the sale of Northstar Manager’s ownership interests in Northstar Spectrum, which we purchased for a total of approximately $109</w:t>
            </w:r>
            <w:r>
              <w:rPr>
                <w:caps w:val="false"/>
                <w:smallCaps w:val="false"/>
              </w:rPr>
              <w:t xml:space="preserve"> </w:t>
            </w:r>
            <w:r>
              <w:rPr>
                <w:rFonts w:ascii="Times New Roman;Times;serif" w:hAnsi="Times New Roman;Times;serif"/>
                <w:b w:val="false"/>
                <w:i w:val="false"/>
                <w:caps w:val="false"/>
                <w:smallCaps w:val="false"/>
                <w:sz w:val="20"/>
              </w:rPr>
              <w:t>million. This purchase resulted in the elimination of all of our noncontrolling investment as it related to Northstar Spectrum as of the purchase date and we continue to consolidate the Northstar Entities as wholly-owned subsidiaries.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Subsequent to December 31, 2023, the FCC consented to the sale of SNR Wireless Management’s ownership interests in SNR HoldCo, which was purchased by our parent’s direct wholly-owned subsidiary EchoStar SNR HoldCo L.L.C. for a total of approximately $442</w:t>
            </w:r>
            <w:r>
              <w:rPr>
                <w:caps w:val="false"/>
                <w:smallCaps w:val="false"/>
              </w:rPr>
              <w:t xml:space="preserve"> </w:t>
            </w:r>
            <w:r>
              <w:rPr>
                <w:rFonts w:ascii="Times New Roman;Times;serif" w:hAnsi="Times New Roman;Times;serif"/>
                <w:b w:val="false"/>
                <w:i w:val="false"/>
                <w:caps w:val="false"/>
                <w:smallCaps w:val="false"/>
                <w:sz w:val="20"/>
              </w:rPr>
              <w:t>million on February 16, 2024. This purchase resulted in the conversion of our outstanding redeemable noncontrolling interest as it relates to SNR HoldCo to noncontrolling interest, which is now held by our parent, EchoStar, as of the purchase date.</w:t>
            </w:r>
          </w:p>
        </w:tc>
      </w:tr>
    </w:tbl>
    <w:tbl>
      <w:tblPr>
        <w:tblW w:w="3377" w:type="dxa"/>
        <w:jc w:val="left"/>
        <w:tblInd w:w="0" w:type="dxa"/>
        <w:tblLayout w:type="fixed"/>
        <w:tblCellMar>
          <w:top w:w="0" w:type="dxa"/>
          <w:left w:w="0" w:type="dxa"/>
          <w:bottom w:w="0" w:type="dxa"/>
          <w:right w:w="0" w:type="dxa"/>
        </w:tblCellMar>
      </w:tblPr>
      <w:tblGrid>
        <w:gridCol w:w="451"/>
        <w:gridCol w:w="2926"/>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2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for further information.</w:t>
            </w:r>
          </w:p>
        </w:tc>
      </w:tr>
    </w:tbl>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Commercialization of Our Wireless Spectrum Licenses and Related Assets. </w:t>
      </w:r>
      <w:r>
        <w:rPr>
          <w:rFonts w:ascii="Times New Roman;Times;serif" w:hAnsi="Times New Roman;Times;serif"/>
          <w:sz w:val="20"/>
        </w:rPr>
        <w:t xml:space="preserve">We plan to commercialize our Wireless spectrum licenses through our 5G Network Deployment. </w:t>
      </w:r>
      <w:r>
        <w:rPr>
          <w:rFonts w:ascii="Times New Roman;Times;serif" w:hAnsi="Times New Roman;Times;serif"/>
          <w:spacing w:val="-2"/>
          <w:sz w:val="20"/>
        </w:rPr>
        <w:t xml:space="preserve">We have committed to deploy our 5G Network capable of serving increasingly larger portions of the U.S. population at different deadlines, including 20% of the U.S. population by June 2022 and 70% </w:t>
      </w:r>
      <w:r>
        <w:rPr>
          <w:rFonts w:ascii="Times New Roman;Times;serif" w:hAnsi="Times New Roman;Times;serif"/>
          <w:sz w:val="20"/>
        </w:rPr>
        <w:t xml:space="preserve">of the U.S. population </w:t>
      </w:r>
      <w:r>
        <w:rPr>
          <w:rFonts w:ascii="Times New Roman;Times;serif" w:hAnsi="Times New Roman;Times;serif"/>
          <w:spacing w:val="-2"/>
          <w:sz w:val="20"/>
        </w:rPr>
        <w:t xml:space="preserve">by June 2023.  </w:t>
      </w:r>
      <w:r>
        <w:rPr>
          <w:rFonts w:ascii="Times New Roman;Times;serif" w:hAnsi="Times New Roman;Times;serif"/>
          <w:sz w:val="20"/>
        </w:rPr>
        <w:t xml:space="preserve">If by June 2023, we are offering 5G broadband service to at least 50% </w:t>
      </w:r>
      <w:r>
        <w:rPr>
          <w:rFonts w:ascii="Times New Roman;Times;serif" w:hAnsi="Times New Roman;Times;serif"/>
          <w:spacing w:val="-2"/>
          <w:sz w:val="20"/>
        </w:rPr>
        <w:t>of the U.S. population but less than 70% of the U.S. population</w:t>
      </w:r>
      <w:r>
        <w:rPr>
          <w:rFonts w:ascii="Times New Roman;Times;serif" w:hAnsi="Times New Roman;Times;serif"/>
          <w:sz w:val="20"/>
        </w:rPr>
        <w:t xml:space="preserve">, the 70% June 2023 deadline will be extended automatically to June 2025; however, as a result, we may, under certain circumstances, potentially be subject to certain penalties. </w:t>
      </w:r>
      <w:r>
        <w:rPr>
          <w:rFonts w:ascii="Times New Roman;Times;serif" w:hAnsi="Times New Roman;Times;serif"/>
          <w:spacing w:val="-2"/>
          <w:sz w:val="20"/>
        </w:rPr>
        <w:t xml:space="preserve">On June 14, 2022, we announced we had successfully reached our 20% population coverage requirement. </w:t>
      </w:r>
      <w:r>
        <w:rPr>
          <w:rFonts w:ascii="Times New Roman;Times;serif" w:hAnsi="Times New Roman;Times;serif"/>
          <w:sz w:val="20"/>
        </w:rPr>
        <w:t xml:space="preserve">In addition, we announced and certified to the FCC that as of June 14, 2023, we offer 5G broadband service to over 73% of the U.S. population, or more than 246 million Americans nationwide. On September 29, 2023, the FCC confirmed we have met all of our June 14, 2023 band-specific 5G deployment commitments, and two of our three nationwide 5G commitments. The single remaining 5G commitment, that at least 70% </w:t>
      </w:r>
      <w:r>
        <w:rPr>
          <w:rFonts w:ascii="Times New Roman;Times;serif" w:hAnsi="Times New Roman;Times;serif"/>
          <w:spacing w:val="-2"/>
          <w:sz w:val="20"/>
        </w:rPr>
        <w:t xml:space="preserve">of the U.S. population </w:t>
      </w:r>
      <w:r>
        <w:rPr>
          <w:rFonts w:ascii="Times New Roman;Times;serif" w:hAnsi="Times New Roman;Times;serif"/>
          <w:sz w:val="20"/>
        </w:rPr>
        <w:t xml:space="preserve">has access to average download speeds equal to 35 Mbps, was confirmed using the drive test methodology agreed to and approved by the FCC and overseen by an independent monitor. We now have the largest commercial deployment of 5G VoNR in the world reaching approximately 200 million Americans and 5G broadband service reaching approximately 250 million Americans. </w:t>
      </w:r>
      <w:r>
        <w:rPr>
          <w:rFonts w:ascii="Times New Roman;Times;serif" w:hAnsi="Times New Roman;Times;serif"/>
          <w:sz w:val="20"/>
          <w:shd w:fill="FFFFFF" w:val="clear"/>
        </w:rPr>
        <w:t xml:space="preserve">We currently expect capital expenditures, excluding capitalized interest, for our 5G Network Deployment to be approximately </w:t>
      </w:r>
      <w:r>
        <w:rPr>
          <w:rFonts w:ascii="Times New Roman;Times;serif" w:hAnsi="Times New Roman;Times;serif"/>
          <w:sz w:val="20"/>
        </w:rPr>
        <w:t>$10 billion, including amounts incurred in 2021, 2022 and 2023</w:t>
      </w:r>
      <w:r>
        <w:rPr>
          <w:rFonts w:ascii="Times New Roman;Times;serif" w:hAnsi="Times New Roman;Times;serif"/>
          <w:sz w:val="20"/>
          <w:shd w:fill="FFFFFF" w:val="clear"/>
        </w:rPr>
        <w:t>. See Note 2 for further information.</w:t>
      </w:r>
    </w:p>
    <w:p>
      <w:pPr>
        <w:pStyle w:val="TextBody"/>
        <w:bidi w:val="0"/>
        <w:spacing w:before="0" w:after="12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us providing 5G broadband service to over 50% of the U.S. population by June 14, 2023, the final build-out deadlines have been extended automatically to June 14, 2025 for us to offer 5G broadband service to at least 70% of the population in each Economic Area for the 700 MHz Licenses and AWS-4 Licenses and at least 75% of the population in each Economic Area for the H Block Licenses.</w:t>
      </w:r>
    </w:p>
    <w:p>
      <w:pPr>
        <w:pStyle w:val="TextBody"/>
        <w:bidi w:val="0"/>
        <w:spacing w:before="0" w:after="12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w:t>
      </w:r>
    </w:p>
    <w:p>
      <w:pPr>
        <w:pStyle w:val="TextBody"/>
        <w:bidi w:val="0"/>
        <w:spacing w:before="0" w:after="12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DISH Network Noncontrolling Investments in the Northstar Entities and the SNR Entities Related to AWS-3 Wireless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Noncontrolling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Recent Developments. </w:t>
      </w:r>
      <w:r>
        <w:rPr>
          <w:rFonts w:ascii="Times New Roman;Times;serif" w:hAnsi="Times New Roman;Times;serif"/>
          <w:sz w:val="20"/>
        </w:rPr>
        <w:t>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 Subsequent to December 31, 2023, the FCC consented to the sale of SNR Management’s ownership interests in SNR HoldCo, which was purchased by our parent’s direct wholly-owned subsidiary EchoStar SNR HoldCo L.L.C. for a total of approximately $442 million on February 16, 2024. This purchase resulted in the conversion of our outstanding redeemable noncontrolling interest as it relates to SNR HoldCo to noncontrolling interest, which is now held by our parent, EchoStar, as of the purchase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2015, through our wholly-owned subsidiaries American II and American III, we initially made over $10 billion in certain noncontrolling investments in Northstar Spectrum, the parent company of Northstar Wireless, and in SNR HoldCo, the parent company of SNR Wireless, respectively. Under the applicable accounting guidance in ASC 810, Northstar Spectrum and SNR HoldCo are considered VIEs and, based on the characteristics of the structure of these entities and in accordance with the applicable accounting guidance, we consolidate these entities into our financial statements. See Note 2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Northstar Investment</w:t>
      </w:r>
      <w:r>
        <w:rPr>
          <w:rFonts w:ascii="Times New Roman;Times;serif" w:hAnsi="Times New Roman;Times;serif"/>
          <w:sz w:val="20"/>
        </w:rPr>
        <w:t xml:space="preserve">. As of 2015, through American II, we owned a noncontrolling interest in Northstar Spectrum, which was comprised of 85% of the Class B Common Interests and 100% of the Class A Preferred Interests of Northstar Spectrum. Northstar Manager is the sole manager of Northstar Spectrum and owns a controlling interest in Northstar Spectrum, which was comprised of 15% of the Class B Common Interests of Northstar Spectrum. As of March 31, 2018, the total equity contributions from American II and Northstar Manager to Northstar Spectrum were approximately $7.621 billion and $133 million, respectively. As of March 31, 2018, the total loans from American II to Northstar Wireless under the Northstar Credit Agreement (as defined below) for payments to the FCC related to the Northstar Licenses (as defined below) were approximately $500 million. See below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Northstar Purchase Agreement</w:t>
      </w:r>
      <w:r>
        <w:rPr>
          <w:rFonts w:ascii="Times New Roman;Times;serif" w:hAnsi="Times New Roman;Times;serif"/>
          <w:sz w:val="20"/>
        </w:rPr>
        <w:t xml:space="preserve">. On December 30, 2020, through our wholly-owned subsidiary American II, we entered into a Purchase Agreement (the “Northstar Purchase Agreement”) with Northstar Manager and Northstar Spectrum, pursuant to which American II purchased 80% of Northstar Manager’s Class B Common Interests in Northstar Spectrum (the “Northstar Transaction”) for a purchase price of approximately $312 million.  As a result of the Northstar Transaction, through American II, we hold 97% of the Class B Common Interests in Northstar Spectrum and Northstar Manager holds 3% of the Class B Common Interests in Northstar Spectrum.  Other than the change in ownership percentage of Northstar Spectrum, the Northstar Transaction did not modify or amend in any way the existing arrangements between or among the Northstar parties.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SNR Investment.</w:t>
      </w:r>
      <w:r>
        <w:rPr>
          <w:rFonts w:ascii="Times New Roman;Times;serif" w:hAnsi="Times New Roman;Times;serif"/>
          <w:sz w:val="20"/>
        </w:rPr>
        <w:t xml:space="preserve"> As of 2015, through American III, we own a noncontrolling interest in SNR HoldCo, which is comprised of 85% of the Class B Common Interests and 100% of the Class A Preferred Interests of SNR HoldCo. SNR Management is the sole manager of SNR HoldCo and owns a controlling interest in SNR HoldCo, which is comprised of 15% of the Class B Common Interests of SNR HoldCo. As of March 31, 2018, the total equity contributions from American III and SNR Management to SNR HoldCo were approximately $5.590 billion and $93 million, respectively. As of March 31, 2018, the total loans from American III to SNR Wireless under the SNR Credit Agreement (as defined below) for payments to the FCC related to the SNR Licenses (as defined below) were approximately $500 million. See below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AWS-3 Auction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 Northstar Wireless was the winning bidder for AWS-3 Licenses with gross winning bid amounts totaling approximately $7.845 billion, which after taking into account a 25% bidding credit, was approximately $5.884 billion. SNR Wireless was the winning bidder for AWS-3 Licenses with gross winning bid amounts totaling approximately $5.482 billion, which after taking into account a 25% bidding credit, was approximately $4.112 billion. In addition to the net winning bids, SNR Wireless made a bid withdrawal payment of approximately $8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FCC Order and October 2015 Arrangements. </w:t>
      </w:r>
      <w:r>
        <w:rPr>
          <w:rFonts w:ascii="Times New Roman;Times;serif" w:hAnsi="Times New Roman;Times;serif"/>
          <w:sz w:val="20"/>
        </w:rPr>
        <w:t xml:space="preserve">On August 18, 2015, the FCC released a </w:t>
      </w:r>
      <w:r>
        <w:rPr>
          <w:rFonts w:ascii="Times New Roman;Times;serif" w:hAnsi="Times New Roman;Times;serif"/>
          <w:i/>
          <w:sz w:val="20"/>
        </w:rPr>
        <w:t>Memorandum Opinion and Order</w:t>
      </w:r>
      <w:r>
        <w:rPr>
          <w:rFonts w:ascii="Times New Roman;Times;serif" w:hAnsi="Times New Roman;Times;serif"/>
          <w:sz w:val="20"/>
        </w:rPr>
        <w:t xml:space="preserve">, FCC 15-104 (the “Order”) in which the FCC determined, among other things, that DISH Network has a controlling interest in, and is an affiliate of, Northstar Wireless and SNR Wireless, and therefore DISH Network’s revenues should be attributed to them, </w:t>
      </w:r>
      <w:r>
        <w:rPr>
          <w:rFonts w:ascii="Times New Roman;Times;serif" w:hAnsi="Times New Roman;Times;serif"/>
          <w:sz w:val="20"/>
          <w:shd w:fill="FFFFFF" w:val="clear"/>
        </w:rPr>
        <w:t>which</w:t>
      </w:r>
      <w:r>
        <w:rPr>
          <w:rFonts w:ascii="Times New Roman;Times;serif" w:hAnsi="Times New Roman;Times;serif"/>
          <w:sz w:val="20"/>
        </w:rPr>
        <w:t xml:space="preserve">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Times New Roman;Times;serif" w:hAnsi="Times New Roman;Times;serif"/>
          <w:i/>
          <w:sz w:val="20"/>
        </w:rPr>
        <w:t>de facto</w:t>
      </w:r>
      <w:r>
        <w:rPr>
          <w:rFonts w:ascii="Times New Roman;Times;serif" w:hAnsi="Times New Roman;Times;serif"/>
          <w:sz w:val="20"/>
        </w:rPr>
        <w:t xml:space="preserve"> control.  Northstar Wireless and SNR Wireless have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Letters Exchanged between Northstar Wireless and the FCC Wireless Bureau.</w:t>
      </w:r>
      <w:r>
        <w:rPr>
          <w:rFonts w:ascii="Times New Roman;Times;serif" w:hAnsi="Times New Roman;Times;serif"/>
          <w:sz w:val="20"/>
        </w:rPr>
        <w:t xml:space="preserve"> As outlined in letters exchanged between Northstar Wireless and the Wireless Telecommunications Bureau of the FCC (the “FCC Wireless Bureau”), Northstar Wireless paid the gross winning bid amounts for 261 AWS-3 Licenses (the “Northstar Licenses”) totaling approximately $5.619 billion through the application of funds already on deposit with the FCC. Northstar Wireless also notified the FCC that it would not be paying the gross winning bid amounts for 84 AWS-3 Licenses totaling approximately $2.226 billion. As a result of the nonpayment of those gross winning bid amounts, the FCC retained those licenses and Northstar Wireless owed the FCC an additional interim payment of approximately $334 million (the “Northstar Interim Payment”), which is equal to 15% of $2.226 billion. The Northstar Interim Payment was recorded as an expense during the fourth quarter of 2015. Northstar Wireless immediately satisfied the Northstar Interim Payment through the application of funds already on deposit with the FCC and an additional loan from American II of approximately $69 million. As a result, the FCC will not deem Northstar Wireless to be a “current defaulter” under applicable FCC rules.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FCC Wireless Bureau acknowledged that Northstar Wireless’ nonpayment of those gross winning bid amounts does not constitute action involving gross misconduct, misrepresentation or bad faith. Therefore, the FCC concluded that such nonpayment will not affect the eligibility of Northstar Wireless, its investors (including DISH Network) or their respective affiliates to participate in future spectrum auctions (including Auction 1000 and any re-auction of the AWS-3 licenses retained by the FCC).  At this time, DISH Network (through itself, a subsidiary or another entity in which it may hold a direct or indirect interest) expects to participate in any re-auction of those AWS-3 licenses.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winning bids from re-auction or other award of the AWS-3 licenses retained by the FCC are greater than or equal to the winning bids of Northstar Wireless, no additional amounts will be owed to the FCC. However, if those winning bids are less than the winning bids of Northstar Wireless, then Northstar Wireless will be responsible for the difference less any overpayment of the Northstar Interim Payment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 As discussed above, at this time, DISH Network (through itself, a subsidiary or another entity in which it may hold a direct or indirect interest) expects to participate in any re-auction. We cannot predict with any degree of certainty the timing or outcome of any re-auction or the amount of any Northstar Re-Auction Payment.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DISH Network Guaranty in Favor of the FCC for Certain Northstar Wireless Obligations</w:t>
      </w:r>
      <w:r>
        <w:rPr>
          <w:rFonts w:ascii="Times New Roman;Times;serif" w:hAnsi="Times New Roman;Times;serif"/>
          <w:sz w:val="20"/>
        </w:rPr>
        <w:t xml:space="preserve">. On October 1, 2015, DISH Network entered into a guaranty in favor of the FCC (the “FCC Northstar Guaranty”) with respect to the Northstar Interim Payment (which was satisfied on October 1, 2015) and any Northstar Re-Auction Payment. The FCC Northstar Guaranty provides, among other things, that during the period between the due date for the payments guaranteed under the FCC Northstar Guaranty and the date such guaranteed payments are paid: (i) Northstar Wireless’ payment obligations to American II under the Northstar Credit Agreement will be subordinated to such guaranteed payments; and (ii) DISH Network or American II will withhold exercising certain rights as a creditor of Northstar Wireless.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Letters Exchanged between SNR Wireless and the FCC Wireless Bureau.</w:t>
      </w:r>
      <w:r>
        <w:rPr>
          <w:rFonts w:ascii="Times New Roman;Times;serif" w:hAnsi="Times New Roman;Times;serif"/>
          <w:sz w:val="20"/>
        </w:rPr>
        <w:t xml:space="preserve"> As outlined in letters exchanged between SNR Wireless and the FCC Wireless Bureau, SNR Wireless paid the gross winning bid amounts for 244 AWS-3 Licenses (the “SNR Licenses”) totaling approximately $4.271 billion through the application of funds already on deposit with the FCC and a portion of an additional loan from American III in an aggregate amount of approximately $344 million (which included an additional bid withdrawal payment of approximately $3 million). SNR Wireless also notified the FCC that it would not be paying the gross winning bid amounts for 113 AWS-3 Licenses totaling approximately $1.211 billion.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the nonpayment of those gross winning bid amounts, the FCC retained those licenses and SNR Wireless owed the FCC an additional interim payment of approximately $182 million (the “SNR Interim Payment”), which is equal to 15% of $1.211 billion.  The SNR Interim Payment was recorded as an expense during the fourth quarter of 2015. SNR Wireless immediately satisfied the SNR Interim Payment through a portion of an additional loan from American III in an aggregate amount of approximately $344 million. As a result, the FCC will not deem SNR Wireless to be a “current defaulter” under applicable FCC rules.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FCC Wireless Bureau acknowledged that SNR Wireless’ nonpayment of those gross winning bid amounts does not constitute action involving gross misconduct, misrepresentation or bad faith. Therefore, the FCC concluded that such nonpayment will not affect the eligibility of SNR Wireless, its investors (including DISH Network) or their respective affiliates to participate in future spectrum auctions (including Auction 1000 and any re-auction of the AWS-3 licenses retained by the FCC). At this time, DISH Network (through itself, a subsidiary or another entity in which it may hold a direct or indirect interest) expects to participate in any re-auction of those AWS-3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winning bids from re-auction or other award of the AWS-3 licenses retained by the FCC are greater than or equal to the winning bids of SNR Wireless, no additional amounts will be owed to the FCC. However, if those winning bids are less than the winning bids of SNR Wireless, then SNR Wireless will be responsible for the difference less any overpayment of the SNR Interim Payment (which will be recalculated as 15% of the winning bids from re-auction or other award) (the “SNR Re-Auction Payment”). For example, if the winning bids in a re-auction are $1, the SNR Re-Auction Payment would be approximately $1.029 billion, which is calculated as the difference between $1.211 billion (the SNR winning bid amounts) and $1 (the winning bids from re-auction) less the resulting $182 million overpayment of the SNR Interim Payment. As discussed above, at this time, DISH Network (through itself, a subsidiary or another entity in which it may hold a direct or indirect interest) expects to participate in any re-auction. We cannot predict with any degree of certainty the timing or outcome of any re-auction or the amount of any SNR Re-Auction Payment.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2031" w:name="_Hlk528066171"/>
      <w:bookmarkEnd w:id="2031"/>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DISH Network Guaranty in Favor of the FCC for Certain SNR Wireless Obligations.</w:t>
      </w:r>
      <w:r>
        <w:rPr>
          <w:rFonts w:ascii="Times New Roman;Times;serif" w:hAnsi="Times New Roman;Times;serif"/>
          <w:sz w:val="20"/>
        </w:rPr>
        <w:t xml:space="preserve"> On October 1, 2015, DISH Network entered into a guaranty in favor of the FCC (the “FCC SNR Guaranty”) with respect to the SNR Interim Payment (which was satisfied on October 1, 2015) and any SNR Re-Auction Payment. The FCC SNR Guaranty provides, among other things, that during the period between the due date for the payments guaranteed under the FCC SNR Guaranty and the date such guaranteed payments are paid: (i) SNR Wireless’ payment obligations to American III under the SNR Credit Agreement will be subordinated to such guaranteed payments; and (ii) DISH Network or American III will withhold exercising certain rights as a creditor of SNR Wireless.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FCC Licenses.</w:t>
      </w:r>
      <w:r>
        <w:rPr>
          <w:rFonts w:ascii="Times New Roman;Times;serif" w:hAnsi="Times New Roman;Times;serif"/>
          <w:sz w:val="24"/>
        </w:rPr>
        <w:t xml:space="preserve"> </w:t>
      </w:r>
      <w:r>
        <w:rPr>
          <w:rFonts w:ascii="Times New Roman;Times;serif" w:hAnsi="Times New Roman;Times;serif"/>
          <w:sz w:val="20"/>
        </w:rPr>
        <w:t>On October 27, 2015, the FCC granted the Northstar Licenses to Northstar Wireless and the SNR Licenses to SNR Wireless, respectively, which are recorded in “Regulatory authorizations, net” on our Consolidated Balance Sheets. The AWS-3 Licenses are subject to certain interim and final build-out requirements. By October 2021, Northstar Wireless and SNR Wireless must provide reliable signal coverage and offer service to at least 40%</w:t>
      </w:r>
      <w:r>
        <w:rPr>
          <w:rFonts w:ascii="Times New Roman;Times;serif" w:hAnsi="Times New Roman;Times;serif"/>
          <w:sz w:val="24"/>
        </w:rPr>
        <w:t xml:space="preserve"> </w:t>
      </w:r>
      <w:r>
        <w:rPr>
          <w:rFonts w:ascii="Times New Roman;Times;serif" w:hAnsi="Times New Roman;Times;serif"/>
          <w:sz w:val="20"/>
        </w:rPr>
        <w:t>of the population in each area covered by an individual AWS-3 License (the “AWS-3 Interim Build-Out Requirement”). By October 2027, Northstar Wireless and SNR Wireless must provide reliable signal coverage and offer service to at least 75%</w:t>
      </w:r>
      <w:r>
        <w:rPr>
          <w:rFonts w:ascii="Times New Roman;Times;serif" w:hAnsi="Times New Roman;Times;serif"/>
          <w:sz w:val="24"/>
        </w:rPr>
        <w:t xml:space="preserve"> </w:t>
      </w:r>
      <w:r>
        <w:rPr>
          <w:rFonts w:ascii="Times New Roman;Times;serif" w:hAnsi="Times New Roman;Times;serif"/>
          <w:sz w:val="20"/>
        </w:rPr>
        <w:t>of the population in each area covered by an individual AWS-3 License (the “AWS-3 Final Build-Out Requirement”). The AWS-3 Interim Build-Out Requirement was not met and as a result, the AWS-3 License term and the AWS-3 Final Build-Out Requirement have been accelerated by two years</w:t>
      </w:r>
      <w:r>
        <w:rPr>
          <w:rFonts w:ascii="Times New Roman;Times;serif" w:hAnsi="Times New Roman;Times;serif"/>
          <w:sz w:val="24"/>
        </w:rPr>
        <w:t xml:space="preserve"> </w:t>
      </w:r>
      <w:r>
        <w:rPr>
          <w:rFonts w:ascii="Times New Roman;Times;serif" w:hAnsi="Times New Roman;Times;serif"/>
          <w:sz w:val="20"/>
        </w:rPr>
        <w:t xml:space="preserve">(from October 2027 to October 2025) for each AWS-3 License area in which Northstar Wireless and SNR Wireless did not meet the requirement.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AWS-3 Final Build-Out Requirement is not met, the authorization for each AWS-3 License area in which Northstar Wireless and SNR Wireless do not meet the requirement may terminate. These wireless spectrum licenses expire in October 2027 unless they are renewed by the FCC.  There can be no assurance that the FCC will renew these wireless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Qui Tam</w:t>
      </w:r>
      <w:r>
        <w:rPr>
          <w:rFonts w:ascii="Times New Roman;Times;serif" w:hAnsi="Times New Roman;Times;serif"/>
          <w:sz w:val="20"/>
        </w:rPr>
        <w:t>. On September 23, 2016, the United States District Court for the District of Columbia unsealed a qui tam complaint that was filed by Vermont National Telephone Company (“Vermont National”)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See “</w:t>
      </w:r>
      <w:r>
        <w:rPr>
          <w:rFonts w:ascii="Times New Roman;Times;serif" w:hAnsi="Times New Roman;Times;serif"/>
          <w:i/>
          <w:sz w:val="20"/>
        </w:rPr>
        <w:t xml:space="preserve">Contingencies – Litigation – Vermont National Telephone Company” </w:t>
      </w:r>
      <w:r>
        <w:rPr>
          <w:rFonts w:ascii="Times New Roman;Times;serif" w:hAnsi="Times New Roman;Times;serif"/>
          <w:sz w:val="20"/>
        </w:rPr>
        <w:t>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D.C. Circuit Court Opinion</w:t>
      </w:r>
      <w:r>
        <w:rPr>
          <w:rFonts w:ascii="Times New Roman;Times;serif" w:hAnsi="Times New Roman;Times;serif"/>
          <w:sz w:val="20"/>
        </w:rPr>
        <w:t>. On August 29, 2017, the United States Court of Appeals for the District of Columbia Circuit (the “D.C. Circuit”) in </w:t>
      </w:r>
      <w:r>
        <w:rPr>
          <w:rFonts w:ascii="Times New Roman;Times;serif" w:hAnsi="Times New Roman;Times;serif"/>
          <w:i/>
          <w:sz w:val="20"/>
        </w:rPr>
        <w:t>SNR Wireless LicenseCo, LLC, et al. v. Federal Communications Commission</w:t>
      </w:r>
      <w:r>
        <w:rPr>
          <w:rFonts w:ascii="Times New Roman;Times;serif" w:hAnsi="Times New Roman;Times;serif"/>
          <w:sz w:val="20"/>
        </w:rPr>
        <w:t xml:space="preserve">,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Order on Remand.</w:t>
      </w:r>
      <w:r>
        <w:rPr>
          <w:rFonts w:ascii="Times New Roman;Times;serif" w:hAnsi="Times New Roman;Times;serif"/>
          <w:sz w:val="20"/>
        </w:rPr>
        <w:t xml:space="preserve"> On January 24, 2018, the FCC released an Order on Remand, DA 18-70 (the “Order on 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Northstar Operative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Northstar LLC Agreement.</w:t>
      </w:r>
      <w:r>
        <w:rPr>
          <w:rFonts w:ascii="Times New Roman;Times;serif" w:hAnsi="Times New Roman;Times;serif"/>
          <w:sz w:val="20"/>
        </w:rPr>
        <w:t xml:space="preserve"> Northstar Spectrum is governed by a limited liability company agreement by and between American II and Northstar Manager (the “Northstar Spectrum LLC Agreement”). Pursuant to the Northstar Spectrum LLC Agreement, American II and Northstar Manager made pro-rata equity contributions in Northstar Spectrum.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31, 2018, American II, Northstar Spectrum, and Northstar Manager amended and restated the Northstar Spectrum LLC Agreement, to, among other things: (i) exchange $6.870 billion of the amounts outstanding and owed by Northstar Wireless to American II pursuant to the Northstar Credit Agreement (as defined below) for 6,870,493 Class A Preferred Interests in Northstar Spectrum (the “Northstar Preferred Interests”); (ii) replace the existing investor protection provisions with the investor protections described by the FCC in Baker Creek Communications, LLC, Memorandum Opinion and Order, 13 FCC Rcd 18709, 18715 (1998); (iii) delete the obligation of Northstar Manager to consult with American II regarding budgets and business plans; and (iv) remove the requirement that Northstar Spectrum’s systems be interoperable with ours.  The Northstar Preferred Interests: (a) are non-voting; (b) have a 12 percent mandatory quarterly distribution, which can be paid in cash or additional face amount of Northstar Preferred Interests at the sole discretion of Northstar Manager; and (c) have a liquidation preference equal to the then-current face amount of the Northstar Preferred Interests plus accrued and unpaid mandatory quarterly distributions in the event of certain liquidation events or deemed liquidation events (e.g., a merger or dissolution of Northstar Spectrum, or a sale of substantially all of Northstar Spectrum’s assets).  As a result of the exchange noted in (i) above, a principal amount of $500 million of debt remains under the Northstar Credit Agreement, as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June 7, 2018, American II, Northstar Spectrum, and Northstar Manager amended and restated the Second Amended and Restated Limited Liability Company Agreement, dated March 31, 2018, by and among American II, Northstar Spectrum, and Northstar Manager, to, among other things: (i) reduce the mandatory quarterly distribution for the Northstar Preferred Interests from 12</w:t>
      </w:r>
      <w:r>
        <w:rPr>
          <w:rFonts w:ascii="Times New Roman;Times;serif" w:hAnsi="Times New Roman;Times;serif"/>
          <w:sz w:val="24"/>
        </w:rPr>
        <w:t xml:space="preserve"> </w:t>
      </w:r>
      <w:r>
        <w:rPr>
          <w:rFonts w:ascii="Times New Roman;Times;serif" w:hAnsi="Times New Roman;Times;serif"/>
          <w:sz w:val="20"/>
        </w:rPr>
        <w:t>percent to eight</w:t>
      </w:r>
      <w:r>
        <w:rPr>
          <w:rFonts w:ascii="Times New Roman;Times;serif" w:hAnsi="Times New Roman;Times;serif"/>
          <w:sz w:val="24"/>
        </w:rPr>
        <w:t xml:space="preserve"> </w:t>
      </w:r>
      <w:r>
        <w:rPr>
          <w:rFonts w:ascii="Times New Roman;Times;serif" w:hAnsi="Times New Roman;Times;serif"/>
          <w:sz w:val="20"/>
        </w:rPr>
        <w:t>percent from and after June 7, 2018; (ii) increase the window for Northstar Manager to “put” its interest in Northstar Spectrum to Northstar Spectrum after October 27, 2020 from 30 days</w:t>
      </w:r>
      <w:r>
        <w:rPr>
          <w:rFonts w:ascii="Times New Roman;Times;serif" w:hAnsi="Times New Roman;Times;serif"/>
          <w:sz w:val="24"/>
        </w:rPr>
        <w:t xml:space="preserve"> </w:t>
      </w:r>
      <w:r>
        <w:rPr>
          <w:rFonts w:ascii="Times New Roman;Times;serif" w:hAnsi="Times New Roman;Times;serif"/>
          <w:sz w:val="20"/>
        </w:rPr>
        <w:t xml:space="preserve">to 90 days; (iii) provide an additional 90-day window for Northstar Manager to put its interest in Northstar Spectrum to Northstar Spectrum commencing on October 27, 2021; (iv) provide a right for Northstar Manager to require an appraisal of the fair market value of its interest in Northstar Spectrum at any time from October 27, 2022 through October 27, 2024, coupled with American II having the right to accept the offer to sell from Northstar Manager; (v) allow Northstar Manager to sell its interest in Northstar Spectrum without American II’s consent any time after October 27, 2020 (previously October 27, 2025); (vi) allow Northstar Spectrum to conduct an initial public offering without American II’s consent any time after October 27, 2022 (previously October 27, 2029); (vii) remove American II’s rights of first refusal with respect to Northstar Manager’s sale of its interest in Northstar Spectrum or Northstar Spectrum’s sale of any AWS-3 Licenses; and (viii) remove American II’s tag along rights with respect to Northstar Manager’s sale of its interest in Northstar Spectrum. Northstar Manager had the right to put its interest in Northstar Spectrum to Northstar Spectrum for a </w:t>
      </w:r>
      <w:r>
        <w:rPr>
          <w:rFonts w:ascii="Times New Roman;Times;serif" w:hAnsi="Times New Roman;Times;serif"/>
          <w:b w:val="false"/>
          <w:i w:val="false"/>
          <w:caps w:val="false"/>
          <w:smallCaps w:val="false"/>
          <w:sz w:val="20"/>
        </w:rPr>
        <w:t>90</w:t>
      </w:r>
      <w:r>
        <w:rPr>
          <w:rFonts w:ascii="Times New Roman;Times;serif" w:hAnsi="Times New Roman;Times;serif"/>
          <w:sz w:val="20"/>
        </w:rPr>
        <w:t xml:space="preserve">-day period beginning October 27, 2020, which Northstar Manager waived in connection with the Northstar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January 24, 2022, American II, Northstar Spectrum, and Northstar Manager amended and restated the Third Amended and Restated Limited Liability Company Agreement, dated June 7, 2018, by and among American II, Northstar Spectrum, and Northstar Manager, to, among other things: (i) increase the second window for Northstar Manager to “put” its interest in Northstar Spectrum to Northstar Spectrum after October 27, 2021 from 90 days</w:t>
      </w:r>
      <w:r>
        <w:rPr>
          <w:rFonts w:ascii="Times New Roman;Times;serif" w:hAnsi="Times New Roman;Times;serif"/>
          <w:sz w:val="24"/>
        </w:rPr>
        <w:t xml:space="preserve"> </w:t>
      </w:r>
      <w:r>
        <w:rPr>
          <w:rFonts w:ascii="Times New Roman;Times;serif" w:hAnsi="Times New Roman;Times;serif"/>
          <w:sz w:val="20"/>
        </w:rPr>
        <w:t xml:space="preserve">to 270 days.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July 22, 2022, American II, Northstar Spectrum, and Northstar Manager amended and restated the Third Amended and Restated Limited Liability Company Agreement, dated June 7, 2018, by and among American II, Northstar Spectrum, and Northstar Manager, to, among other things, increase the second window for Northstar Manager to “put” its interest in Northstar Spectrum to Northstar Spectrum after July 24, 2022 from 270 days</w:t>
      </w:r>
      <w:r>
        <w:rPr>
          <w:rFonts w:ascii="Times New Roman;Times;serif" w:hAnsi="Times New Roman;Times;serif"/>
          <w:sz w:val="24"/>
        </w:rPr>
        <w:t xml:space="preserve"> </w:t>
      </w:r>
      <w:r>
        <w:rPr>
          <w:rFonts w:ascii="Times New Roman;Times;serif" w:hAnsi="Times New Roman;Times;serif"/>
          <w:sz w:val="20"/>
        </w:rPr>
        <w:t xml:space="preserve">to 360 days. </w:t>
      </w:r>
    </w:p>
    <w:p>
      <w:pPr>
        <w:pStyle w:val="TextBody"/>
        <w:bidi w:val="0"/>
        <w:spacing w:before="0" w:after="0"/>
        <w:ind w:left="0" w:right="0" w:hanging="0"/>
        <w:jc w:val="left"/>
        <w:rPr/>
      </w:pPr>
      <w:r>
        <w:rPr/>
        <w:t>​</w:t>
      </w:r>
    </w:p>
    <w:p>
      <w:pPr>
        <w:pStyle w:val="TextBody"/>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On October 21, 2022, we, through our wholly-owned subsidiary American II received notice that Northstar Manager exercised the Northstar Put Right effective as of October 21, 2022.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Northstar Wireless Credit Agreement.</w:t>
      </w:r>
      <w:r>
        <w:rPr>
          <w:rFonts w:ascii="Times New Roman;Times;serif" w:hAnsi="Times New Roman;Times;serif"/>
          <w:sz w:val="20"/>
        </w:rPr>
        <w:t xml:space="preserve"> On October 1, 2015, American II, Northstar Wireless and Northstar Spectrum amended the First Amended and Restated Credit Agreement dated October 13, 2014, by and among American II, as Lender, Northstar Wireless, as Borrower, and Northstar Spectrum, as Guarantor (as amended, the “Northstar Credit Agreement”), to provide, among other things, that: (i) the Northstar Interim Payment and any Northstar Re-Auction Payment will be made by American II directly to the FCC and will be deemed as loans under the Northstar Credit Agreement; (ii) the FCC is a third-party beneficiary with respect to American II’s obligation to pay the Northstar Interim Payment and any Northstar Re-Auction Payment; (iii) in the event that the winning bids from re-auction or other award of the AWS-3 licenses retained by the FCC are less than the winning bids of Northstar Wireless, the purchaser, assignee or transferee of any AWS-3 Licenses from Northstar Wireless is obligated to pay its pro-rata share of the difference (and Northstar Wireless remains jointly and severally liable for such pro-rata share); and (iv) during the period between the due date for the payments guaranteed under the FCC Northstar Guaranty (as discussed below) and the date such guaranteed payments are paid, Northstar Wireless’ payment obligations to American II under the Northstar Credit Agreement will be subordinated to such guaranteed payments.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31, 2018, American II, Northstar Wireless, and Northstar Spectrum amended and restated the Northstar Credit Agreement, to, among other things: (i) lower the interest rate on the remaining $500 million principal balance under the Northstar Credit Agreement from 12 percent per annum to six percent per annum; (ii) eliminate the higher interest rate that would apply in the case of an event of default; and (iii) modify and/or remove certain obligations of Northstar Wireless to prepay the outstanding loan amounts.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June 7, 2018, American II, Northstar Wireless, and Northstar Spectrum amended and restated the Northstar Credit Agreement to, among other things: (i) extend the maturity date on the remaining loan balance from seven years</w:t>
      </w:r>
      <w:r>
        <w:rPr>
          <w:rFonts w:ascii="Times New Roman;Times;serif" w:hAnsi="Times New Roman;Times;serif"/>
          <w:sz w:val="24"/>
        </w:rPr>
        <w:t xml:space="preserve"> </w:t>
      </w:r>
      <w:r>
        <w:rPr>
          <w:rFonts w:ascii="Times New Roman;Times;serif" w:hAnsi="Times New Roman;Times;serif"/>
          <w:sz w:val="20"/>
        </w:rPr>
        <w:t>to ten years; and (ii) remove the obligation of Northstar Wireless to obtain American II’s consent for unsecured financing and equipment financing in excess of $25</w:t>
      </w:r>
      <w:r>
        <w:rPr>
          <w:rFonts w:ascii="Times New Roman;Times;serif" w:hAnsi="Times New Roman;Times;serif"/>
          <w:sz w:val="24"/>
        </w:rPr>
        <w:t xml:space="preserve"> </w:t>
      </w:r>
      <w:r>
        <w:rPr>
          <w:rFonts w:ascii="Times New Roman;Times;serif" w:hAnsi="Times New Roman;Times;serif"/>
          <w:sz w:val="20"/>
        </w:rPr>
        <w:t>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SNR Operative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SNR LLC Agreement</w:t>
      </w:r>
      <w:r>
        <w:rPr>
          <w:rFonts w:ascii="Times New Roman;Times;serif" w:hAnsi="Times New Roman;Times;serif"/>
          <w:sz w:val="20"/>
        </w:rPr>
        <w:t xml:space="preserve">. SNR HoldCo is governed by a limited liability company agreement by and between American III and SNR Management (the “SNR HoldCo LLC Agreement”). Pursuant to the SNR HoldCo LLC Agreement, American III and SNR Management made pro-rata equity contributions in SNR HoldCo.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31, 2018, American III, SNR Holdco, SNR Wireless Management, and John Muleta amended and restated the SNR HoldCo LLC Agreement, to, among other things: (i) exchange $5.065 billion of the amounts outstanding and owed by SNR Wireless to American III pursuant to the SNR Credit Agreement (as defined below) for 5,065,415 Class A Preferred Interests in SNR Holdco (the “SNR Preferred Interests”); (ii) replace the existing investor protection provisions with the investor protections described by the FCC in Baker Creek Communications, LLC, Memorandum Opinion and Order, 13 FCC Rcd 18709, 18715 (1998); (iii) delete the obligation of SNR Management to consult with American III regarding budgets and business plans; and (iv) remove the requirement that SNR Management’s systems be interoperable with ours.  The SNR Preferred Interests: (a) are non-voting; (b) have a 12 percent mandatory quarterly distribution, which can be paid in cash or additional face amount of SNR Preferred Interests at the sole discretion of SNR Management; and (c) have a liquidation preference equal to the then-current face amount of the SNR Preferred Interests plus accrued and unpaid mandatory quarterly distributions in the event of certain liquidation events or deemed liquidation events (e.g., a merger or dissolution of SNR Holdco, or a sale of substantially all of SNR Holdco’s assets).  As a result of the exchange noted in (i) above, a principal amount of $500 million of debt remains under the SNR Credit Agreement, as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June 7, 2018, American III, SNR Holdco, SNR Management, and John Muleta amended and restated the Second Amended and Restated Limited Liability Company Agreement, dated March 31, 2018, by and among American III, SNR Holdco, SNR Management and John Muleta, to, among other things: (i) reduce the mandatory quarterly distribution for the SNR Preferred Interests from 12</w:t>
      </w:r>
      <w:r>
        <w:rPr>
          <w:rFonts w:ascii="Times New Roman;Times;serif" w:hAnsi="Times New Roman;Times;serif"/>
          <w:sz w:val="24"/>
        </w:rPr>
        <w:t xml:space="preserve"> </w:t>
      </w:r>
      <w:r>
        <w:rPr>
          <w:rFonts w:ascii="Times New Roman;Times;serif" w:hAnsi="Times New Roman;Times;serif"/>
          <w:sz w:val="20"/>
        </w:rPr>
        <w:t>percent to eight</w:t>
      </w:r>
      <w:r>
        <w:rPr>
          <w:rFonts w:ascii="Times New Roman;Times;serif" w:hAnsi="Times New Roman;Times;serif"/>
          <w:sz w:val="24"/>
        </w:rPr>
        <w:t xml:space="preserve"> </w:t>
      </w:r>
      <w:r>
        <w:rPr>
          <w:rFonts w:ascii="Times New Roman;Times;serif" w:hAnsi="Times New Roman;Times;serif"/>
          <w:sz w:val="20"/>
        </w:rPr>
        <w:t>percent from and after June 7, 2018; (ii) increase the window for SNR Management to “put” its interest in SNR Holdco to SNR Holdco after October 27, 2020 from 30 days</w:t>
      </w:r>
      <w:r>
        <w:rPr>
          <w:rFonts w:ascii="Times New Roman;Times;serif" w:hAnsi="Times New Roman;Times;serif"/>
          <w:sz w:val="24"/>
        </w:rPr>
        <w:t xml:space="preserve"> </w:t>
      </w:r>
      <w:r>
        <w:rPr>
          <w:rFonts w:ascii="Times New Roman;Times;serif" w:hAnsi="Times New Roman;Times;serif"/>
          <w:sz w:val="20"/>
        </w:rPr>
        <w:t xml:space="preserve">to 90 days; (iii) provide an additional 90-day window for SNR Management to put its interest in SNR Holdco to SNR Holdco commencing on October 27, 2021; (iv) provide a right for SNR Management to require an appraisal of the fair market value of its interest in SNR Holdco at any time from October 27, 2022 through October 27, 2024, coupled with American III having the right to accept the offer to sell from SNR Management; (v) allow SNR Management to sell its interest in SNR Holdco without American III’s consent any time after October 27, 2020 (previously October 27, 2025); (vi) allow SNR Holdco to conduct an initial public offering without American III’s consent any time after October 27, 2022 (previously October 27, 2029); (vii) remove American III’s rights of first refusal with respect to SNR Management’s sale of its interest in SNR Holdco or SNR Holdco’s sale of any AWS-3 Licenses; and (viii) remove American III’s tag along rights with respect to SNR Management’s sale of its interest in SNR Holdco. SNR Management had the right to put its interest in SNR Holdco to SNR Holdco for a </w:t>
      </w:r>
      <w:r>
        <w:rPr>
          <w:rFonts w:ascii="Times New Roman;Times;serif" w:hAnsi="Times New Roman;Times;serif"/>
          <w:b w:val="false"/>
          <w:i w:val="false"/>
          <w:caps w:val="false"/>
          <w:smallCaps w:val="false"/>
          <w:sz w:val="20"/>
        </w:rPr>
        <w:t>90</w:t>
      </w:r>
      <w:r>
        <w:rPr>
          <w:rFonts w:ascii="Times New Roman;Times;serif" w:hAnsi="Times New Roman;Times;serif"/>
          <w:sz w:val="20"/>
        </w:rPr>
        <w:t>-day period from October 27, 2020. The First SNR Put Window closed in the first quarter of 2021, was not exercised and expired in January 2021.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On November 15, 2021, we, through our wholly-owned subsidiary American III received notice that SNR Management exercised the SNR Put Right effective as of November 15, 2021. Subsequent to December 31, 2023, the FCC consented to the sale of SNR Management’s ownership interests in SNR HoldCo, which was purchased by our parent’s direct wholly-owned subsidiary EchoStar SNR HoldCo L.L.C. for a total of approximately $442 million on February 16, 2024. This purchase resulted in the conversion of our outstanding redeemable noncontrolling interest as it relates to SNR HoldCo to noncontrolling interest, which is now held by our parent, EchoStar, as of the purchase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SNR Credit Agreement</w:t>
      </w:r>
      <w:r>
        <w:rPr>
          <w:rFonts w:ascii="Times New Roman;Times;serif" w:hAnsi="Times New Roman;Times;serif"/>
          <w:sz w:val="20"/>
        </w:rPr>
        <w:t xml:space="preserve">. On October 1, 2015, American III, SNR Wireless and SNR HoldCo amended the First Amended and Restated Credit Agreement dated October 13, 2014, by and among American III, as Lender, SNR Wireless, as Borrower, and SNR HoldCo, as Guarantor (as amended, the “SNR Credit Agreement”), to provide, among other things, that: (i) the SNR Interim Payment and any SNR Re-Auction Payment will be made by American III directly to the FCC and will be deemed as loans under the SNR Credit Agreement; (ii) the FCC is a third-party beneficiary with respect to American III’s obligation to pay the SNR Interim Payment and any SNR Re-Auction Payment; (iii) in the event that the winning bids from re-auction or other award of the AWS-3 licenses retained by the FCC are less than the winning bids of SNR Wireless, the purchaser, assignee or transferee of any AWS-3 Licenses from SNR Wireless is obligated to pay its pro-rata share of the difference (and SNR Wireless remains jointly and severally liable for such pro-rata share); and (iv) during the period between the due date for the payments guaranteed under the FCC SNR Guaranty (as discussed below) and the date such guaranteed payments are paid, SNR Wireless’ payment obligations to American III under the SNR Credit Agreement will be subordinated to such guaranteed payments.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31, 2018, American III, SNR Wireless, and SNR Holdco amended and restated the SNR Credit Agreement, to, among other things: (i) lower the interest rate on the remaining $500 million principal balance under the SNR Credit Agreement from 12 percent per annum to six percent per annum; (ii) eliminate the higher interest rate that would apply in the case of an event of default; and (iii) modify and/or remove certain obligations of SNR Wireless to prepay the outstanding loan amounts.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June 7, 2018, American III, SNR Wireless, and SNR Holdco amended and restated the SNR Credit Agreement to, among other things: (i) extend the maturity date on the remaining loan balance from seven years</w:t>
      </w:r>
      <w:r>
        <w:rPr>
          <w:rFonts w:ascii="Times New Roman;Times;serif" w:hAnsi="Times New Roman;Times;serif"/>
          <w:sz w:val="24"/>
        </w:rPr>
        <w:t xml:space="preserve"> </w:t>
      </w:r>
      <w:r>
        <w:rPr>
          <w:rFonts w:ascii="Times New Roman;Times;serif" w:hAnsi="Times New Roman;Times;serif"/>
          <w:sz w:val="20"/>
        </w:rPr>
        <w:t>to ten years; and (ii) remove the obligation of SNR Wireless to obtain American III’s consent for unsecured financing and equipment financing in excess of $25</w:t>
      </w:r>
      <w:r>
        <w:rPr>
          <w:rFonts w:ascii="Times New Roman;Times;serif" w:hAnsi="Times New Roman;Times;serif"/>
          <w:sz w:val="24"/>
        </w:rPr>
        <w:t xml:space="preserve"> </w:t>
      </w:r>
      <w:r>
        <w:rPr>
          <w:rFonts w:ascii="Times New Roman;Times;serif" w:hAnsi="Times New Roman;Times;serif"/>
          <w:sz w:val="20"/>
        </w:rPr>
        <w:t>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Satellite Insurance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generally do not carry commercial launch or in-orbit insurance on any of the satellites we own. We generally do not use commercial insurance to mitigate the potential financial impact of launch or in-orbit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Purchase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2024 purchase obligations primarily consist of binding purchase orders for certain fixed contractual commitments to purchase programming content, receiver systems and related equipment, broadband equipment, digital broadcast operations, transmission costs, streaming delivery technology and infrastructure, engineering services, and other products and services. In addition, our 2024 purchase obligations also include wireless devices related to our Retail Wireless business. Our purchase obligations may fluctuate significantly from period to period due to, among other things, management’s timing of payments and inventory purchases, which can materially impact our future operating asset and liability balances, and our future working capital requirements. Furthermore, our 2023 purchase obligations related to certain 5G Network Deployment commitments are included in “Other long-term obligations” in the “Commitments” table above.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2032" w:name="_Hlk535413533"/>
      <w:bookmarkEnd w:id="2032"/>
      <w:r>
        <w:rPr>
          <w:rFonts w:ascii="Times New Roman;Times;serif" w:hAnsi="Times New Roman;Times;serif"/>
          <w:i/>
          <w:sz w:val="20"/>
        </w:rPr>
        <w:t>Programming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In the normal course of business, we enter into contracts to purchase programming content in which our payment obligations are generally contingent on the number of Pay-TV subscribers to whom we provide the respective content. These programming commitments are not included in the “Commitments” table above. The terms of our contracts typically range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ten years</w:t>
      </w:r>
      <w:r>
        <w:rPr>
          <w:rFonts w:ascii="Times New Roman;Times;serif" w:hAnsi="Times New Roman;Times;serif"/>
          <w:sz w:val="24"/>
        </w:rPr>
        <w:t xml:space="preserve"> </w:t>
      </w:r>
      <w:r>
        <w:rPr>
          <w:rFonts w:ascii="Times New Roman;Times;serif" w:hAnsi="Times New Roman;Times;serif"/>
          <w:sz w:val="20"/>
        </w:rPr>
        <w:t>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Patents and Intellectual Property</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2033" w:name="_Hlk511048725"/>
      <w:bookmarkEnd w:id="2033"/>
      <w:r>
        <w:rPr>
          <w:rFonts w:ascii="Times New Roman;Times;serif" w:hAnsi="Times New Roman;Times;serif"/>
          <w:i/>
          <w:sz w:val="20"/>
        </w:rPr>
        <w:t>ClearPlay,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13, 2014, ClearPlay, Inc. (“ClearPlay”) filed a complaint against EchoStar, us and our wholly-owned subsidiary DISH Network L.L.C., and EchoStar’s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EchoStar and us as defendants, leaving DISH Network L.L.C. and DISH Technologies L.L.C. as the sole defendants.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Data Breach Class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9, 2023, Susan Owen-Brooks, an alleged customer, filed a putative class action complaint against us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On behalf of the nationwide class, she alleges claims for contractual breaches, negligence and unjust enrichment (and, on behalf of the North Carolina subclass only, violation of the North Carolina Deceptive Trade Practices Act), and seeks monetary damages, injunctive relief and a declaratory judgment.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the plaintiffs filed a consolidated amended class action complaint.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shd w:fill="FFFFFF" w:val="clear"/>
        <w:bidi w:val="0"/>
        <w:spacing w:before="0" w:after="160"/>
        <w:ind w:left="0" w:right="0" w:hanging="0"/>
        <w:jc w:val="left"/>
        <w:rPr>
          <w:rFonts w:ascii="Times New Roman;Times;serif" w:hAnsi="Times New Roman;Times;serif"/>
          <w:i/>
          <w:color w:val="222222"/>
          <w:sz w:val="20"/>
        </w:rPr>
      </w:pPr>
      <w:r>
        <w:rPr>
          <w:rFonts w:ascii="Times New Roman;Times;serif" w:hAnsi="Times New Roman;Times;serif"/>
          <w:i/>
          <w:color w:val="222222"/>
          <w:sz w:val="20"/>
        </w:rPr>
        <w:t xml:space="preserve">Digital Broadcasting Solutions, LLC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w:t>
      </w:r>
      <w:r>
        <w:rPr>
          <w:rFonts w:ascii="Times New Roman;Times;serif" w:hAnsi="Times New Roman;Times;serif"/>
          <w:sz w:val="20"/>
          <w:shd w:fill="FFFFFF" w:val="clear"/>
        </w:rPr>
        <w:t>Generally, the plaintiff contends that the AutoHop feature of our Hopper</w:t>
      </w:r>
      <w:r>
        <w:rPr>
          <w:rFonts w:ascii="Times New Roman;Times;serif" w:hAnsi="Times New Roman;Times;serif"/>
          <w:sz w:val="20"/>
        </w:rPr>
        <w:t>®</w:t>
      </w:r>
      <w:r>
        <w:rPr>
          <w:rFonts w:ascii="Times New Roman;Times;serif" w:hAnsi="Times New Roman;Times;serif"/>
          <w:sz w:val="20"/>
          <w:shd w:fill="FFFFFF" w:val="clear"/>
        </w:rPr>
        <w:t xml:space="preserve"> set-top boxes infringes the asserted patents. </w:t>
      </w:r>
      <w:r>
        <w:rPr>
          <w:rFonts w:ascii="Times New Roman;Times;serif" w:hAnsi="Times New Roman;Times;serif"/>
          <w:sz w:val="20"/>
        </w:rPr>
        <w:t>On June 21, 2023, the Court granted the motion of DISH Network L.L.C. and DISH Technologies L.L.C. to have the case transferred to the United States District Court for the District of Colorado.</w:t>
      </w:r>
    </w:p>
    <w:p>
      <w:pPr>
        <w:pStyle w:val="TextBody"/>
        <w:bidi w:val="0"/>
        <w:spacing w:before="0" w:after="12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May 2023, DISH Network L.L.C. and DISH Technologies L.L.C. filed petitions with the United States Patent and Trademark Office challenging the validity of all claims of the 710 patent and the 122 patent and, on December 11, 2023, the United States Patent and Trademark Office entered decisions instituting each petition.</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shd w:fill="FFFFFF" w:val="clear"/>
        <w:bidi w:val="0"/>
        <w:spacing w:before="0" w:after="0"/>
        <w:ind w:left="0" w:right="0" w:hanging="0"/>
        <w:jc w:val="left"/>
        <w:rPr>
          <w:rFonts w:ascii="Times New Roman;Times;serif" w:hAnsi="Times New Roman;Times;serif"/>
          <w:i/>
          <w:color w:val="222222"/>
          <w:sz w:val="20"/>
        </w:rPr>
      </w:pPr>
      <w:r>
        <w:rPr>
          <w:rFonts w:ascii="Times New Roman;Times;serif" w:hAnsi="Times New Roman;Times;serif"/>
          <w:i/>
          <w:color w:val="222222"/>
          <w:sz w:val="20"/>
        </w:rPr>
        <w:t>Entropic Communications, LLC (first action)</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22222"/>
          <w:sz w:val="20"/>
        </w:rPr>
        <w:t xml:space="preserve">On March 9, 2022, Entropic Communications, LLC (“Entropic”) filed a complaint against us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On October 24, 2022, this case was ordered to be transferred to the United States District Court for the Central District of California. </w:t>
      </w:r>
      <w:r>
        <w:rPr>
          <w:rFonts w:ascii="Times New Roman;Times;serif" w:hAnsi="Times New Roman;Times;serif"/>
          <w:sz w:val="20"/>
        </w:rPr>
        <w:t>A companion case against DirecTV was also ordered transferred to the United States District Court for the Central District of California.</w:t>
      </w:r>
    </w:p>
    <w:p>
      <w:pPr>
        <w:pStyle w:val="TextBody"/>
        <w:shd w:fill="FFFFFF" w:val="clear"/>
        <w:bidi w:val="0"/>
        <w:spacing w:before="0" w:after="0"/>
        <w:ind w:left="0" w:right="0" w:hanging="0"/>
        <w:jc w:val="left"/>
        <w:rPr>
          <w:color w:val="222222"/>
        </w:rPr>
      </w:pPr>
      <w:r>
        <w:rPr>
          <w:color w:val="2222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January and February of 2023, DISH Network L.L.C. and Dish Network Service L.L.C. 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shd w:fill="FFFFFF" w:val="clear"/>
        <w:bidi w:val="0"/>
        <w:spacing w:before="0" w:after="160"/>
        <w:ind w:left="0" w:right="0" w:hanging="0"/>
        <w:jc w:val="left"/>
        <w:rPr>
          <w:rFonts w:ascii="Times New Roman;Times;serif" w:hAnsi="Times New Roman;Times;serif"/>
          <w:i/>
          <w:color w:val="222222"/>
          <w:sz w:val="20"/>
        </w:rPr>
      </w:pPr>
      <w:r>
        <w:rPr>
          <w:rFonts w:ascii="Times New Roman;Times;serif" w:hAnsi="Times New Roman;Times;serif"/>
          <w:i/>
          <w:color w:val="222222"/>
          <w:sz w:val="20"/>
        </w:rPr>
        <w:t>Entropic Communications, LLC (second 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10, 2023, Entropic filed a second lawsuit against us and our wholly-owned subsidiaries </w:t>
      </w:r>
      <w:r>
        <w:rPr>
          <w:rFonts w:ascii="Times New Roman;Times;serif" w:hAnsi="Times New Roman;Times;serif"/>
          <w:color w:val="222222"/>
          <w:sz w:val="20"/>
        </w:rPr>
        <w:t xml:space="preserve">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 </w:t>
      </w:r>
      <w:r>
        <w:rPr>
          <w:rFonts w:ascii="Times New Roman;Times;serif" w:hAnsi="Times New Roman;Times;serif"/>
          <w:sz w:val="20"/>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w:t>
      </w:r>
    </w:p>
    <w:p>
      <w:pPr>
        <w:pStyle w:val="TextBody"/>
        <w:shd w:fill="FFFFFF" w:val="clear"/>
        <w:bidi w:val="0"/>
        <w:spacing w:before="0" w:after="0"/>
        <w:ind w:left="0" w:right="0" w:hanging="0"/>
        <w:jc w:val="left"/>
        <w:rPr>
          <w:color w:val="222222"/>
        </w:rPr>
      </w:pPr>
      <w:r>
        <w:rPr>
          <w:color w:val="222222"/>
        </w:rPr>
        <w:t>​</w:t>
      </w:r>
    </w:p>
    <w:p>
      <w:pPr>
        <w:pStyle w:val="TextBody"/>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Freedom Patents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7, 2023, Freedom Patents LLC filed a complaint against us and our wholly-owned subsidiaries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Jones 401(k)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20, 2021, four former employees filed a class action complaint in the United States District Court for the District of Colorado against us, our Board of Directors at that time, and our Retirement Plan Committee at that time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Times New Roman;Times;serif" w:hAnsi="Times New Roman;Times;serif"/>
          <w:sz w:val="20"/>
          <w:shd w:fill="FFFFFF" w:val="clear"/>
        </w:rPr>
        <w:t>On February 1, 2023, a Magistrate Judge issued a recommendation that the defendants’ motion to dismiss the complaint be granted,</w:t>
      </w:r>
      <w:r>
        <w:rPr>
          <w:rFonts w:ascii="Times New Roman;Times;serif" w:hAnsi="Times New Roman;Times;serif"/>
          <w:sz w:val="20"/>
        </w:rPr>
        <w:t xml:space="preserve">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Lingam Securities Class Action (formerly Jaramillo)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23, 2023, a securities fraud class action complaint was filed against us and Messrs. Ergen, Carlson and Orban in the United States District Court for the District of Colorado. The complaint is brought on behalf of a putative class of purchasers of our securities during the February 22, 2021 to February 27, 2023 class period. In general, the complaint alleges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adds as individual defendants James S. Allen, our Senior Vice President and Chief Accounting Officer; John Swieringa, our President, Technology and Chief Operating Officer; Dave Mayo, our former Executive Vice President of Network Development; Marc Rouanne, our Executive Vice President and Chief Network Officer; and Stephen Bye, our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Realtime Data LLC and Realtime Adaptive Streaming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6, 2017, Realtime Data LLC d/b/a IXO (“Realtime”) filed an amended complaint in the United States District Court for the Eastern District of Texas (the “Original Texas Action”) against us;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19, 2017, the Court severed Realtime’s claims against us,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us,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neither we nor any of our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that appeal is now fully briefed and scheduled for oral argument on April 2, 2024.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2034" w:name="_DV_C1261"/>
      <w:bookmarkEnd w:id="2034"/>
      <w:r>
        <w:rPr>
          <w:rFonts w:ascii="Times New Roman;Times;serif" w:hAnsi="Times New Roman;Times;serif"/>
          <w:i/>
          <w:sz w:val="20"/>
        </w:rPr>
        <w:t>SafeCast Limited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27, 2022, SafeCast Limited filed a complaint against us in the United States District Court for the Western District of Texas. The complaint alleges that we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us transferred to the United States District Court for the District of Colorado. On December 1, 2022, SafeCast filed an amended complaint naming our wholly-owned subsidiaries DISH Network L.L.C. and DISH Technologies L.L.C. as defendants and withdrawing the allegations as to us. On June 22, 2023, DISH Network L.L.C. and DISH Technologies L.L.C. filed a petition with the United States Patent and Trademark Office challenging the validity of the asserted claims of the 302 patent. On August 28, 2023, the Court stayed the case pending resolution of the 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Sound View Innovations,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State of Illinois ex rel. Rodriguez</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TQ Delta,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17, 2015, TQ Delta, LLC (“TQ Delta”) filed a complaint against us and our wholly-owned subsidiaries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the United States Patent and Trademark Office confirmed the challenged claims of the 243 patent. In a proposed supplemental report, TQ Delta’s damages expert contends that TQ Delta is entitled to $251 million in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Uniloc 2017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On November 9, 2022, Uniloc filed a notice of appeal of that revised final written decision and briefing was completed on August 11,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Uniloc is an entity that seeks to license an acquired patent portfolio without itself practicing any of the claims recited therein.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2035" w:name="_Hlk528936618"/>
      <w:bookmarkEnd w:id="2035"/>
      <w:r>
        <w:rPr>
          <w:rFonts w:ascii="Times New Roman;Times;serif" w:hAnsi="Times New Roman;Times;serif"/>
          <w:i/>
          <w:sz w:val="20"/>
        </w:rPr>
        <w:t>Vermont National Telephone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23, 2016, the United States District Court for the District of Columbia unsealed a qui tam complaint that, on May 13, 2015, Vermont National filed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Times New Roman;Times;serif" w:hAnsi="Times New Roman;Times;serif"/>
          <w:i/>
          <w:sz w:val="20"/>
        </w:rPr>
        <w:t xml:space="preserve">SNR Wireless LicenseCo, LLC, et al. v. F.C.C. </w:t>
      </w:r>
      <w:r>
        <w:rPr>
          <w:rFonts w:ascii="Times New Roman;Times;serif" w:hAnsi="Times New Roman;Times;serif"/>
          <w:sz w:val="20"/>
        </w:rPr>
        <w:t>The D.C. Circuit issued its opinion on August 29, 2017 and remanded the matter to the FCC for further proceedings. See “</w:t>
      </w:r>
      <w:r>
        <w:rPr>
          <w:rFonts w:ascii="Times New Roman;Times;serif" w:hAnsi="Times New Roman;Times;serif"/>
          <w:i/>
          <w:sz w:val="20"/>
        </w:rPr>
        <w:t>Commitments – DISH Network Noncontrolling Investments in the Northstar Entities and the SNR Entities Related to AWS-3 Wireless Spectrum Licenses”</w:t>
      </w:r>
      <w:r>
        <w:rPr>
          <w:rFonts w:ascii="Times New Roman;Times;serif" w:hAnsi="Times New Roman;Times;serif"/>
          <w:sz w:val="20"/>
        </w:rPr>
        <w:t xml:space="preserve"> above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vigorously defend this case. We cannot predict with any degree of certainty the outcome of this proceeding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pStyle w:val="TextBody"/>
        <w:pBdr/>
        <w:bidi w:val="0"/>
        <w:spacing w:before="0" w:after="0"/>
        <w:ind w:left="0" w:right="0" w:hanging="432"/>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pBdr/>
        <w:bidi w:val="0"/>
        <w:spacing w:before="0" w:after="0"/>
        <w:ind w:left="0" w:right="0" w:hanging="432"/>
        <w:jc w:val="left"/>
        <w:rPr/>
      </w:pPr>
      <w:bookmarkStart w:id="2036" w:name="Tc_EMZygJ-6DEeXKOx4ihLO-A_9_5"/>
      <w:bookmarkStart w:id="2037" w:name="Tc_9YVGC5cl10ioYGz885rXQQ_9_2"/>
      <w:bookmarkStart w:id="2038" w:name="Tc_BmDSAUhOU0SlI7YsafhecA_9_0"/>
      <w:bookmarkStart w:id="2039" w:name="Tc_1aGFYxB1mU-4S7AVyDVXOw_8_0"/>
      <w:bookmarkStart w:id="2040" w:name="Tc_XoKdINqoZUyutQ4iukQoEg_7_0"/>
      <w:bookmarkStart w:id="2041" w:name="Tc_mHobng2FqEizmQPNU7FmyA_6_0"/>
      <w:bookmarkStart w:id="2042" w:name="Tc_zEARykfaUUuynOSkQ0Qrlw_5_5"/>
      <w:bookmarkStart w:id="2043" w:name="Tc_u6GHbCKtUUWl-5cgb4mhXg_5_2"/>
      <w:bookmarkStart w:id="2044" w:name="Tc_8-HW39CvfkOUgR0heZYG3A_5_0"/>
      <w:bookmarkStart w:id="2045" w:name="Tc_4jB4qFSc2Ey2s9LSBMLGQQ_4_0"/>
      <w:bookmarkStart w:id="2046" w:name="Tc_OYD6EQ6i8EedotidiW6cEA_3_2"/>
      <w:bookmarkStart w:id="2047" w:name="Tc__IFZqKY8pUm14Iv_-kLyhQ_2_5"/>
      <w:bookmarkStart w:id="2048" w:name="Tc_U4281Nf4A02NGJXoW6CNrA_2_2"/>
      <w:bookmarkStart w:id="2049" w:name="Tc_1gZlfw8mskeNAWmyp2KXvA_1_2"/>
      <w:bookmarkStart w:id="2050" w:name="_9c6f2b17_ba2a_40ab_bbd1_f9169a6b1608"/>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r>
        <w:rPr/>
        <w:t>​</w:t>
      </w:r>
    </w:p>
    <w:p>
      <w:pPr>
        <w:pStyle w:val="TextBody"/>
        <w:pBdr/>
        <w:bidi w:val="0"/>
        <w:spacing w:before="0" w:after="0"/>
        <w:ind w:left="0" w:right="0" w:hanging="432"/>
        <w:jc w:val="left"/>
        <w:rPr>
          <w:rFonts w:ascii="Times New Roman;Times;serif" w:hAnsi="Times New Roman;Times;serif"/>
          <w:b/>
          <w:sz w:val="20"/>
        </w:rPr>
      </w:pPr>
      <w:r>
        <w:rPr>
          <w:rFonts w:ascii="Times New Roman;Times;serif" w:hAnsi="Times New Roman;Times;serif"/>
          <w:b/>
          <w:sz w:val="20"/>
        </w:rPr>
        <w:t>14.    Segment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segments are components of an enterprise for which separate financial information is available and regularly evaluated by the chief operating decision maker(s) of an enterprise. Operating income is the primary measure used by our chief operating decision maker to evaluate segment operating performance. We currently operate three primary business segments: (1) Pay-TV; (2) Retail Wireless and (3) 5G Network Deployment. See Note 1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and eliminations primarily include intersegment eliminations related to intercompany debt and the related interest income and interest expense, which are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total assets, revenue and operating income, and purchases of property and equipment (including capitalized interest related to Regulatory authorizations) by segment were as follows: </w:t>
      </w:r>
    </w:p>
    <w:p>
      <w:pPr>
        <w:pStyle w:val="TextBody"/>
        <w:bidi w:val="0"/>
        <w:spacing w:before="0" w:after="0"/>
        <w:ind w:left="0" w:right="0" w:hanging="0"/>
        <w:jc w:val="left"/>
        <w:rPr>
          <w:shd w:fill="FFFF00" w:val="clear"/>
        </w:rPr>
      </w:pPr>
      <w:r>
        <w:rPr>
          <w:shd w:fill="FFFF00" w:val="clear"/>
        </w:rPr>
        <w:t>​</w:t>
      </w:r>
    </w:p>
    <w:tbl>
      <w:tblPr>
        <w:tblW w:w="5438" w:type="dxa"/>
        <w:jc w:val="left"/>
        <w:tblInd w:w="0" w:type="dxa"/>
        <w:tblLayout w:type="fixed"/>
        <w:tblCellMar>
          <w:top w:w="0" w:type="dxa"/>
          <w:left w:w="0" w:type="dxa"/>
          <w:bottom w:w="0" w:type="dxa"/>
          <w:right w:w="0" w:type="dxa"/>
        </w:tblCellMar>
      </w:tblPr>
      <w:tblGrid>
        <w:gridCol w:w="2131"/>
        <w:gridCol w:w="326"/>
        <w:gridCol w:w="196"/>
        <w:gridCol w:w="1036"/>
        <w:gridCol w:w="326"/>
        <w:gridCol w:w="196"/>
        <w:gridCol w:w="1036"/>
        <w:gridCol w:w="19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53185" cy="175260"/>
                      <wp:effectExtent l="0" t="0" r="0" b="0"/>
                      <wp:wrapNone/>
                      <wp:docPr id="640" name="Frame64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7010" cy="175260"/>
                      <wp:effectExtent l="0" t="0" r="0" b="0"/>
                      <wp:wrapNone/>
                      <wp:docPr id="641" name="Frame6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24460" cy="175260"/>
                      <wp:effectExtent l="0" t="0" r="0" b="0"/>
                      <wp:wrapNone/>
                      <wp:docPr id="642" name="Frame6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57860" cy="175260"/>
                      <wp:effectExtent l="0" t="0" r="0" b="0"/>
                      <wp:wrapNone/>
                      <wp:docPr id="643" name="Frame6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44" name="Frame6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24460" cy="175260"/>
                      <wp:effectExtent l="0" t="0" r="0" b="0"/>
                      <wp:wrapNone/>
                      <wp:docPr id="645" name="Frame6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57860" cy="175260"/>
                      <wp:effectExtent l="0" t="0" r="0" b="0"/>
                      <wp:wrapNone/>
                      <wp:docPr id="646" name="Frame6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21285" cy="175260"/>
                      <wp:effectExtent l="0" t="0" r="0" b="0"/>
                      <wp:wrapNone/>
                      <wp:docPr id="647" name="Frame64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9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December 31, </w:t>
            </w:r>
          </w:p>
        </w:tc>
        <w:tc>
          <w:tcPr>
            <w:tcW w:w="191" w:type="dxa"/>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1" w:type="dxa"/>
            <w:tcBorders/>
            <w:vAlign w:val="center"/>
          </w:tcPr>
          <w:p>
            <w:pPr>
              <w:pStyle w:val="TableContents"/>
              <w:bidi w:val="0"/>
              <w:spacing w:before="0" w:after="0"/>
              <w:ind w:left="0" w:right="0" w:hanging="0"/>
              <w:jc w:val="left"/>
              <w:rPr/>
            </w:pPr>
            <w:r>
              <w:rPr/>
              <w:t> </w:t>
            </w:r>
          </w:p>
        </w:tc>
      </w:tr>
      <w:tr>
        <w:trPr/>
        <w:tc>
          <w:tcPr>
            <w:tcW w:w="543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9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w:t>
            </w:r>
          </w:p>
        </w:tc>
        <w:tc>
          <w:tcPr>
            <w:tcW w:w="191" w:type="dxa"/>
            <w:tcBorders/>
            <w:vAlign w:val="center"/>
          </w:tcPr>
          <w:p>
            <w:pPr>
              <w:pStyle w:val="TableContents"/>
              <w:bidi w:val="0"/>
              <w:spacing w:before="0" w:after="0"/>
              <w:ind w:left="0" w:right="0" w:hanging="0"/>
              <w:jc w:val="center"/>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Pay-TV</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49,437,958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46,295,495</w:t>
            </w:r>
          </w:p>
        </w:tc>
        <w:tc>
          <w:tcPr>
            <w:tcW w:w="191"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 Wireless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777,957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2,798,561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5G Network Deployment (1)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46,793,378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43,462,443</w:t>
            </w:r>
          </w:p>
        </w:tc>
        <w:tc>
          <w:tcPr>
            <w:tcW w:w="191"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Eliminations (1)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(45,596,262)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(39,949,937)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51,413,031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52,606,562</w:t>
            </w:r>
          </w:p>
        </w:tc>
        <w:tc>
          <w:tcPr>
            <w:tcW w:w="19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primarily resulted from intercompany advances for capital expenditures related to our 5G Network Deployment.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2051" w:name="Tc_Rc-0PLdsWU-S30O152XuEw_11_11"/>
      <w:bookmarkStart w:id="2052" w:name="Tc_BR3FQmjd80qFTFBojcMiSQ_11_8"/>
      <w:bookmarkStart w:id="2053" w:name="Tc_JXDZjfhqNUWZSHjqpVoczA_11_6"/>
      <w:bookmarkStart w:id="2054" w:name="Tc_BwBR6C9Kc0utnmvlp9et7w_11_5"/>
      <w:bookmarkStart w:id="2055" w:name="Tc_i2s8Gjoh7UWh2mNG9d043Q_11_2"/>
      <w:bookmarkStart w:id="2056" w:name="Tc_bnEot8iNi0eiRHTTQ2HhsQ_11_0"/>
      <w:bookmarkStart w:id="2057" w:name="Tc_LLQVwi13F0-SfHqcwsG-Iw_10_0"/>
      <w:bookmarkStart w:id="2058" w:name="Tc_8kQ27B0dG0GXCFC3UjaEag_8_11"/>
      <w:bookmarkStart w:id="2059" w:name="Tc_hBRjqG2Bxk6n19Im7oSjCQ_8_8"/>
      <w:bookmarkStart w:id="2060" w:name="Tc_1Vs0VHxC-EamXBkNPjSDyA_8_6"/>
      <w:bookmarkStart w:id="2061" w:name="Tc_xUvysj7MuESpqP-LnsmRDw_8_5"/>
      <w:bookmarkStart w:id="2062" w:name="Tc_LsUwxM7VBkGcuB7ufVhF1w_8_2"/>
      <w:bookmarkStart w:id="2063" w:name="Tc_PHlQ7K_at06PUEvbjYbKKA_8_0"/>
      <w:bookmarkStart w:id="2064" w:name="Tc_POJENWcsZU69c2WMxrYRMQ_7_0"/>
      <w:bookmarkStart w:id="2065" w:name="Tc_oHQOmvIlfUWGPV77CmeTXA_5_11"/>
      <w:bookmarkStart w:id="2066" w:name="Tc_NjNPK9hMdEWen1x2Bhxgvw_5_8"/>
      <w:bookmarkStart w:id="2067" w:name="Tc_2-MBKQLJfEGuJCOdVHeAuw_5_6"/>
      <w:bookmarkStart w:id="2068" w:name="Tc_FewltrkK40mZoZhXVXFQsQ_5_5"/>
      <w:bookmarkStart w:id="2069" w:name="Tc_wU1Foa8vm0mQx9M-Tv8D0Q_5_2"/>
      <w:bookmarkStart w:id="2070" w:name="Tc_7H7_9_apbUCvcEcqd3gS8A_5_0"/>
      <w:bookmarkStart w:id="2071" w:name="Tc_9cdGMI9loE2RfRAmD-5jhA_4_0"/>
      <w:bookmarkStart w:id="2072" w:name="Tc_A_amX9ZBW0yryaGgdVN0ow_3_2"/>
      <w:bookmarkStart w:id="2073" w:name="Tc_-Mj63uND0k-R8xOudzbs9w_2_11"/>
      <w:bookmarkStart w:id="2074" w:name="Tc_kMi4TMgEREi-5SlqmFMfxg_2_8"/>
      <w:bookmarkStart w:id="2075" w:name="Tc__kx6AxzwLUyhp-3j7QyqaQ_2_5"/>
      <w:bookmarkStart w:id="2076" w:name="Tc_jDM31sN_10a51pd9oeGXdQ_2_2"/>
      <w:bookmarkStart w:id="2077" w:name="Tc_jCAS2hvEBEOKF9Zsefh0kw_1_8"/>
      <w:bookmarkStart w:id="2078" w:name="Tc_gksCUfUmtE6nMK-psFiFcg_1_5"/>
      <w:bookmarkStart w:id="2079" w:name="Tc_hMhT1ckNa0iQ8upO1rdwvQ_33_12"/>
      <w:bookmarkStart w:id="2080" w:name="Tc_EfSrT_Az00SJ6odlZaXIeQ_33_0"/>
      <w:bookmarkStart w:id="2081" w:name="Tc_MSbuDctBJUGK5DY75rNuDw_32_12"/>
      <w:bookmarkStart w:id="2082" w:name="Tc_wPlGAdVueUu0JxgIZqEGXQ_32_0"/>
      <w:bookmarkStart w:id="2083" w:name="Tc_374G_xQbSUyo8J61vllWTA_31_12"/>
      <w:bookmarkStart w:id="2084" w:name="Tc_k6OtlAo13kuBqze9xoZ0Fw_31_0"/>
      <w:bookmarkStart w:id="2085" w:name="Tc_nVqvGnxwrU2QgmD-c2gUyg_30_0"/>
      <w:bookmarkStart w:id="2086" w:name="Tc_-3Snq8FLCkanKvLacbnzwA_29_9"/>
      <w:bookmarkStart w:id="2087" w:name="Tc_JzANJA9EdkSkqW_0BaGXqQ_29_0"/>
      <w:bookmarkStart w:id="2088" w:name="Tc_249rqJ7GG02rm0OuX_17Ig_28_12"/>
      <w:bookmarkStart w:id="2089" w:name="Tc_oMDaegXdgkShZrVsyIoErQ_28_0"/>
      <w:bookmarkStart w:id="2090" w:name="Tc_y3Ie83eWyUi82f7vU0C80g_27_0"/>
      <w:bookmarkStart w:id="2091" w:name="Tc_L11HP97rAkKQjV2z1phzyw_26_14"/>
      <w:bookmarkStart w:id="2092" w:name="Tc_anHakfN9uUm43xzwwyUwPA_26_11"/>
      <w:bookmarkStart w:id="2093" w:name="Tc_7i9c1TjNu0G54vwvK4EeKg_26_8"/>
      <w:bookmarkStart w:id="2094" w:name="Tc_tFy__UUx0k6cGhs7fBBLXw_26_5"/>
      <w:bookmarkStart w:id="2095" w:name="Tc_aMR-RGmBgkOEavF3e5_I7g_26_2"/>
      <w:bookmarkStart w:id="2096" w:name="Tc_UrK2q03cWkm4B66u4492fQ_26_0"/>
      <w:bookmarkStart w:id="2097" w:name="Tc_sbzap48WjUGH2YWJxoZrGg_25_0"/>
      <w:bookmarkStart w:id="2098" w:name="Tc_T8zNnmKxZUiqOOxgzl6CyQ_23_12"/>
      <w:bookmarkStart w:id="2099" w:name="Tc_yWWIzcNWeUuXJu_kd__Kyg_23_0"/>
      <w:bookmarkStart w:id="2100" w:name="Tc__-U7_Dz_jEyfNUg896J0ZQ_22_12"/>
      <w:bookmarkStart w:id="2101" w:name="Tc_bJ32zcEUuU-Tn1WbYrGQeA_22_0"/>
      <w:bookmarkStart w:id="2102" w:name="Tc_tlptXF3B8E-RLuWUsnXfLQ_21_12"/>
      <w:bookmarkStart w:id="2103" w:name="Tc_P6rlIG_5nESLwLocYt53LA_21_0"/>
      <w:bookmarkStart w:id="2104" w:name="Tc_oZNFjD2Y1EKg4jOYeB_SOQ_20_0"/>
      <w:bookmarkStart w:id="2105" w:name="Tc_CxqKUDK070ae7Wg1Op8RJw_19_9"/>
      <w:bookmarkStart w:id="2106" w:name="Tc_SWPqMy9Dmky3uOhqZ8LnFA_19_0"/>
      <w:bookmarkStart w:id="2107" w:name="Tc_MgXxW9dlUEeJeXenOi9UjQ_18_12"/>
      <w:bookmarkStart w:id="2108" w:name="Tc_XUVOkVNlLESF5lLkC3cBxA_18_0"/>
      <w:bookmarkStart w:id="2109" w:name="Tc_q-RdOXU2HkyQwsfLCrfaSg_17_0"/>
      <w:bookmarkStart w:id="2110" w:name="Tc_mVF1XF4hDEq_HLcJ1sX27w_16_14"/>
      <w:bookmarkStart w:id="2111" w:name="Tc_o4hdDXtizk-B3lyME9TUIw_16_11"/>
      <w:bookmarkStart w:id="2112" w:name="Tc_rbT8Rf4PxUik-pn1TgwGMw_16_8"/>
      <w:bookmarkStart w:id="2113" w:name="Tc_qYb245ZrWkWPXNIW0_s6Ww_16_5"/>
      <w:bookmarkStart w:id="2114" w:name="Tc_U1JbTzPpzkmHJ1CP-f8Axw_16_2"/>
      <w:bookmarkStart w:id="2115" w:name="Tc_3EsAw77DuUqkP3k5_EzGrw_16_0"/>
      <w:bookmarkStart w:id="2116" w:name="Tc_0LpCXnt_O0OKHxVQ4H6RWg_15_0"/>
      <w:bookmarkStart w:id="2117" w:name="Tc_b4NFcgBT2EClHD9ioJaMvQ_13_12"/>
      <w:bookmarkStart w:id="2118" w:name="Tc_jizdUZ6RZ0eoOoQ2wVK1yg_13_0"/>
      <w:bookmarkStart w:id="2119" w:name="Tc_uin_eR3O7UytRk-OhJE0Dw_12_12"/>
      <w:bookmarkStart w:id="2120" w:name="Tc_L6euUVhSS0anu4hvSk6wmg_12_0"/>
      <w:bookmarkStart w:id="2121" w:name="Tc_a6loXjbNKECAjLUrlSi4UQ_11_12"/>
      <w:bookmarkStart w:id="2122" w:name="Tc_tAeo_TUVUkWU4mNdoRwtDA_11_0"/>
      <w:bookmarkStart w:id="2123" w:name="Tc_uiiOVzCiF0eiTkVOOvsBmg_10_0"/>
      <w:bookmarkStart w:id="2124" w:name="Tc_rc8yyngaZ0ulNek1hAh3WQ_9_0"/>
      <w:bookmarkStart w:id="2125" w:name="Tc_TcvrSbcIGkaRNJ3dDmhmFg_8_12"/>
      <w:bookmarkStart w:id="2126" w:name="Tc_MaNjSFGHbkSZrOLZnrMvAA_8_0"/>
      <w:bookmarkStart w:id="2127" w:name="Tc_Y8pFjSJl2Uu8ENwQ7HHuGA_7_0"/>
      <w:bookmarkStart w:id="2128" w:name="Tc_tFKP8Rs_bUm4Ut4WKZ_kdg_6_14"/>
      <w:bookmarkStart w:id="2129" w:name="Tc_W1d-P6RNMUGKzuDcEwWA_Q_6_11"/>
      <w:bookmarkStart w:id="2130" w:name="Tc_V38wqdWGI0Sd1_iW8N9gRA_6_8"/>
      <w:bookmarkStart w:id="2131" w:name="Tc_cN6wS-JRgkWAgJM_kJCFDw_6_5"/>
      <w:bookmarkStart w:id="2132" w:name="Tc_yJ-mOEYzl0-QbWV6AERBDw_6_2"/>
      <w:bookmarkStart w:id="2133" w:name="Tc_05Sx_2WM0ECthksr3sgZGQ_6_0"/>
      <w:bookmarkStart w:id="2134" w:name="Tc_82vylrx_D0a9GgLC_UAbcA_5_0"/>
      <w:bookmarkStart w:id="2135" w:name="Tc_g6sJpf1Ahk--W062WThlvw_4_2"/>
      <w:bookmarkStart w:id="2136" w:name="Tc_6FX83O8K_Uis3yNtODX0zg_3_14"/>
      <w:bookmarkStart w:id="2137" w:name="Tc_vSniPXq4a0K4fZ6OMUCSTA_3_11"/>
      <w:bookmarkStart w:id="2138" w:name="Tc_oDXq8hSHnE6fGVjHy-dJAw_3_8"/>
      <w:bookmarkStart w:id="2139" w:name="Tc_bH31FO5P6kCCOvMV4c0DHw_3_5"/>
      <w:bookmarkStart w:id="2140" w:name="Tc_yRdNy3q-rEe-3clfOEZaSw_3_2"/>
      <w:bookmarkStart w:id="2141" w:name="Tc_jeMuyD7wxkigYzd9Pg2hpw_2_14"/>
      <w:bookmarkStart w:id="2142" w:name="Tc_jKEa1cB87k-HEb35z00r8Q_2_11"/>
      <w:bookmarkStart w:id="2143" w:name="Tc_JWeSzRkZdE-QjpZp5q6baw_2_8"/>
      <w:bookmarkStart w:id="2144" w:name="Tc_Rq5E2tAEa0eG8VB7JfoLZA_1_11"/>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r>
        <w:rPr/>
        <w:t>​</w:t>
      </w:r>
    </w:p>
    <w:tbl>
      <w:tblPr>
        <w:tblW w:w="10205" w:type="dxa"/>
        <w:jc w:val="left"/>
        <w:tblInd w:w="0" w:type="dxa"/>
        <w:tblLayout w:type="fixed"/>
        <w:tblCellMar>
          <w:top w:w="0" w:type="dxa"/>
          <w:left w:w="0" w:type="dxa"/>
          <w:bottom w:w="0" w:type="dxa"/>
          <w:right w:w="0" w:type="dxa"/>
        </w:tblCellMar>
      </w:tblPr>
      <w:tblGrid>
        <w:gridCol w:w="2855"/>
        <w:gridCol w:w="326"/>
        <w:gridCol w:w="196"/>
        <w:gridCol w:w="936"/>
        <w:gridCol w:w="326"/>
        <w:gridCol w:w="207"/>
        <w:gridCol w:w="986"/>
        <w:gridCol w:w="326"/>
        <w:gridCol w:w="196"/>
        <w:gridCol w:w="927"/>
        <w:gridCol w:w="109"/>
        <w:gridCol w:w="196"/>
        <w:gridCol w:w="927"/>
        <w:gridCol w:w="326"/>
        <w:gridCol w:w="206"/>
        <w:gridCol w:w="965"/>
        <w:gridCol w:w="195"/>
      </w:tblGrid>
      <w:tr>
        <w:trPr/>
        <w:tc>
          <w:tcPr>
            <w:tcW w:w="2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812925" cy="175260"/>
                      <wp:effectExtent l="0" t="0" r="0" b="0"/>
                      <wp:wrapNone/>
                      <wp:docPr id="648" name="Frame648"/>
                      <a:graphic xmlns:a="http://schemas.openxmlformats.org/drawingml/2006/main">
                        <a:graphicData uri="http://schemas.microsoft.com/office/word/2010/wordprocessingShape">
                          <wps:wsp>
                            <wps:cNvSpPr txBox="1"/>
                            <wps:spPr>
                              <a:xfrm>
                                <a:off x="0" y="0"/>
                                <a:ext cx="181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9" name="Frame6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24460" cy="175260"/>
                      <wp:effectExtent l="0" t="0" r="0" b="0"/>
                      <wp:wrapNone/>
                      <wp:docPr id="650" name="Frame6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94360" cy="175260"/>
                      <wp:effectExtent l="0" t="0" r="0" b="0"/>
                      <wp:wrapNone/>
                      <wp:docPr id="651" name="Frame65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52"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1445" cy="175260"/>
                      <wp:effectExtent l="0" t="0" r="0" b="0"/>
                      <wp:wrapNone/>
                      <wp:docPr id="653" name="Frame65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26110" cy="175260"/>
                      <wp:effectExtent l="0" t="0" r="0" b="0"/>
                      <wp:wrapNone/>
                      <wp:docPr id="654" name="Frame654"/>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5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24460" cy="175260"/>
                      <wp:effectExtent l="0" t="0" r="0" b="0"/>
                      <wp:wrapNone/>
                      <wp:docPr id="656" name="Frame6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88645" cy="175260"/>
                      <wp:effectExtent l="0" t="0" r="0" b="0"/>
                      <wp:wrapNone/>
                      <wp:docPr id="657" name="Frame657"/>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9215" cy="175260"/>
                      <wp:effectExtent l="0" t="0" r="0" b="0"/>
                      <wp:wrapNone/>
                      <wp:docPr id="658" name="Frame6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24460" cy="175260"/>
                      <wp:effectExtent l="0" t="0" r="0" b="0"/>
                      <wp:wrapNone/>
                      <wp:docPr id="659" name="Frame6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588645" cy="175260"/>
                      <wp:effectExtent l="0" t="0" r="0" b="0"/>
                      <wp:wrapNone/>
                      <wp:docPr id="660" name="Frame660"/>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07010" cy="175260"/>
                      <wp:effectExtent l="0" t="0" r="0" b="0"/>
                      <wp:wrapNone/>
                      <wp:docPr id="661" name="Frame6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30810" cy="175260"/>
                      <wp:effectExtent l="0" t="0" r="0" b="0"/>
                      <wp:wrapNone/>
                      <wp:docPr id="662" name="Frame6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12775" cy="175260"/>
                      <wp:effectExtent l="0" t="0" r="0" b="0"/>
                      <wp:wrapNone/>
                      <wp:docPr id="663" name="Frame663"/>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23825" cy="175260"/>
                      <wp:effectExtent l="0" t="0" r="0" b="0"/>
                      <wp:wrapNone/>
                      <wp:docPr id="664" name="Frame664"/>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5G Network </w:t>
            </w:r>
          </w:p>
        </w:tc>
        <w:tc>
          <w:tcPr>
            <w:tcW w:w="109"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 &amp;</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Consolidated </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Pay-TV</w:t>
            </w:r>
          </w:p>
        </w:tc>
        <w:tc>
          <w:tcPr>
            <w:tcW w:w="326" w:type="dxa"/>
            <w:tcBorders/>
            <w:vAlign w:val="center"/>
          </w:tcPr>
          <w:p>
            <w:pPr>
              <w:pStyle w:val="TableContents"/>
              <w:bidi w:val="0"/>
              <w:spacing w:before="0" w:after="0"/>
              <w:ind w:left="0" w:right="0" w:hanging="0"/>
              <w:jc w:val="left"/>
              <w:rPr/>
            </w:pPr>
            <w:r>
              <w:rPr/>
              <w:t>    </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Retail Wireless</w:t>
            </w:r>
          </w:p>
        </w:tc>
        <w:tc>
          <w:tcPr>
            <w:tcW w:w="326" w:type="dxa"/>
            <w:tcBorders/>
            <w:vAlign w:val="center"/>
          </w:tcPr>
          <w:p>
            <w:pPr>
              <w:pStyle w:val="TableContents"/>
              <w:bidi w:val="0"/>
              <w:spacing w:before="0" w:after="0"/>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Deployment</w:t>
            </w:r>
          </w:p>
        </w:tc>
        <w:tc>
          <w:tcPr>
            <w:tcW w:w="109" w:type="dxa"/>
            <w:tcBorders/>
            <w:vAlign w:val="center"/>
          </w:tcPr>
          <w:p>
            <w:pPr>
              <w:pStyle w:val="TableContents"/>
              <w:bidi w:val="0"/>
              <w:spacing w:before="0" w:after="0"/>
              <w:ind w:left="0" w:right="0" w:hanging="0"/>
              <w:jc w:val="left"/>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Eliminations</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5" w:type="dxa"/>
            <w:tcBorders/>
            <w:vAlign w:val="center"/>
          </w:tcPr>
          <w:p>
            <w:pPr>
              <w:pStyle w:val="TableContents"/>
              <w:bidi w:val="0"/>
              <w:spacing w:before="0" w:after="0"/>
              <w:ind w:left="0" w:right="0" w:hanging="0"/>
              <w:jc w:val="left"/>
              <w:rPr/>
            </w:pPr>
            <w:r>
              <w:rPr/>
              <w:t> </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29" w:type="dxa"/>
            <w:gridSpan w:val="14"/>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Year Ended December 31, 2023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11,571,159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3,692,372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(60,371)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15,295,088</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381,292</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221,968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620,685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(42,024)</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1,181,921</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2,699,810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(643,184)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(1,881,369)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175,257</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2,604,599</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(2,502,251)</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105,416</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(1,290,099)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(1,186,468)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2,502,251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(38,881)</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74,114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(1,793,387)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(1,741,876)</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 benefit,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(578,739)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201,091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749,310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371,662</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3,509,685</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(2,300,018)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(2,338,089)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(1,128,422)</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Year Ended December 31, 2022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12,505,392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4,135,129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(26,882)</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16,679,407</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428,471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177,914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131,566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(20,878)</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717,073</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2,933,898</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(810,968)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2,045,666</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1,872,645</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(1,829,874)</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42,776</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(1,036,829)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(766,703)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1,829,874</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(22,781)</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1,012,147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25,571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1,038,982</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 benefit,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(911,955)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399,939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(731,736)</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2,859,023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666,045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(1,152,161)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2,372,907</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Year Ended December 31, 2021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12,928,707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4,897,205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73,889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(18,695)</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17,881,106</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538,836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(13,822)</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724,852</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3,075,579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343,785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(216,329)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3,203,035</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1,346,502</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(1,335,170)</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11,338</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(819,510)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(530,525)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1,335,170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(16,174)</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(2,917)</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20,557</w:t>
            </w:r>
          </w:p>
        </w:tc>
        <w:tc>
          <w:tcPr>
            <w:tcW w:w="195"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 benefit,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(853,362)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186,534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(762,810)</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2,746,292</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273,195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(563,541)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2,455,946</w:t>
            </w:r>
          </w:p>
        </w:tc>
        <w:tc>
          <w:tcPr>
            <w:tcW w:w="19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07"/>
        <w:gridCol w:w="326"/>
        <w:gridCol w:w="196"/>
        <w:gridCol w:w="691"/>
        <w:gridCol w:w="109"/>
        <w:gridCol w:w="255"/>
        <w:gridCol w:w="451"/>
        <w:gridCol w:w="109"/>
        <w:gridCol w:w="196"/>
        <w:gridCol w:w="826"/>
        <w:gridCol w:w="326"/>
        <w:gridCol w:w="196"/>
        <w:gridCol w:w="826"/>
        <w:gridCol w:w="191"/>
      </w:tblGrid>
      <w:tr>
        <w:trPr/>
        <w:tc>
          <w:tcPr>
            <w:tcW w:w="5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496945" cy="175260"/>
                      <wp:effectExtent l="0" t="0" r="0" b="0"/>
                      <wp:wrapNone/>
                      <wp:docPr id="665" name="Frame665"/>
                      <a:graphic xmlns:a="http://schemas.openxmlformats.org/drawingml/2006/main">
                        <a:graphicData uri="http://schemas.microsoft.com/office/word/2010/wordprocessingShape">
                          <wps:wsp>
                            <wps:cNvSpPr txBox="1"/>
                            <wps:spPr>
                              <a:xfrm>
                                <a:off x="0" y="0"/>
                                <a:ext cx="3496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24460" cy="175260"/>
                      <wp:effectExtent l="0" t="0" r="0" b="0"/>
                      <wp:wrapNone/>
                      <wp:docPr id="667" name="Frame6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438785" cy="175260"/>
                      <wp:effectExtent l="0" t="0" r="0" b="0"/>
                      <wp:wrapNone/>
                      <wp:docPr id="668" name="Frame6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9215" cy="175260"/>
                      <wp:effectExtent l="0" t="0" r="0" b="0"/>
                      <wp:wrapNone/>
                      <wp:docPr id="669" name="Frame6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61925" cy="175260"/>
                      <wp:effectExtent l="0" t="0" r="0" b="0"/>
                      <wp:wrapNone/>
                      <wp:docPr id="670" name="Frame67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86385" cy="175260"/>
                      <wp:effectExtent l="0" t="0" r="0" b="0"/>
                      <wp:wrapNone/>
                      <wp:docPr id="671" name="Frame67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9215" cy="175260"/>
                      <wp:effectExtent l="0" t="0" r="0" b="0"/>
                      <wp:wrapNone/>
                      <wp:docPr id="672" name="Frame6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24460" cy="175260"/>
                      <wp:effectExtent l="0" t="0" r="0" b="0"/>
                      <wp:wrapNone/>
                      <wp:docPr id="673" name="Frame6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524510" cy="175260"/>
                      <wp:effectExtent l="0" t="0" r="0" b="0"/>
                      <wp:wrapNone/>
                      <wp:docPr id="674" name="Frame6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07010" cy="175260"/>
                      <wp:effectExtent l="0" t="0" r="0" b="0"/>
                      <wp:wrapNone/>
                      <wp:docPr id="675" name="Frame6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24460" cy="175260"/>
                      <wp:effectExtent l="0" t="0" r="0" b="0"/>
                      <wp:wrapNone/>
                      <wp:docPr id="676" name="Frame6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524510" cy="175260"/>
                      <wp:effectExtent l="0" t="0" r="0" b="0"/>
                      <wp:wrapNone/>
                      <wp:docPr id="677" name="Frame6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21285" cy="175260"/>
                      <wp:effectExtent l="0" t="0" r="0" b="0"/>
                      <wp:wrapNone/>
                      <wp:docPr id="678" name="Frame67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5G Network</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Pay-TV</w:t>
            </w:r>
          </w:p>
        </w:tc>
        <w:tc>
          <w:tcPr>
            <w:tcW w:w="109" w:type="dxa"/>
            <w:tcBorders/>
            <w:vAlign w:val="center"/>
          </w:tcPr>
          <w:p>
            <w:pPr>
              <w:pStyle w:val="TableContents"/>
              <w:bidi w:val="0"/>
              <w:spacing w:before="0" w:after="0"/>
              <w:ind w:left="0" w:right="0" w:hanging="0"/>
              <w:jc w:val="center"/>
              <w:rPr/>
            </w:pPr>
            <w:r>
              <w:rPr/>
              <w:t>​</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Wireless</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Deployment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5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81"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5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2023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(including capitalized interest related to regulatory authorizations)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242,736</w:t>
            </w:r>
          </w:p>
        </w:tc>
        <w:tc>
          <w:tcPr>
            <w:tcW w:w="109"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3,748,624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3,991,360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(including capitalized interest related to regulatory authorizations)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131,093</w:t>
            </w:r>
          </w:p>
        </w:tc>
        <w:tc>
          <w:tcPr>
            <w:tcW w:w="109"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3,580,518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3,711,611</w:t>
            </w:r>
          </w:p>
        </w:tc>
        <w:tc>
          <w:tcPr>
            <w:tcW w:w="191" w:type="dxa"/>
            <w:tcBorders/>
            <w:vAlign w:val="center"/>
          </w:tcPr>
          <w:p>
            <w:pPr>
              <w:pStyle w:val="TableContents"/>
              <w:bidi w:val="0"/>
              <w:spacing w:before="0" w:after="0"/>
              <w:ind w:left="0" w:right="0" w:hanging="0"/>
              <w:jc w:val="left"/>
              <w:rPr/>
            </w:pPr>
            <w:r>
              <w:rPr/>
              <w:t>​</w:t>
            </w:r>
          </w:p>
        </w:tc>
      </w:tr>
      <w:tr>
        <w:trPr/>
        <w:tc>
          <w:tcPr>
            <w:tcW w:w="55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2021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(including capitalized interest related to regulatory authorizations)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173,485</w:t>
            </w:r>
          </w:p>
        </w:tc>
        <w:tc>
          <w:tcPr>
            <w:tcW w:w="109"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1,790,042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1,963,527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color w:val="222222"/>
          <w:sz w:val="20"/>
          <w:shd w:fill="FFFFFF" w:val="clear"/>
        </w:rPr>
        <w:t>Geographic Information. </w:t>
      </w:r>
      <w:r>
        <w:rPr>
          <w:rFonts w:ascii="Times New Roman;Times;serif" w:hAnsi="Times New Roman;Times;serif"/>
          <w:color w:val="222222"/>
          <w:sz w:val="20"/>
          <w:shd w:fill="FFFFFF" w:val="clear"/>
        </w:rPr>
        <w:t>Revenue is attributed to geographic regions based upon the customer billing location. Long-lived assets are associated with the geographic regions based upon the location where the asset resides.  </w:t>
      </w:r>
      <w:r>
        <w:rPr>
          <w:rFonts w:ascii="Times New Roman;Times;serif" w:hAnsi="Times New Roman;Times;serif"/>
          <w:sz w:val="20"/>
          <w:shd w:fill="FFFFFF" w:val="clear"/>
        </w:rPr>
        <w:t>All revenue was derived from North America, with all service revenue coming from the United States. Substantially all of our long-lived assets reside in the United States.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2145" w:name="Tc_Kwq9RFEXn02ZaOVTkDrDjw_11_8"/>
      <w:bookmarkStart w:id="2146" w:name="Tc_wW8aNuMIxUSQ9yiXyUHQFQ_11_5"/>
      <w:bookmarkStart w:id="2147" w:name="Tc_xR_jGPOzc0KcOSRjVZE2DA_11_2"/>
      <w:bookmarkStart w:id="2148" w:name="Tc_e7riiMMk8kifojV9bqZbMQ_11_0"/>
      <w:bookmarkStart w:id="2149" w:name="Tc_p6-CVYnRaEOBIoqXBfL7Aw_10_0"/>
      <w:bookmarkStart w:id="2150" w:name="Tc_xnPGa6j_mEOLzeaUm8ggPw_9_0"/>
      <w:bookmarkStart w:id="2151" w:name="Tc_jhr405YVikyirPq0HiNn5Q_8_0"/>
      <w:bookmarkStart w:id="2152" w:name="Tc_E6TM-Mm0YUysHVw4CXketw_7_0"/>
      <w:bookmarkStart w:id="2153" w:name="Tc_H5WLZuhmVEq-d1O6Ye1R7Q_6_0"/>
      <w:bookmarkStart w:id="2154" w:name="Tc_wByqHxGPHE6VzIwV9kvHHQ_5_8"/>
      <w:bookmarkStart w:id="2155" w:name="Tc_efrI85CYfEGFHZm-V1-SWw_5_5"/>
      <w:bookmarkStart w:id="2156" w:name="Tc_ON205dU2DUCziXEiR_Risg_5_2"/>
      <w:bookmarkStart w:id="2157" w:name="Tc_ULH2SYaMxU-nHeCfakmzcQ_5_0"/>
      <w:bookmarkStart w:id="2158" w:name="Tc_gcdxtYMtZkq8NfX-I29I6g_4_2"/>
      <w:bookmarkStart w:id="2159" w:name="Tc_KxMSE1GFiUKE2_hKY0LiyA_3_8"/>
      <w:bookmarkStart w:id="2160" w:name="Tc_qbYkknQNckGEs0EVOsf2Eg_3_5"/>
      <w:bookmarkStart w:id="2161" w:name="Tc_iIysdAxU70-2osxHU4COtg_3_2"/>
      <w:bookmarkStart w:id="2162" w:name="Tc_bY0xbkpoFECkmOZ5D8UICg_3_0"/>
      <w:bookmarkStart w:id="2163" w:name="Tc_DttE-7vVckGXGPmAF0aXgA_2_2"/>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r>
        <w:rPr>
          <w:rFonts w:ascii="Times New Roman;Times;serif" w:hAnsi="Times New Roman;Times;serif"/>
          <w:sz w:val="20"/>
        </w:rPr>
        <w:t>The revenue from external customers disaggregated by major revenue source was as follows:</w:t>
      </w:r>
    </w:p>
    <w:p>
      <w:pPr>
        <w:pStyle w:val="TextBody"/>
        <w:bidi w:val="0"/>
        <w:spacing w:before="0" w:after="0"/>
        <w:ind w:left="0" w:right="0" w:hanging="0"/>
        <w:jc w:val="left"/>
        <w:rPr/>
      </w:pPr>
      <w:r>
        <w:rPr/>
        <w:t>​</w:t>
      </w:r>
    </w:p>
    <w:tbl>
      <w:tblPr>
        <w:tblW w:w="8463" w:type="dxa"/>
        <w:jc w:val="left"/>
        <w:tblInd w:w="0" w:type="dxa"/>
        <w:tblLayout w:type="fixed"/>
        <w:tblCellMar>
          <w:top w:w="0" w:type="dxa"/>
          <w:left w:w="0" w:type="dxa"/>
          <w:bottom w:w="0" w:type="dxa"/>
          <w:right w:w="0" w:type="dxa"/>
        </w:tblCellMar>
      </w:tblPr>
      <w:tblGrid>
        <w:gridCol w:w="4321"/>
        <w:gridCol w:w="109"/>
        <w:gridCol w:w="196"/>
        <w:gridCol w:w="916"/>
        <w:gridCol w:w="326"/>
        <w:gridCol w:w="196"/>
        <w:gridCol w:w="916"/>
        <w:gridCol w:w="326"/>
        <w:gridCol w:w="196"/>
        <w:gridCol w:w="96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743835" cy="175260"/>
                      <wp:effectExtent l="0" t="0" r="0" b="0"/>
                      <wp:wrapNone/>
                      <wp:docPr id="679" name="Frame67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9215" cy="175260"/>
                      <wp:effectExtent l="0" t="0" r="0" b="0"/>
                      <wp:wrapNone/>
                      <wp:docPr id="680" name="Frame6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24460" cy="175260"/>
                      <wp:effectExtent l="0" t="0" r="0" b="0"/>
                      <wp:wrapNone/>
                      <wp:docPr id="681" name="Frame6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581660" cy="175260"/>
                      <wp:effectExtent l="0" t="0" r="0" b="0"/>
                      <wp:wrapNone/>
                      <wp:docPr id="682" name="Frame68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3" name="Frame6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24460" cy="175260"/>
                      <wp:effectExtent l="0" t="0" r="0" b="0"/>
                      <wp:wrapNone/>
                      <wp:docPr id="684" name="Frame6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581660" cy="175260"/>
                      <wp:effectExtent l="0" t="0" r="0" b="0"/>
                      <wp:wrapNone/>
                      <wp:docPr id="685" name="Frame68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6" name="Frame6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24460" cy="175260"/>
                      <wp:effectExtent l="0" t="0" r="0" b="0"/>
                      <wp:wrapNone/>
                      <wp:docPr id="687" name="Frame6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10235" cy="175260"/>
                      <wp:effectExtent l="0" t="0" r="0" b="0"/>
                      <wp:wrapNone/>
                      <wp:docPr id="688" name="Frame68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3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Category:</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r>
      <w:tr>
        <w:trPr/>
        <w:tc>
          <w:tcPr>
            <w:tcW w:w="846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03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 subscriber and related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11,385,961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12,360,601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12,787,485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wireless services and related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3,337,240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3,653,909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4,142,883</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Pay-TV equipment sales and 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141,222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wireless equipment sales and other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355,132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481,220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754,322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5G network deployment equipment sales and 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73,889</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Eliminations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15,295,088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16,679,407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17,881,106</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432"/>
        <w:jc w:val="left"/>
        <w:rPr>
          <w:rFonts w:ascii="Times New Roman;Times;serif" w:hAnsi="Times New Roman;Times;serif"/>
          <w:b/>
          <w:sz w:val="20"/>
        </w:rPr>
      </w:pPr>
      <w:bookmarkStart w:id="2164" w:name="Tc_61AxfL-ixECf_ba9es6fKw_4_5"/>
      <w:bookmarkStart w:id="2165" w:name="Tc_cdzHy9_3PUKoqfciUks5Fg_4_2"/>
      <w:bookmarkStart w:id="2166" w:name="Tc_IrrqqWyym0SssE_PixEOMw_4_0"/>
      <w:bookmarkStart w:id="2167" w:name="Tc_2gufXwG0OEGUwEmBNmSPHg_3_2"/>
      <w:bookmarkStart w:id="2168" w:name="Tc_qEpiaW0koUeiJlybLvLMPw_2_5"/>
      <w:bookmarkStart w:id="2169" w:name="Tc_VSL7JFdCK0y4t9rt3hxHYQ_2_2"/>
      <w:bookmarkStart w:id="2170" w:name="Tc_wnmZJ5PBFUGDM-IfeOqUxg_1_2"/>
      <w:bookmarkStart w:id="2171" w:name="Tc_T0RjVhBa-E2-NfifW2jyLg_8_8"/>
      <w:bookmarkStart w:id="2172" w:name="Tc_EVK5jOZzQ0Gm3VJsTXqPbQ_8_5"/>
      <w:bookmarkStart w:id="2173" w:name="Tc_6TdAEy_kaUSiavArFuCYpw_8_2"/>
      <w:bookmarkStart w:id="2174" w:name="Tc_seqBWhYLgUqPwgvTnkBijQ_8_0"/>
      <w:bookmarkStart w:id="2175" w:name="Tc_A3LQHjJ0aEq7xK1QGCkXNg_7_3"/>
      <w:bookmarkStart w:id="2176" w:name="Tc_ZiyEvSRqh0Wa9ZZiYkKuOw_7_0"/>
      <w:bookmarkStart w:id="2177" w:name="Tc_ZSk_n7AqlUWtP1M-d4G3YA_6_0"/>
      <w:bookmarkStart w:id="2178" w:name="Tc_7RwO8KtHpkOEi4IxL48OPg_5_0"/>
      <w:bookmarkStart w:id="2179" w:name="Tc_EhuJyqjbmUCJsRXerqWzBw_4_8"/>
      <w:bookmarkStart w:id="2180" w:name="Tc_alEMhEynL0WD2X3hJwHJBw_4_5"/>
      <w:bookmarkStart w:id="2181" w:name="Tc_MI1twquRg0iMEEhnslpMNQ_4_2"/>
      <w:bookmarkStart w:id="2182" w:name="Tc_L1B8SaGT4ECuq48BQmZUpQ_4_0"/>
      <w:bookmarkStart w:id="2183" w:name="Tc_b1RlSLDO8UCKcaGtxL_p6Q_3_2"/>
      <w:bookmarkStart w:id="2184" w:name="Tc_oJMPgmVrhU-iMtWwQfN7Yg_2_8"/>
      <w:bookmarkStart w:id="2185" w:name="Tc_JlEDN77480uN6qwBgg_Fwg_2_5"/>
      <w:bookmarkStart w:id="2186" w:name="Tc_Tcx87lsWBUSLkE2klPu6Kw_2_2"/>
      <w:bookmarkStart w:id="2187" w:name="Tc_nUt_rn1sAECYkpM8YdNoeA_1_2"/>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r>
        <w:rPr>
          <w:rFonts w:ascii="Times New Roman;Times;serif" w:hAnsi="Times New Roman;Times;serif"/>
          <w:b/>
          <w:sz w:val="20"/>
        </w:rPr>
        <w:t>15.    Revenue Recognition</w:t>
      </w:r>
    </w:p>
    <w:p>
      <w:pPr>
        <w:pStyle w:val="TextBody"/>
        <w:pBdr/>
        <w:bidi w:val="0"/>
        <w:spacing w:before="0" w:after="0"/>
        <w:ind w:left="0" w:right="0" w:hanging="432"/>
        <w:jc w:val="left"/>
        <w:rPr/>
      </w:pPr>
      <w:r>
        <w:rPr/>
        <w:t>​</w:t>
      </w:r>
    </w:p>
    <w:p>
      <w:pPr>
        <w:pStyle w:val="TextBody"/>
        <w:pBdr/>
        <w:bidi w:val="0"/>
        <w:spacing w:before="0" w:after="0"/>
        <w:ind w:left="0" w:right="0" w:hanging="432"/>
        <w:jc w:val="left"/>
        <w:rPr>
          <w:rFonts w:ascii="Times New Roman;Times;serif" w:hAnsi="Times New Roman;Times;serif"/>
          <w:b/>
          <w:i/>
          <w:sz w:val="20"/>
        </w:rPr>
      </w:pPr>
      <w:r>
        <w:rPr>
          <w:rFonts w:ascii="Times New Roman;Times;serif" w:hAnsi="Times New Roman;Times;serif"/>
          <w:b/>
          <w:i/>
          <w:sz w:val="20"/>
        </w:rPr>
        <w:t>Contract Balances</w:t>
      </w:r>
    </w:p>
    <w:p>
      <w:pPr>
        <w:pStyle w:val="TextBody"/>
        <w:pBdr/>
        <w:bidi w:val="0"/>
        <w:spacing w:before="0" w:after="0"/>
        <w:ind w:left="0" w:right="0" w:hanging="432"/>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valuation and qualifying accounts as of December 31, 2023, 2022 and 2021 were as follows: </w:t>
      </w:r>
    </w:p>
    <w:p>
      <w:pPr>
        <w:pStyle w:val="TextBody"/>
        <w:bidi w:val="0"/>
        <w:spacing w:before="0" w:after="0"/>
        <w:ind w:left="0" w:right="0" w:hanging="0"/>
        <w:jc w:val="left"/>
        <w:rPr/>
      </w:pPr>
      <w:r>
        <w:rPr/>
        <w:t>​</w:t>
      </w:r>
    </w:p>
    <w:tbl>
      <w:tblPr>
        <w:tblW w:w="7935" w:type="dxa"/>
        <w:jc w:val="left"/>
        <w:tblInd w:w="0" w:type="dxa"/>
        <w:tblLayout w:type="fixed"/>
        <w:tblCellMar>
          <w:top w:w="0" w:type="dxa"/>
          <w:left w:w="0" w:type="dxa"/>
          <w:bottom w:w="0" w:type="dxa"/>
          <w:right w:w="0" w:type="dxa"/>
        </w:tblCellMar>
      </w:tblPr>
      <w:tblGrid>
        <w:gridCol w:w="4216"/>
        <w:gridCol w:w="109"/>
        <w:gridCol w:w="211"/>
        <w:gridCol w:w="796"/>
        <w:gridCol w:w="326"/>
        <w:gridCol w:w="211"/>
        <w:gridCol w:w="796"/>
        <w:gridCol w:w="109"/>
        <w:gridCol w:w="211"/>
        <w:gridCol w:w="796"/>
        <w:gridCol w:w="154"/>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677160" cy="175260"/>
                      <wp:effectExtent l="0" t="0" r="0" b="0"/>
                      <wp:wrapNone/>
                      <wp:docPr id="689" name="Frame68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69215" cy="175260"/>
                      <wp:effectExtent l="0" t="0" r="0" b="0"/>
                      <wp:wrapNone/>
                      <wp:docPr id="690" name="Frame6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33985" cy="175260"/>
                      <wp:effectExtent l="0" t="0" r="0" b="0"/>
                      <wp:wrapNone/>
                      <wp:docPr id="691" name="Frame6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505460" cy="175260"/>
                      <wp:effectExtent l="0" t="0" r="0" b="0"/>
                      <wp:wrapNone/>
                      <wp:docPr id="692" name="Frame6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07010" cy="175260"/>
                      <wp:effectExtent l="0" t="0" r="0" b="0"/>
                      <wp:wrapNone/>
                      <wp:docPr id="693" name="Frame6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33985" cy="175260"/>
                      <wp:effectExtent l="0" t="0" r="0" b="0"/>
                      <wp:wrapNone/>
                      <wp:docPr id="694" name="Frame6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505460" cy="175260"/>
                      <wp:effectExtent l="0" t="0" r="0" b="0"/>
                      <wp:wrapNone/>
                      <wp:docPr id="695" name="Frame6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9215" cy="175260"/>
                      <wp:effectExtent l="0" t="0" r="0" b="0"/>
                      <wp:wrapNone/>
                      <wp:docPr id="696" name="Frame6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3985" cy="175260"/>
                      <wp:effectExtent l="0" t="0" r="0" b="0"/>
                      <wp:wrapNone/>
                      <wp:docPr id="697" name="Frame6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505460" cy="175260"/>
                      <wp:effectExtent l="0" t="0" r="0" b="0"/>
                      <wp:wrapNone/>
                      <wp:docPr id="698" name="Frame6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97790" cy="175260"/>
                      <wp:effectExtent l="0" t="0" r="0" b="0"/>
                      <wp:wrapNone/>
                      <wp:docPr id="699" name="Frame69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56"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Years Ended December 31, </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54" w:type="dxa"/>
            <w:tcBorders/>
            <w:vAlign w:val="center"/>
          </w:tcPr>
          <w:p>
            <w:pPr>
              <w:pStyle w:val="TableContents"/>
              <w:bidi w:val="0"/>
              <w:spacing w:before="0" w:after="0"/>
              <w:ind w:left="0" w:right="0" w:hanging="0"/>
              <w:jc w:val="left"/>
              <w:rPr/>
            </w:pPr>
            <w:r>
              <w:rPr/>
              <w:t>​</w:t>
            </w:r>
          </w:p>
        </w:tc>
      </w:tr>
      <w:tr>
        <w:trPr/>
        <w:tc>
          <w:tcPr>
            <w:tcW w:w="793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56" w:type="dxa"/>
            <w:gridSpan w:val="8"/>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provision for expected credit losses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54,083</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charged against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Consolidated Balance Sheets. </w:t>
      </w:r>
    </w:p>
    <w:p>
      <w:pPr>
        <w:pStyle w:val="TextBody"/>
        <w:pBdr/>
        <w:bidi w:val="0"/>
        <w:spacing w:before="0" w:after="0"/>
        <w:ind w:left="0" w:right="0" w:hanging="432"/>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contract liability balances:</w:t>
      </w:r>
    </w:p>
    <w:p>
      <w:pPr>
        <w:pStyle w:val="TextBody"/>
        <w:bidi w:val="0"/>
        <w:spacing w:before="0" w:after="0"/>
        <w:ind w:left="0" w:right="0" w:hanging="0"/>
        <w:jc w:val="left"/>
        <w:rPr/>
      </w:pPr>
      <w:r>
        <w:rPr/>
        <w:t>​</w:t>
      </w:r>
    </w:p>
    <w:tbl>
      <w:tblPr>
        <w:tblW w:w="3542" w:type="dxa"/>
        <w:jc w:val="left"/>
        <w:tblInd w:w="0" w:type="dxa"/>
        <w:tblLayout w:type="fixed"/>
        <w:tblCellMar>
          <w:top w:w="0" w:type="dxa"/>
          <w:left w:w="0" w:type="dxa"/>
          <w:bottom w:w="0" w:type="dxa"/>
          <w:right w:w="0" w:type="dxa"/>
        </w:tblCellMar>
      </w:tblPr>
      <w:tblGrid>
        <w:gridCol w:w="1396"/>
        <w:gridCol w:w="109"/>
        <w:gridCol w:w="196"/>
        <w:gridCol w:w="691"/>
        <w:gridCol w:w="109"/>
        <w:gridCol w:w="196"/>
        <w:gridCol w:w="691"/>
        <w:gridCol w:w="154"/>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886460" cy="175260"/>
                      <wp:effectExtent l="0" t="0" r="0" b="0"/>
                      <wp:wrapNone/>
                      <wp:docPr id="700" name="Frame70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9215" cy="175260"/>
                      <wp:effectExtent l="0" t="0" r="0" b="0"/>
                      <wp:wrapNone/>
                      <wp:docPr id="701" name="Frame7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24460" cy="175260"/>
                      <wp:effectExtent l="0" t="0" r="0" b="0"/>
                      <wp:wrapNone/>
                      <wp:docPr id="702" name="Frame7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438785" cy="175260"/>
                      <wp:effectExtent l="0" t="0" r="0" b="0"/>
                      <wp:wrapNone/>
                      <wp:docPr id="703" name="Frame7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9215" cy="175260"/>
                      <wp:effectExtent l="0" t="0" r="0" b="0"/>
                      <wp:wrapNone/>
                      <wp:docPr id="704" name="Frame7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24460" cy="175260"/>
                      <wp:effectExtent l="0" t="0" r="0" b="0"/>
                      <wp:wrapNone/>
                      <wp:docPr id="705" name="Frame7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438785" cy="175260"/>
                      <wp:effectExtent l="0" t="0" r="0" b="0"/>
                      <wp:wrapNone/>
                      <wp:docPr id="706" name="Frame7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97790" cy="175260"/>
                      <wp:effectExtent l="0" t="0" r="0" b="0"/>
                      <wp:wrapNone/>
                      <wp:docPr id="707" name="Frame7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December 31,</w:t>
            </w:r>
          </w:p>
        </w:tc>
        <w:tc>
          <w:tcPr>
            <w:tcW w:w="154"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54" w:type="dxa"/>
            <w:tcBorders/>
            <w:vAlign w:val="center"/>
          </w:tcPr>
          <w:p>
            <w:pPr>
              <w:pStyle w:val="TableContents"/>
              <w:bidi w:val="0"/>
              <w:spacing w:before="0" w:after="0"/>
              <w:ind w:left="0" w:right="0" w:hanging="0"/>
              <w:jc w:val="left"/>
              <w:rPr/>
            </w:pPr>
            <w:r>
              <w:rPr/>
              <w:t>​</w:t>
            </w:r>
          </w:p>
        </w:tc>
      </w:tr>
      <w:tr>
        <w:trPr/>
        <w:tc>
          <w:tcPr>
            <w:tcW w:w="3542"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586,867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672,757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beginning of period contract liability recorded as customer contract revenue during 2023 was $642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Performance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Pay-TV and Retail Wireless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2188" w:name="Tc_v_FvTfvnTU2oz6xeV3RAsQ_7_8"/>
      <w:bookmarkStart w:id="2189" w:name="Tc_NNFua98wOEOne8S9AlzcpQ_7_5"/>
      <w:bookmarkStart w:id="2190" w:name="Tc_xE05vfAPwk2gcM0EcJom_A_7_2"/>
      <w:bookmarkStart w:id="2191" w:name="Tc_TliG7qvMMkCaSn3YQUKJTA_7_0"/>
      <w:bookmarkStart w:id="2192" w:name="Tc_nLsVP4YO0UKdi3BFqz8XJA_6_0"/>
      <w:bookmarkStart w:id="2193" w:name="Tc_9hKA0sD1tkig8dnbEPef4Q_5_0"/>
      <w:bookmarkStart w:id="2194" w:name="Tc_Wb7W-tm1K0OEz0kG-kHE7Q_4_8"/>
      <w:bookmarkStart w:id="2195" w:name="Tc_os2I_Ldt4kaoPLTFNjQtrw_4_5"/>
      <w:bookmarkStart w:id="2196" w:name="Tc_wOWT60pjqkakmc3Ocoo1JQ_4_2"/>
      <w:bookmarkStart w:id="2197" w:name="Tc_jXVaTMhCXEmutstXmKp61Q_4_0"/>
      <w:bookmarkStart w:id="2198" w:name="Tc_cJj4v0R1nEiG3uiM6HwJ-g_3_2"/>
      <w:bookmarkStart w:id="2199" w:name="Tc_xHsGsbl7e0GYPLxZDhgbrg_2_8"/>
      <w:bookmarkStart w:id="2200" w:name="Tc_EY4n-tu7skOZPyFkxiVFWg_2_5"/>
      <w:bookmarkStart w:id="2201" w:name="Tc_qi3EYk_450yUO4qFh96ujg_2_2"/>
      <w:bookmarkStart w:id="2202" w:name="Tc_5-lXtQELzUqh8kmKLbMYQQ_1_2"/>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r>
        <w:rPr>
          <w:rFonts w:ascii="Times New Roman;Times;serif" w:hAnsi="Times New Roman;Times;serif"/>
          <w:b/>
          <w:i/>
          <w:sz w:val="20"/>
        </w:rPr>
        <w:t>Contract Acquisition Costs</w:t>
      </w:r>
    </w:p>
    <w:p>
      <w:pPr>
        <w:pStyle w:val="TextBody"/>
        <w:bidi w:val="0"/>
        <w:spacing w:lineRule="atLeast" w:line="274"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activity in our contract acquisition costs, net:</w:t>
      </w:r>
    </w:p>
    <w:p>
      <w:pPr>
        <w:pStyle w:val="TextBody"/>
        <w:bidi w:val="0"/>
        <w:spacing w:before="0" w:after="0"/>
        <w:ind w:left="0" w:right="0" w:hanging="0"/>
        <w:jc w:val="left"/>
        <w:rPr/>
      </w:pPr>
      <w:r>
        <w:rPr/>
        <w:t>​</w:t>
      </w:r>
    </w:p>
    <w:tbl>
      <w:tblPr>
        <w:tblW w:w="6180" w:type="dxa"/>
        <w:jc w:val="left"/>
        <w:tblInd w:w="0" w:type="dxa"/>
        <w:tblLayout w:type="fixed"/>
        <w:tblCellMar>
          <w:top w:w="0" w:type="dxa"/>
          <w:left w:w="0" w:type="dxa"/>
          <w:bottom w:w="0" w:type="dxa"/>
          <w:right w:w="0" w:type="dxa"/>
        </w:tblCellMar>
      </w:tblPr>
      <w:tblGrid>
        <w:gridCol w:w="2461"/>
        <w:gridCol w:w="109"/>
        <w:gridCol w:w="196"/>
        <w:gridCol w:w="811"/>
        <w:gridCol w:w="326"/>
        <w:gridCol w:w="196"/>
        <w:gridCol w:w="811"/>
        <w:gridCol w:w="109"/>
        <w:gridCol w:w="196"/>
        <w:gridCol w:w="811"/>
        <w:gridCol w:w="154"/>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562735" cy="175260"/>
                      <wp:effectExtent l="0" t="0" r="0" b="0"/>
                      <wp:wrapNone/>
                      <wp:docPr id="708" name="Frame708"/>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9215" cy="175260"/>
                      <wp:effectExtent l="0" t="0" r="0" b="0"/>
                      <wp:wrapNone/>
                      <wp:docPr id="709" name="Frame7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24460" cy="175260"/>
                      <wp:effectExtent l="0" t="0" r="0" b="0"/>
                      <wp:wrapNone/>
                      <wp:docPr id="710" name="Frame7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514985" cy="175260"/>
                      <wp:effectExtent l="0" t="0" r="0" b="0"/>
                      <wp:wrapNone/>
                      <wp:docPr id="711" name="Frame71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2" name="Frame7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24460" cy="175260"/>
                      <wp:effectExtent l="0" t="0" r="0" b="0"/>
                      <wp:wrapNone/>
                      <wp:docPr id="713" name="Frame7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514985" cy="175260"/>
                      <wp:effectExtent l="0" t="0" r="0" b="0"/>
                      <wp:wrapNone/>
                      <wp:docPr id="714" name="Frame71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9215" cy="175260"/>
                      <wp:effectExtent l="0" t="0" r="0" b="0"/>
                      <wp:wrapNone/>
                      <wp:docPr id="715" name="Frame7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24460" cy="175260"/>
                      <wp:effectExtent l="0" t="0" r="0" b="0"/>
                      <wp:wrapNone/>
                      <wp:docPr id="716" name="Frame7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514985" cy="175260"/>
                      <wp:effectExtent l="0" t="0" r="0" b="0"/>
                      <wp:wrapNone/>
                      <wp:docPr id="717" name="Frame71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97790" cy="175260"/>
                      <wp:effectExtent l="0" t="0" r="0" b="0"/>
                      <wp:wrapNone/>
                      <wp:docPr id="718" name="Frame7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56"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Years Ended December 31,</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54" w:type="dxa"/>
            <w:tcBorders/>
            <w:vAlign w:val="center"/>
          </w:tcPr>
          <w:p>
            <w:pPr>
              <w:pStyle w:val="TableContents"/>
              <w:bidi w:val="0"/>
              <w:spacing w:before="0" w:after="0"/>
              <w:ind w:left="0" w:right="0" w:hanging="0"/>
              <w:jc w:val="left"/>
              <w:rPr/>
            </w:pPr>
            <w:r>
              <w:rPr/>
              <w:t>​</w:t>
            </w:r>
          </w:p>
        </w:tc>
      </w:tr>
      <w:tr>
        <w:trPr/>
        <w:tc>
          <w:tcPr>
            <w:tcW w:w="618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56"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381,401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456,255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278,077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346,577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393,109</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(372,202)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(423,182)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(391,358)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end of period</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287,276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381,401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458,006</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203" w:name="Tc_KxboRi1PKkaIt7mrYFKm9g_14_0"/>
      <w:bookmarkStart w:id="2204" w:name="Tc_xFNFM-96Y0aply4Wx1J6FA_13_0"/>
      <w:bookmarkStart w:id="2205" w:name="Tc_MiNbjtLhaE-c8UBQS5nYMw_12_0"/>
      <w:bookmarkStart w:id="2206" w:name="Tc_jdJg8caf4kK-Q4c4HKkgyw_11_11"/>
      <w:bookmarkStart w:id="2207" w:name="Tc_uS9GjnLRikWA7PFCdqQ0dw_11_8"/>
      <w:bookmarkStart w:id="2208" w:name="Tc_cPmqO70USkuS71bDOFD7wA_11_5"/>
      <w:bookmarkStart w:id="2209" w:name="Tc_hwZNrmMA_EGgrKXJwVDMjA_11_2"/>
      <w:bookmarkStart w:id="2210" w:name="Tc_03Al_L24q0uOI5jJLYGjAA_11_0"/>
      <w:bookmarkStart w:id="2211" w:name="Tc_D3TZ_A6qgUWKKA3yX2wvTg_10_0"/>
      <w:bookmarkStart w:id="2212" w:name="Tc_DgJpzph_bE2ayD1QxMY5ag_8_0"/>
      <w:bookmarkStart w:id="2213" w:name="Tc_JrgkhiMDxUClGMXwjLi1rA_7_0"/>
      <w:bookmarkStart w:id="2214" w:name="Tc_fldSh7u62UOTMkvTc8gGeg_6_0"/>
      <w:bookmarkStart w:id="2215" w:name="Tc_L4x1Ag960kCVS4PKNqxAcA_5_11"/>
      <w:bookmarkStart w:id="2216" w:name="Tc_AolGjoT9OkuQwH-AfvIYrg_5_8"/>
      <w:bookmarkStart w:id="2217" w:name="Tc_NnSktnfcQkirLU6TfoanRA_5_5"/>
      <w:bookmarkStart w:id="2218" w:name="Tc_UKARw_4kbUKhe87UKjI9qQ_5_2"/>
      <w:bookmarkStart w:id="2219" w:name="Tc_0xYD0bK_FkGEgPuuvvCqZw_5_0"/>
      <w:bookmarkStart w:id="2220" w:name="Tc_aY4d8poTuUCFLah0RRGY8Q_4_0"/>
      <w:bookmarkStart w:id="2221" w:name="Tc_aKl5KOh_RUiTqlh_is5u0w_3_2"/>
      <w:bookmarkStart w:id="2222" w:name="Tc_cvR7ZK4ShUirEbVHwS9MuQ_2_11"/>
      <w:bookmarkStart w:id="2223" w:name="Tc_fSejQuXTb0C-8WSun8DuFw_2_8"/>
      <w:bookmarkStart w:id="2224" w:name="Tc_a6mEMASuGkeMvQxIZevUXQ_2_5"/>
      <w:bookmarkStart w:id="2225" w:name="Tc_mhuIMlmUx0in37dnX61x1Q_2_2"/>
      <w:bookmarkStart w:id="2226" w:name="Tc_8M_1poDIvUmkt8pXnwDRpQ_1_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r>
        <w:rPr>
          <w:rFonts w:ascii="Times New Roman;Times;serif" w:hAnsi="Times New Roman;Times;serif"/>
          <w:b/>
          <w:sz w:val="20"/>
        </w:rPr>
        <w:t xml:space="preserve">16.    Quarterly Financial Data (Unaudited)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quarterly results of operations are summarized as follows:</w:t>
      </w:r>
    </w:p>
    <w:p>
      <w:pPr>
        <w:pStyle w:val="TextBody"/>
        <w:bidi w:val="0"/>
        <w:spacing w:before="0" w:after="0"/>
        <w:ind w:left="0" w:right="0" w:hanging="0"/>
        <w:jc w:val="left"/>
        <w:rPr/>
      </w:pPr>
      <w:r>
        <w:rPr/>
        <w:t>​</w:t>
      </w:r>
    </w:p>
    <w:tbl>
      <w:tblPr>
        <w:tblW w:w="9558" w:type="dxa"/>
        <w:jc w:val="left"/>
        <w:tblInd w:w="0" w:type="dxa"/>
        <w:tblLayout w:type="fixed"/>
        <w:tblCellMar>
          <w:top w:w="0" w:type="dxa"/>
          <w:left w:w="0" w:type="dxa"/>
          <w:bottom w:w="0" w:type="dxa"/>
          <w:right w:w="0" w:type="dxa"/>
        </w:tblCellMar>
      </w:tblPr>
      <w:tblGrid>
        <w:gridCol w:w="3541"/>
        <w:gridCol w:w="326"/>
        <w:gridCol w:w="196"/>
        <w:gridCol w:w="826"/>
        <w:gridCol w:w="326"/>
        <w:gridCol w:w="196"/>
        <w:gridCol w:w="826"/>
        <w:gridCol w:w="326"/>
        <w:gridCol w:w="221"/>
        <w:gridCol w:w="935"/>
        <w:gridCol w:w="326"/>
        <w:gridCol w:w="196"/>
        <w:gridCol w:w="946"/>
        <w:gridCol w:w="37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248535" cy="175260"/>
                      <wp:effectExtent l="0" t="0" r="0" b="0"/>
                      <wp:wrapNone/>
                      <wp:docPr id="719" name="Frame71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720" name="Frame7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24460" cy="175260"/>
                      <wp:effectExtent l="0" t="0" r="0" b="0"/>
                      <wp:wrapNone/>
                      <wp:docPr id="721" name="Frame7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524510" cy="175260"/>
                      <wp:effectExtent l="0" t="0" r="0" b="0"/>
                      <wp:wrapNone/>
                      <wp:docPr id="722" name="Frame7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07010" cy="175260"/>
                      <wp:effectExtent l="0" t="0" r="0" b="0"/>
                      <wp:wrapNone/>
                      <wp:docPr id="723" name="Frame7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24460" cy="175260"/>
                      <wp:effectExtent l="0" t="0" r="0" b="0"/>
                      <wp:wrapNone/>
                      <wp:docPr id="724" name="Frame7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524510" cy="175260"/>
                      <wp:effectExtent l="0" t="0" r="0" b="0"/>
                      <wp:wrapNone/>
                      <wp:docPr id="725" name="Frame7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07010" cy="175260"/>
                      <wp:effectExtent l="0" t="0" r="0" b="0"/>
                      <wp:wrapNone/>
                      <wp:docPr id="726"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40335" cy="175260"/>
                      <wp:effectExtent l="0" t="0" r="0" b="0"/>
                      <wp:wrapNone/>
                      <wp:docPr id="727" name="Frame72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593725" cy="175260"/>
                      <wp:effectExtent l="0" t="0" r="0" b="0"/>
                      <wp:wrapNone/>
                      <wp:docPr id="728" name="Frame72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07010" cy="175260"/>
                      <wp:effectExtent l="0" t="0" r="0" b="0"/>
                      <wp:wrapNone/>
                      <wp:docPr id="729" name="Frame7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24460" cy="175260"/>
                      <wp:effectExtent l="0" t="0" r="0" b="0"/>
                      <wp:wrapNone/>
                      <wp:docPr id="730" name="Frame7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600710" cy="175260"/>
                      <wp:effectExtent l="0" t="0" r="0" b="0"/>
                      <wp:wrapNone/>
                      <wp:docPr id="731" name="Frame73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35585" cy="175260"/>
                      <wp:effectExtent l="0" t="0" r="0" b="0"/>
                      <wp:wrapNone/>
                      <wp:docPr id="732" name="Frame73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20"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w:t>
            </w:r>
          </w:p>
        </w:tc>
        <w:tc>
          <w:tcPr>
            <w:tcW w:w="371" w:type="dxa"/>
            <w:tcBorders/>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371" w:type="dxa"/>
            <w:tcBorders/>
            <w:vAlign w:val="center"/>
          </w:tcPr>
          <w:p>
            <w:pPr>
              <w:pStyle w:val="TableContents"/>
              <w:bidi w:val="0"/>
              <w:spacing w:before="0" w:after="0"/>
              <w:ind w:left="0" w:right="0" w:hanging="0"/>
              <w:jc w:val="left"/>
              <w:rPr/>
            </w:pPr>
            <w:r>
              <w:rPr/>
              <w:t>    </w:t>
            </w:r>
          </w:p>
        </w:tc>
      </w:tr>
      <w:tr>
        <w:trPr/>
        <w:tc>
          <w:tcPr>
            <w:tcW w:w="9558"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20" w:type="dxa"/>
            <w:gridSpan w:val="11"/>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371" w:type="dxa"/>
            <w:tcBorders/>
            <w:vAlign w:val="center"/>
          </w:tcPr>
          <w:p>
            <w:pPr>
              <w:pStyle w:val="TableContents"/>
              <w:bidi w:val="0"/>
              <w:spacing w:before="0" w:after="0"/>
              <w:ind w:left="0" w:right="0" w:hanging="0"/>
              <w:jc w:val="center"/>
              <w:rPr/>
            </w:pPr>
            <w:r>
              <w:rPr/>
              <w:t>​</w:t>
            </w:r>
          </w:p>
        </w:tc>
      </w:tr>
      <w:tr>
        <w:trPr/>
        <w:tc>
          <w:tcPr>
            <w:tcW w:w="354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Year ended December 31, 2023:</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3,956,982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3,911,577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3,704,516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3,722,013</w:t>
            </w:r>
          </w:p>
        </w:tc>
        <w:tc>
          <w:tcPr>
            <w:tcW w:w="371"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323,423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206,334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(312,694)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243,238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222,424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(116,839)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(1,477,245)</w:t>
            </w:r>
          </w:p>
        </w:tc>
        <w:tc>
          <w:tcPr>
            <w:tcW w:w="371"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DISH Network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222,705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200,323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(139,185)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(1,496,066)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Year ended December 31, 2022: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4,330,620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4,209,963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4,095,451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4,043,373</w:t>
            </w:r>
          </w:p>
        </w:tc>
        <w:tc>
          <w:tcPr>
            <w:tcW w:w="371"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692,935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427,029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375,342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448,846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540,007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429,585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954,469</w:t>
            </w:r>
          </w:p>
        </w:tc>
        <w:tc>
          <w:tcPr>
            <w:tcW w:w="371"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DISH Network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432,651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522,832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412,230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935,520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17.    Related Party Transactions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 with EchoStar, our Parent.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January 1, 2008, DISH Network completed the distribution of its technology and set-top box business and certain infrastructure assets (the “Spin-off”) into a separate publicly-traded company, EchoStar. Following the Spin-off, DISH Network and EchoStar operated as separate publicly-traded companies until the Merger on December 31, 2023. See Note 1 for more information. After the Spin-off and prior to the Merger, we and EchoStar entered into certain agreements pursuant to which we obtain certain products, services and rights from EchoStar and EchoStar obtains certain products, services and rights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28, 2017, we and EchoStar and certain of our respective subsidiaries completed a transaction (the “Share Exchange Agreement”) pursuant to which certain assets that were transferred to EchoStar in the Spin-off were transferred back to us. On September 10, 2019, we and EchoStar and certain of our respective subsidiaries completed the transactions contemplated by the Master Transaction Agreement (the “Master Transaction Agreement”) pursuant to which certain assets that were transferred to EchoStar in the Spin-off were transferred back to us. On December 31, 2023, EchoStar completed the acquisition of DISH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the terms of our principal agreements with EchoStar that may have an impact on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r>
        <w:rPr>
          <w:rFonts w:ascii="Times New Roman;Times;serif" w:hAnsi="Times New Roman;Times;serif"/>
          <w:b/>
          <w:i/>
          <w:sz w:val="20"/>
        </w:rPr>
        <w:t xml:space="preserve">Trade accounts receivable”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and 2022, trade accounts receivable from EchoStar was $4 million and $1 million, respectively. These amounts are recorded in “Trade accounts receivable” on our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b/>
          <w:i/>
          <w:sz w:val="20"/>
        </w:rPr>
        <w:t xml:space="preserve">Trade accounts payable”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and 2022, trade accounts payable to EchoStar was $13 million and $4 million, respectively. These amounts are recorded in “Trade accounts payable” on our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b/>
          <w:i/>
          <w:sz w:val="20"/>
        </w:rPr>
        <w:t xml:space="preserve">Service revenue”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2022 and 2021, we received $5 million, $4 million and $4 million, respectively, for services provided to EchoStar. These amounts are recorded in “Service revenue” on our Consolidated Statements of Operations and Comprehensive Income (Loss). The agreements pertaining to these revenues are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TT&amp;C Agreement – Master Transaction Agreement</w:t>
      </w:r>
      <w:r>
        <w:rPr>
          <w:rFonts w:ascii="Times New Roman;Times;serif" w:hAnsi="Times New Roman;Times;serif"/>
          <w:sz w:val="20"/>
        </w:rPr>
        <w:t>. In September 2019, we entered into an agreement pursuant to which we provide TT&amp;C services to EchoStar for a period ending in September 2021, with the option for EchoStar to renew for a one-year</w:t>
      </w:r>
      <w:r>
        <w:rPr>
          <w:rFonts w:ascii="Times New Roman;Times;serif" w:hAnsi="Times New Roman;Times;serif"/>
          <w:sz w:val="24"/>
        </w:rPr>
        <w:t xml:space="preserve"> </w:t>
      </w:r>
      <w:r>
        <w:rPr>
          <w:rFonts w:ascii="Times New Roman;Times;serif" w:hAnsi="Times New Roman;Times;serif"/>
          <w:sz w:val="20"/>
        </w:rPr>
        <w:t>period upon written notice at least 90 days</w:t>
      </w:r>
      <w:r>
        <w:rPr>
          <w:rFonts w:ascii="Times New Roman;Times;serif" w:hAnsi="Times New Roman;Times;serif"/>
          <w:sz w:val="24"/>
        </w:rPr>
        <w:t xml:space="preserve"> </w:t>
      </w:r>
      <w:r>
        <w:rPr>
          <w:rFonts w:ascii="Times New Roman;Times;serif" w:hAnsi="Times New Roman;Times;serif"/>
          <w:sz w:val="20"/>
        </w:rPr>
        <w:t>prior to the initial expiration (the “MTA TT&amp;C Agreement”). The fees for services provided under the MTA TT&amp;C Agreement are calculated at either: (i) a fixed fee or (ii) cost plus a fixed margin, which will vary depending on the nature of the services provided. Either party is able to terminate the MTA TT&amp;C Agreement for any reason upon 12 months</w:t>
      </w:r>
      <w:r>
        <w:rPr>
          <w:rFonts w:ascii="Times New Roman;Times;serif" w:hAnsi="Times New Roman;Times;serif"/>
          <w:sz w:val="24"/>
        </w:rPr>
        <w:t xml:space="preserve">’ </w:t>
      </w:r>
      <w:r>
        <w:rPr>
          <w:rFonts w:ascii="Times New Roman;Times;serif" w:hAnsi="Times New Roman;Times;serif"/>
          <w:sz w:val="20"/>
        </w:rPr>
        <w:t>notice. In June 2021, we amended the MTA TT&amp;C Agreement to extend the term until September 2022 and added the option for EchoStar to renew for three</w:t>
      </w:r>
      <w:r>
        <w:rPr>
          <w:rFonts w:ascii="Times New Roman;Times;serif" w:hAnsi="Times New Roman;Times;serif"/>
          <w:sz w:val="24"/>
        </w:rPr>
        <w:t xml:space="preserve"> </w:t>
      </w:r>
      <w:r>
        <w:rPr>
          <w:rFonts w:ascii="Times New Roman;Times;serif" w:hAnsi="Times New Roman;Times;serif"/>
          <w:sz w:val="20"/>
        </w:rPr>
        <w:t>one-year</w:t>
      </w:r>
      <w:r>
        <w:rPr>
          <w:rFonts w:ascii="Times New Roman;Times;serif" w:hAnsi="Times New Roman;Times;serif"/>
          <w:sz w:val="24"/>
        </w:rPr>
        <w:t xml:space="preserve"> </w:t>
      </w:r>
      <w:r>
        <w:rPr>
          <w:rFonts w:ascii="Times New Roman;Times;serif" w:hAnsi="Times New Roman;Times;serif"/>
          <w:sz w:val="20"/>
        </w:rPr>
        <w:t>renewal terms. In August 2022, EchoStar exercised its first renewal option for a period ending in September 2023. In June 2023, EchoStar exercised its second renewal option for a period ending in September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b/>
          <w:i/>
          <w:sz w:val="20"/>
        </w:rPr>
        <w:t>Equipment sales and other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2022 and 2021, we received $3 million, $2 million and $2 million, respectively, for services provided to EchoStar. These amounts are recorded in “Equipment sales and other revenue” on our Consolidated Statements of Operations and Comprehensive Income (Loss). The agreements pertaining to these revenues are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Real Estate Lease Agreements. </w:t>
      </w:r>
      <w:r>
        <w:rPr>
          <w:rFonts w:ascii="Times New Roman;Times;serif" w:hAnsi="Times New Roman;Times;serif"/>
          <w:sz w:val="20"/>
        </w:rPr>
        <w:t>We have entered into lease agreements pursuant to which we lease certain real 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El Paso Lease Agreement. </w:t>
            </w:r>
            <w:r>
              <w:rPr>
                <w:rFonts w:ascii="Times New Roman;Times;serif" w:hAnsi="Times New Roman;Times;serif"/>
                <w:b w:val="false"/>
                <w:i w:val="false"/>
                <w:caps w:val="false"/>
                <w:smallCaps w:val="false"/>
                <w:sz w:val="20"/>
              </w:rPr>
              <w:t>During 2012, we began leasing certain space at 1285 Joe Battle Blvd., El Paso, Texas to EchoStar for an initial period ending on August 1, 2015, which also provides EchoStar with renewal options for four</w:t>
            </w:r>
            <w:r>
              <w:rPr>
                <w:caps w:val="false"/>
                <w:smallCaps w:val="false"/>
              </w:rPr>
              <w:t xml:space="preserve"> </w:t>
            </w:r>
            <w:r>
              <w:rPr>
                <w:rFonts w:ascii="Times New Roman;Times;serif" w:hAnsi="Times New Roman;Times;serif"/>
                <w:b w:val="false"/>
                <w:i w:val="false"/>
                <w:caps w:val="false"/>
                <w:smallCaps w:val="false"/>
                <w:sz w:val="20"/>
              </w:rPr>
              <w:t>consecutive three-year</w:t>
            </w:r>
            <w:r>
              <w:rPr>
                <w:caps w:val="false"/>
                <w:smallCaps w:val="false"/>
              </w:rPr>
              <w:t xml:space="preserve"> </w:t>
            </w:r>
            <w:r>
              <w:rPr>
                <w:rFonts w:ascii="Times New Roman;Times;serif" w:hAnsi="Times New Roman;Times;serif"/>
                <w:b w:val="false"/>
                <w:i w:val="false"/>
                <w:caps w:val="false"/>
                <w:smallCaps w:val="false"/>
                <w:sz w:val="20"/>
              </w:rPr>
              <w:t>terms. During the second quarter of 2015, EchoStar exercised its first renewal option for a period ending on August 1, 2018 and in April 2018 EchoStar exercised its second renewal option for a period ending in July 2021 and in May 2021 EchoStar exercised its third renewal option for a period ending in July 2024.</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90 Inverness Lease Agreement</w:t>
            </w:r>
            <w:r>
              <w:rPr>
                <w:rFonts w:ascii="Times New Roman;Times;serif" w:hAnsi="Times New Roman;Times;serif"/>
                <w:b w:val="false"/>
                <w:i w:val="false"/>
                <w:caps w:val="false"/>
                <w:smallCaps w:val="false"/>
                <w:sz w:val="20"/>
              </w:rPr>
              <w:t>.  Effective March 1, 2017, EchoStar leases certain space from us at 90 Inverness Circle East, Englewood, Colorado for a period ending in February 2023.  EchoStar has the option to renew this lease for four</w:t>
            </w:r>
            <w:r>
              <w:rPr>
                <w:caps w:val="false"/>
                <w:smallCaps w:val="false"/>
              </w:rPr>
              <w:t xml:space="preserve"> </w:t>
            </w:r>
            <w:r>
              <w:rPr>
                <w:rFonts w:ascii="Times New Roman;Times;serif" w:hAnsi="Times New Roman;Times;serif"/>
                <w:b w:val="false"/>
                <w:i w:val="false"/>
                <w:caps w:val="false"/>
                <w:smallCaps w:val="false"/>
                <w:sz w:val="20"/>
              </w:rPr>
              <w:t>three-year</w:t>
            </w:r>
            <w:r>
              <w:rPr>
                <w:caps w:val="false"/>
                <w:smallCaps w:val="false"/>
              </w:rPr>
              <w:t xml:space="preserve"> </w:t>
            </w:r>
            <w:r>
              <w:rPr>
                <w:rFonts w:ascii="Times New Roman;Times;serif" w:hAnsi="Times New Roman;Times;serif"/>
                <w:b w:val="false"/>
                <w:i w:val="false"/>
                <w:caps w:val="false"/>
                <w:smallCaps w:val="false"/>
                <w:sz w:val="20"/>
              </w:rPr>
              <w:t>periods. EchoStar exercised its renewal option for a period ending in February 2025.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Cheyenne Lease Agreement</w:t>
            </w:r>
            <w:r>
              <w:rPr>
                <w:rFonts w:ascii="Times New Roman;Times;serif" w:hAnsi="Times New Roman;Times;serif"/>
                <w:b w:val="false"/>
                <w:i w:val="false"/>
                <w:caps w:val="false"/>
                <w:smallCaps w:val="false"/>
                <w:sz w:val="20"/>
              </w:rPr>
              <w:t>.  Effective March 1, 2017, EchoStar began leasing certain space from us at 530 EchoStar Drive, Cheyenne, Wyoming for a period ending in February 2019.  In August 2018, EchoStar exercised its option to renew this lease for a one-year</w:t>
            </w:r>
            <w:r>
              <w:rPr>
                <w:caps w:val="false"/>
                <w:smallCaps w:val="false"/>
              </w:rPr>
              <w:t xml:space="preserve"> </w:t>
            </w:r>
            <w:r>
              <w:rPr>
                <w:rFonts w:ascii="Times New Roman;Times;serif" w:hAnsi="Times New Roman;Times;serif"/>
                <w:b w:val="false"/>
                <w:i w:val="false"/>
                <w:caps w:val="false"/>
                <w:smallCaps w:val="false"/>
                <w:sz w:val="20"/>
              </w:rPr>
              <w:t>period ending in February 2020. EchoStar has the option to renew this lease for 12</w:t>
            </w:r>
            <w:r>
              <w:rPr>
                <w:caps w:val="false"/>
                <w:smallCaps w:val="false"/>
              </w:rPr>
              <w:t xml:space="preserve"> </w:t>
            </w:r>
            <w:r>
              <w:rPr>
                <w:rFonts w:ascii="Times New Roman;Times;serif" w:hAnsi="Times New Roman;Times;serif"/>
                <w:b w:val="false"/>
                <w:i w:val="false"/>
                <w:caps w:val="false"/>
                <w:smallCaps w:val="false"/>
                <w:sz w:val="20"/>
              </w:rPr>
              <w:t>one-year</w:t>
            </w:r>
            <w:r>
              <w:rPr>
                <w:caps w:val="false"/>
                <w:smallCaps w:val="false"/>
              </w:rPr>
              <w:t xml:space="preserve"> </w:t>
            </w:r>
            <w:r>
              <w:rPr>
                <w:rFonts w:ascii="Times New Roman;Times;serif" w:hAnsi="Times New Roman;Times;serif"/>
                <w:b w:val="false"/>
                <w:i w:val="false"/>
                <w:caps w:val="false"/>
                <w:smallCaps w:val="false"/>
                <w:sz w:val="20"/>
              </w:rPr>
              <w:t>periods. During September 2019, we and EchoStar amended this lease to provide EchoStar with certain space for a period ending in September 2023, with the option for EchoStar to renew for a one-year</w:t>
            </w:r>
            <w:r>
              <w:rPr>
                <w:caps w:val="false"/>
                <w:smallCaps w:val="false"/>
              </w:rPr>
              <w:t xml:space="preserve"> </w:t>
            </w:r>
            <w:r>
              <w:rPr>
                <w:rFonts w:ascii="Times New Roman;Times;serif" w:hAnsi="Times New Roman;Times;serif"/>
                <w:b w:val="false"/>
                <w:i w:val="false"/>
                <w:caps w:val="false"/>
                <w:smallCaps w:val="false"/>
                <w:sz w:val="20"/>
              </w:rPr>
              <w:t>period upon 180 days</w:t>
            </w:r>
            <w:r>
              <w:rPr>
                <w:caps w:val="false"/>
                <w:smallCaps w:val="false"/>
              </w:rPr>
              <w:t xml:space="preserve">’ </w:t>
            </w:r>
            <w:r>
              <w:rPr>
                <w:rFonts w:ascii="Times New Roman;Times;serif" w:hAnsi="Times New Roman;Times;serif"/>
                <w:b w:val="false"/>
                <w:i w:val="false"/>
                <w:caps w:val="false"/>
                <w:smallCaps w:val="false"/>
                <w:sz w:val="20"/>
              </w:rPr>
              <w:t>written notice prior to the end of the term. This lease was not renewed and terminated in September 2023.</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Collocation and Antenna Space Agreements</w:t>
      </w:r>
      <w:r>
        <w:rPr>
          <w:rFonts w:ascii="Times New Roman;Times;serif" w:hAnsi="Times New Roman;Times;serif"/>
          <w:sz w:val="20"/>
        </w:rPr>
        <w:t>.  Effective March 1, 2017, we entered into certain agreements pursuant to which we provide certain collocation and antenna space to HNS through February 2025 at the following locations: Cheyenne, Wyoming; Gilbert, Arizona; Monee, Illinois; Englewood, Colorado; and Spokane, Washington. During August 2017, we entered into certain other agreements pursuant to which we provide certain collocation and antenna space to HNS through August 2022 at the following locations: Monee, Illinois and Spokane, Washington. HNS has the option to renew each of these agreements for four</w:t>
      </w:r>
      <w:r>
        <w:rPr>
          <w:rFonts w:ascii="Times New Roman;Times;serif" w:hAnsi="Times New Roman;Times;serif"/>
          <w:sz w:val="24"/>
        </w:rPr>
        <w:t xml:space="preserve"> </w:t>
      </w:r>
      <w:r>
        <w:rPr>
          <w:rFonts w:ascii="Times New Roman;Times;serif" w:hAnsi="Times New Roman;Times;serif"/>
          <w:sz w:val="20"/>
        </w:rPr>
        <w:t>three-year</w:t>
      </w:r>
      <w:r>
        <w:rPr>
          <w:rFonts w:ascii="Times New Roman;Times;serif" w:hAnsi="Times New Roman;Times;serif"/>
          <w:sz w:val="24"/>
        </w:rPr>
        <w:t xml:space="preserve"> </w:t>
      </w:r>
      <w:r>
        <w:rPr>
          <w:rFonts w:ascii="Times New Roman;Times;serif" w:hAnsi="Times New Roman;Times;serif"/>
          <w:sz w:val="20"/>
        </w:rPr>
        <w:t>periods. HNS may terminate certain of these agreements with 180 days</w:t>
      </w:r>
      <w:r>
        <w:rPr>
          <w:rFonts w:ascii="Times New Roman;Times;serif" w:hAnsi="Times New Roman;Times;serif"/>
          <w:sz w:val="24"/>
        </w:rPr>
        <w:t xml:space="preserve">’ </w:t>
      </w:r>
      <w:r>
        <w:rPr>
          <w:rFonts w:ascii="Times New Roman;Times;serif" w:hAnsi="Times New Roman;Times;serif"/>
          <w:sz w:val="20"/>
        </w:rPr>
        <w:t>prior written notice to us at the following locations: Englewood, Colorado; and Spokane, Washington. The fees for the services provided under these agreements depend, among other things, on the number of racks leased and/or antennas present at the location.</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Also in September 2019, we entered into an agreement pursuant to which we provide HNS with antenna space and power in Cheyenne, Wyoming for a period of five years</w:t>
      </w:r>
      <w:r>
        <w:rPr>
          <w:rFonts w:ascii="Times New Roman;Times;serif" w:hAnsi="Times New Roman;Times;serif"/>
          <w:sz w:val="24"/>
        </w:rPr>
        <w:t xml:space="preserve"> </w:t>
      </w:r>
      <w:r>
        <w:rPr>
          <w:rFonts w:ascii="Times New Roman;Times;serif" w:hAnsi="Times New Roman;Times;serif"/>
          <w:sz w:val="20"/>
        </w:rPr>
        <w:t>commencing no later than October 2020, with four</w:t>
      </w:r>
      <w:r>
        <w:rPr>
          <w:rFonts w:ascii="Times New Roman;Times;serif" w:hAnsi="Times New Roman;Times;serif"/>
          <w:sz w:val="24"/>
        </w:rPr>
        <w:t xml:space="preserve"> </w:t>
      </w:r>
      <w:r>
        <w:rPr>
          <w:rFonts w:ascii="Times New Roman;Times;serif" w:hAnsi="Times New Roman;Times;serif"/>
          <w:sz w:val="20"/>
        </w:rPr>
        <w:t>three-year</w:t>
      </w:r>
      <w:r>
        <w:rPr>
          <w:rFonts w:ascii="Times New Roman;Times;serif" w:hAnsi="Times New Roman;Times;serif"/>
          <w:sz w:val="24"/>
        </w:rPr>
        <w:t xml:space="preserve"> </w:t>
      </w:r>
      <w:r>
        <w:rPr>
          <w:rFonts w:ascii="Times New Roman;Times;serif" w:hAnsi="Times New Roman;Times;serif"/>
          <w:sz w:val="20"/>
        </w:rPr>
        <w:t>renewal terms, with prior written notice no more than 120 days</w:t>
      </w:r>
      <w:r>
        <w:rPr>
          <w:rFonts w:ascii="Times New Roman;Times;serif" w:hAnsi="Times New Roman;Times;serif"/>
          <w:sz w:val="24"/>
        </w:rPr>
        <w:t xml:space="preserve"> </w:t>
      </w:r>
      <w:r>
        <w:rPr>
          <w:rFonts w:ascii="Times New Roman;Times;serif" w:hAnsi="Times New Roman;Times;serif"/>
          <w:sz w:val="20"/>
        </w:rPr>
        <w:t>but no less than 90 days</w:t>
      </w:r>
      <w:r>
        <w:rPr>
          <w:rFonts w:ascii="Times New Roman;Times;serif" w:hAnsi="Times New Roman;Times;serif"/>
          <w:sz w:val="24"/>
        </w:rPr>
        <w:t xml:space="preserve"> </w:t>
      </w:r>
      <w:r>
        <w:rPr>
          <w:rFonts w:ascii="Times New Roman;Times;serif" w:hAnsi="Times New Roman;Times;serif"/>
          <w:sz w:val="20"/>
        </w:rPr>
        <w:t>prior to the end of the then-current term.</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r>
        <w:rPr>
          <w:rFonts w:ascii="Times New Roman;Times;serif" w:hAnsi="Times New Roman;Times;serif"/>
          <w:b/>
          <w:i/>
          <w:sz w:val="20"/>
        </w:rPr>
        <w:t>Cost of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2022 and 2021, we incurred $8 million, $12 million and $15 million, respectively, of costs for services provided to us by EchoStar.  These amounts are recorded in “Cost of services” on our Consolidated Statements of Operations and Comprehensive Income (Loss). The agreements pertaining to these expenses are discussed below.</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i/>
          <w:sz w:val="20"/>
        </w:rPr>
        <w:t>Hughes Broadband Distribution Agreement</w:t>
      </w:r>
      <w:r>
        <w:rPr>
          <w:rFonts w:ascii="Times New Roman;Times;serif" w:hAnsi="Times New Roman;Times;serif"/>
          <w:sz w:val="20"/>
        </w:rPr>
        <w:t xml:space="preserve">. Effective October 1, 2012, dishNET Satellite Broadband L.L.C. (“dishNET Satellite Broadband”), our indirect wholly-owned subsidiary, and HNS entered into a Distribution Agreement (the “Distribution Agreement”) pursuant to which dishNET Satellite Broadband has the right, but not the obligation, to market, sell and distribute the HNS satellite Internet service (the “Service”). dishNET Satellite Broadband pays HNS a monthly per subscriber wholesale service fee for the Service based upon the subscriber’s service level, and, beginning January 1, 2014, certain volume subscription thresholds. The Distribution Agreement also provides that dishNET Satellite Broadband has the right, but not the obligation, to purchase certain broadband equipment from HNS to support the sale of the Service. On February 20, 2014, dishNET Satellite Broadband and HNS amended the Distribution Agreement which, among other things, extended the initial term of the Distribution Agreement through March 1, 2024.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4"/>
        </w:rPr>
      </w:pPr>
      <w:r>
        <w:rPr>
          <w:rFonts w:ascii="Times New Roman;Times;serif" w:hAnsi="Times New Roman;Times;serif"/>
          <w:sz w:val="20"/>
        </w:rPr>
        <w:t>Thereafter, the Distribution Agreement automatically renews for successive one year</w:t>
      </w:r>
      <w:r>
        <w:rPr>
          <w:rFonts w:ascii="Times New Roman;Times;serif" w:hAnsi="Times New Roman;Times;serif"/>
          <w:sz w:val="24"/>
        </w:rPr>
        <w:t xml:space="preserve"> </w:t>
      </w:r>
      <w:r>
        <w:rPr>
          <w:rFonts w:ascii="Times New Roman;Times;serif" w:hAnsi="Times New Roman;Times;serif"/>
          <w:sz w:val="20"/>
        </w:rPr>
        <w:t>terms unless either party gives written notice of its intent not to renew to the other party at least 180 days</w:t>
      </w:r>
      <w:r>
        <w:rPr>
          <w:rFonts w:ascii="Times New Roman;Times;serif" w:hAnsi="Times New Roman;Times;serif"/>
          <w:sz w:val="24"/>
        </w:rPr>
        <w:t xml:space="preserve"> </w:t>
      </w:r>
      <w:r>
        <w:rPr>
          <w:rFonts w:ascii="Times New Roman;Times;serif" w:hAnsi="Times New Roman;Times;serif"/>
          <w:sz w:val="20"/>
        </w:rPr>
        <w:t xml:space="preserve">before the expiration of the then-current term. Upon expiration or termination of the Distribution Agreement, the parties will continue to provide the Service to the then-current dishNET subscribers pursuant to the terms and conditions of the Distribution Agreement.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EchoStar IX. </w:t>
      </w:r>
      <w:r>
        <w:rPr>
          <w:rFonts w:ascii="Times New Roman;Times;serif" w:hAnsi="Times New Roman;Times;serif"/>
          <w:sz w:val="20"/>
        </w:rPr>
        <w:t xml:space="preserve">We leased certain satellite capacity from EchoStar on EchoStar IX. Subject to availability, we generally had the right to continue to lease satellite capacity from EchoStar on EchoStar IX on a month-to-month basis. This lease expired on December 31, 2022.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2227" w:name="_Hlk531789852"/>
      <w:bookmarkEnd w:id="2227"/>
      <w:r>
        <w:rPr/>
        <w:t>“</w:t>
      </w:r>
      <w:r>
        <w:rPr>
          <w:rFonts w:ascii="Times New Roman;Times;serif" w:hAnsi="Times New Roman;Times;serif"/>
          <w:b/>
          <w:i/>
          <w:sz w:val="20"/>
        </w:rPr>
        <w:t xml:space="preserve">Cost of sales – equipment and other”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2023, 2022 and 2021, we incurred $5 million, $5 million and $6 million, respectively, for satellite hosting, operations and maintenance services as well as transmission of certain data.  These amounts are recorded in “Cost of sales – equipment and other” on our Consolidated Statements of Operations and Comprehensive Income (Loss).  The agreements pertaining to these expenses are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DBSD North America Agreement.</w:t>
      </w:r>
      <w:r>
        <w:rPr>
          <w:rFonts w:ascii="Times New Roman;Times;serif" w:hAnsi="Times New Roman;Times;serif"/>
          <w:sz w:val="20"/>
        </w:rPr>
        <w:t xml:space="preserve"> On March 9, 2012, we completed the DBSD Transaction. During the second quarter of 2011, EchoStar acquired Hughes. Prior to our acquisition of DBSD North America and EchoStar’s acquisition of Hughes, DBSD North America and HNS entered into an agreement pursuant to which HNS provides, among other things, hosting, operations and maintenance services for DBSD North America’s satellite gateway and associated ground infrastructure. This agreement generally may be terminated by us at any time for convenience.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TerreStar Agreements</w:t>
      </w:r>
      <w:r>
        <w:rPr>
          <w:rFonts w:ascii="Times New Roman;Times;serif" w:hAnsi="Times New Roman;Times;serif"/>
          <w:sz w:val="20"/>
        </w:rPr>
        <w:t>. On March 9, 2012, we completed the TerreStar Transaction. Prior to our acquisition of substantially all the assets of TerreStar and EchoStar’s acquisition of Hughes, TerreStar and HNS entered into various agreements pursuant to which HNS provides, among other things, hosting, operations and maintenance services for TerreStar’s satellite gateway and associated ground infrastructure. These agreements generally may be terminated by us at any time for convenience.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i/>
          <w:sz w:val="20"/>
        </w:rPr>
        <w:t>Hughes Equipment and Services Agreement.</w:t>
      </w:r>
      <w:r>
        <w:rPr>
          <w:rFonts w:ascii="Times New Roman;Times;serif" w:hAnsi="Times New Roman;Times;serif"/>
          <w:sz w:val="24"/>
        </w:rPr>
        <w:t xml:space="preserve">  </w:t>
      </w:r>
      <w:r>
        <w:rPr>
          <w:rFonts w:ascii="Times New Roman;Times;serif" w:hAnsi="Times New Roman;Times;serif"/>
          <w:sz w:val="20"/>
        </w:rPr>
        <w:t>In February 2019, we and HNS entered into an agreement pursuant to which HNS will provide us with HughesNet Service and HughesNet equipment for the transmission of certain data related to our 5G Network Deployment.  This agreement has an initial term of five years</w:t>
      </w:r>
      <w:r>
        <w:rPr>
          <w:rFonts w:ascii="Times New Roman;Times;serif" w:hAnsi="Times New Roman;Times;serif"/>
          <w:sz w:val="24"/>
        </w:rPr>
        <w:t xml:space="preserve"> </w:t>
      </w:r>
      <w:r>
        <w:rPr>
          <w:rFonts w:ascii="Times New Roman;Times;serif" w:hAnsi="Times New Roman;Times;serif"/>
          <w:sz w:val="20"/>
        </w:rPr>
        <w:t>with automatic renewal for successive one-year</w:t>
      </w:r>
      <w:r>
        <w:rPr>
          <w:rFonts w:ascii="Times New Roman;Times;serif" w:hAnsi="Times New Roman;Times;serif"/>
          <w:sz w:val="24"/>
        </w:rPr>
        <w:t xml:space="preserve"> </w:t>
      </w:r>
      <w:r>
        <w:rPr>
          <w:rFonts w:ascii="Times New Roman;Times;serif" w:hAnsi="Times New Roman;Times;serif"/>
          <w:sz w:val="20"/>
        </w:rPr>
        <w:t>terms unless terminated by DISH Network with at least 180</w:t>
      </w:r>
      <w:r>
        <w:rPr>
          <w:rFonts w:ascii="Times New Roman;Times;serif" w:hAnsi="Times New Roman;Times;serif"/>
          <w:sz w:val="24"/>
        </w:rPr>
        <w:t xml:space="preserve"> </w:t>
      </w:r>
      <w:r>
        <w:rPr>
          <w:rFonts w:ascii="Times New Roman;Times;serif" w:hAnsi="Times New Roman;Times;serif"/>
          <w:sz w:val="20"/>
        </w:rPr>
        <w:t>days’ written notice to HNS or by HNS with at least 365</w:t>
      </w:r>
      <w:r>
        <w:rPr>
          <w:rFonts w:ascii="Times New Roman;Times;serif" w:hAnsi="Times New Roman;Times;serif"/>
          <w:sz w:val="24"/>
        </w:rPr>
        <w:t xml:space="preserve"> </w:t>
      </w:r>
      <w:r>
        <w:rPr>
          <w:rFonts w:ascii="Times New Roman;Times;serif" w:hAnsi="Times New Roman;Times;serif"/>
          <w:sz w:val="20"/>
        </w:rPr>
        <w:t>days’ written notice to DISH Network.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b/>
          <w:i/>
          <w:sz w:val="20"/>
        </w:rPr>
        <w:t>Selling, general and administrative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years ended December 31, 2023, 2022 and 2021, we incurred $12 million, $14 million and $19 million, respectively, for selling, general and administrative expenses for services provided to us by EchoStar. These amounts are recorded in “Selling, general and administrative expenses” on our Consolidated Statements of Operations and Comprehensive Income (Loss). The agreements pertaining to these expenses are discussed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Real Estate Lease Agreements. </w:t>
      </w:r>
      <w:r>
        <w:rPr>
          <w:rFonts w:ascii="Times New Roman;Times;serif" w:hAnsi="Times New Roman;Times;serif"/>
          <w:sz w:val="20"/>
        </w:rPr>
        <w:t>We have entered into lease agreements pursuant to which we lease certain real estate from EchoStar. The rent on a per square foot basis for each of the leases is comparable to per square foot rental rates of similar commercial property in the same geographic area, and we are responsible for our portion of the taxes, insurance, utilities and maintenance of the premises. The term of each lease is set forth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Meridian Lease Agreement. </w:t>
            </w:r>
            <w:r>
              <w:rPr>
                <w:rFonts w:ascii="Times New Roman;Times;serif" w:hAnsi="Times New Roman;Times;serif"/>
                <w:b w:val="false"/>
                <w:i w:val="false"/>
                <w:caps w:val="false"/>
                <w:smallCaps w:val="false"/>
                <w:sz w:val="20"/>
              </w:rPr>
              <w:t>We lease all of 9601 S. Meridian Blvd. in Englewood, Colorado for a period ending on December 31, 2024.</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100 Inverness Lease Agreement</w:t>
            </w:r>
            <w:r>
              <w:rPr>
                <w:rFonts w:ascii="Times New Roman;Times;serif" w:hAnsi="Times New Roman;Times;serif"/>
                <w:b w:val="false"/>
                <w:i w:val="false"/>
                <w:caps w:val="false"/>
                <w:smallCaps w:val="false"/>
                <w:sz w:val="20"/>
              </w:rPr>
              <w:t>.  Effective March 1, 2017, we lease certain space from EchoStar at 100 Inverness Terrace East, Englewood, Colorado for a period ending in December 2024.  This agreement may be terminated by either party upon 180 days</w:t>
            </w:r>
            <w:r>
              <w:rPr>
                <w:caps w:val="false"/>
                <w:smallCaps w:val="false"/>
              </w:rPr>
              <w:t xml:space="preserve">’ </w:t>
            </w:r>
            <w:r>
              <w:rPr>
                <w:rFonts w:ascii="Times New Roman;Times;serif" w:hAnsi="Times New Roman;Times;serif"/>
                <w:b w:val="false"/>
                <w:i w:val="false"/>
                <w:caps w:val="false"/>
                <w:smallCaps w:val="false"/>
                <w:sz w:val="20"/>
              </w:rPr>
              <w:t xml:space="preserve">prior notice.  </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Professional Services Agreement. </w:t>
      </w:r>
      <w:r>
        <w:rPr>
          <w:rFonts w:ascii="Times New Roman;Times;serif" w:hAnsi="Times New Roman;Times;serif"/>
          <w:sz w:val="20"/>
        </w:rPr>
        <w:t xml:space="preserve">Prior to 2010, we entered into various agreements with EchoStar including the Transition Services Agreement, Satellite Procurement Agreement and Services Agreement, which all expired on January 1, 2010 and were replaced by a Professional Services Agreement. During 2009, we and EchoStar agreed that EchoStar shall continue to have the right, but not the obligation, to receive the following services from us,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we and EchoStar agreed that we shall continue to have the right, but not the obligation, to engage EchoStar to manage the process of procuring new satellite capacity for us and receive logistics, procurement and quality assurance services from EchoStar and other support services.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February 28, 2017, DISH Network and EchoStar amended the Professional Services Agreement to, among other things, provide certain transition services to each other. In addition, we and EchoStar amended the Professional Services Agreement effective September 10, 2019 to, among other things, provide certain transition services to each other and to remove certain services no longer necessary. During March 2020, we and EchoStar added a service under the Professional Services Agreement whereby we provide EchoStar with rights to use certain satellite capacity in exchange for certain credits to amounts owed by us to EchoStar under the TerreStar Agreement described above. The Professional Services Agreement renewed on January 1, 2024 for an additional one-year</w:t>
      </w:r>
      <w:r>
        <w:rPr>
          <w:rFonts w:ascii="Times New Roman;Times;serif" w:hAnsi="Times New Roman;Times;serif"/>
          <w:sz w:val="24"/>
        </w:rPr>
        <w:t xml:space="preserve"> </w:t>
      </w:r>
      <w:r>
        <w:rPr>
          <w:rFonts w:ascii="Times New Roman;Times;serif" w:hAnsi="Times New Roman;Times;serif"/>
          <w:sz w:val="20"/>
        </w:rPr>
        <w:t>period until January 1, 2025 and renews automatically for successive one-year</w:t>
      </w:r>
      <w:r>
        <w:rPr>
          <w:rFonts w:ascii="Times New Roman;Times;serif" w:hAnsi="Times New Roman;Times;serif"/>
          <w:sz w:val="24"/>
        </w:rPr>
        <w:t xml:space="preserve"> </w:t>
      </w:r>
      <w:r>
        <w:rPr>
          <w:rFonts w:ascii="Times New Roman;Times;serif" w:hAnsi="Times New Roman;Times;serif"/>
          <w:sz w:val="20"/>
        </w:rPr>
        <w:t>periods thereafter, unless terminated earlier by either party upon at least 60 days</w:t>
      </w:r>
      <w:r>
        <w:rPr>
          <w:rFonts w:ascii="Times New Roman;Times;serif" w:hAnsi="Times New Roman;Times;serif"/>
          <w:sz w:val="24"/>
        </w:rPr>
        <w:t xml:space="preserve">’ </w:t>
      </w:r>
      <w:r>
        <w:rPr>
          <w:rFonts w:ascii="Times New Roman;Times;serif" w:hAnsi="Times New Roman;Times;serif"/>
          <w:sz w:val="20"/>
        </w:rPr>
        <w:t>notice. However, either party may terminate the Professional Services Agreement in part with respect to any particular service it receives for any reason upon at least 30 days</w:t>
      </w:r>
      <w:r>
        <w:rPr>
          <w:rFonts w:ascii="Times New Roman;Times;serif" w:hAnsi="Times New Roman;Times;serif"/>
          <w:sz w:val="24"/>
        </w:rPr>
        <w:t xml:space="preserve">’ </w:t>
      </w:r>
      <w:r>
        <w:rPr>
          <w:rFonts w:ascii="Times New Roman;Times;serif" w:hAnsi="Times New Roman;Times;serif"/>
          <w:sz w:val="20"/>
        </w:rPr>
        <w:t xml:space="preserve">notice.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for services provided by us to EchoStar under the Professional Services Agreement is recorded in “Service revenue” and “Equipment sales and other revenue” on our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City of Hallandale.</w:t>
      </w:r>
      <w:r>
        <w:rPr>
          <w:rFonts w:ascii="Times New Roman;Times;serif" w:hAnsi="Times New Roman;Times;serif"/>
          <w:sz w:val="20"/>
        </w:rPr>
        <w:t>  During the second quarter of 2021, we and the other named defendants entered into a global settlement agreement with the City of Hallandale. On December 10, 2021, the court approved the settlement.  Under the settlement agreement, we contributed an immaterial amount to the settlement.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Agreements - EchoStar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Tax Sharing Agreement. </w:t>
      </w:r>
      <w:r>
        <w:rPr>
          <w:rFonts w:ascii="Times New Roman;Times;serif" w:hAnsi="Times New Roman;Times;serif"/>
          <w:sz w:val="20"/>
        </w:rPr>
        <w:t>We entered into a tax sharing agreement (the “Tax Sharing Agreement”) with EchoStar 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us, and we will indemnify EchoStar for such taxes. However, we are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us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light of the Tax Sharing Agreement, among other things, and in connection with our consolidated federal income tax returns for certain tax years prior to and for the year of the Spin-off, during 2013, we and EchoStar agreed upon a supplemental allocation of the tax benefits arising from certain tax items resolved in the course of the IRS’ examination of these consolidated tax returns. As a result, we agreed to pay EchoStar $82 million of the tax benefit we received or will receive. Any payment to EchoStar, including accrued interest, will be made at such time as EchoStar would have otherwise been able to realize such tax benefit. As of December 31, 2023, we have paid $13 million of the tax benefit received, leaving $69 million remaining to be paid.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during 2013, we and EchoStar agreed upon a tax sharing arrangement for filing certain combined state income tax returns and a method of allocating the respective tax liabilities between us and EchoStar for such combined returns, through the taxable period ending on December 31, 2017 (the “State Tax Arrangement”). During the third quarter of 2018, we and EchoStar amended the Tax Sharing Agreement and the 2013 agreements (the “Amendment”).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Amendment, among other things, we are entitled to apply the benefit of EchoStar’s 2009 net operating losses to our federal tax return for the year ended December 31, 2008, in exchange for paying EchoStar over time the value of the net annual federal income taxes paid by EchoStar that would have been otherwise offset by their 2009 net operating loss.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Amendment also contained provisions related to the term of the State Tax Arrangement. As discussed in prior filings, beginning in 2020, DISH Network and EchoStar no longer files a combined state tax return in any state. All requirements under the State Tax Arrangement were fulfilled in 2022.</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As a result of the Merger discussed above, DISH Network and EchoStar are analyzing requirements to determine if combined returns are appropriate for tax years beginning in 2024.</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Patent Cross-License Agreements</w:t>
      </w:r>
      <w:r>
        <w:rPr>
          <w:rFonts w:ascii="Times New Roman;Times;serif" w:hAnsi="Times New Roman;Times;serif"/>
          <w:sz w:val="20"/>
        </w:rPr>
        <w:t xml:space="preserve">. In December 2011, we and EchoStar entered into separate patent cross-license agreements with the same third party whereby: (i) EchoStar and such third-party licensed their respective patents to each other subject to certain conditions; and (ii) we and such third-party licensed our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In December 2016, we and EchoStar independently exercised our respective options to extend each Cross-License Agreement to include patents acquired by the respective party prior to January 1,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Rovi License Agreement.</w:t>
      </w:r>
      <w:r>
        <w:rPr>
          <w:rFonts w:ascii="Times New Roman;Times;serif" w:hAnsi="Times New Roman;Times;serif"/>
          <w:sz w:val="24"/>
        </w:rPr>
        <w:t xml:space="preserve">  </w:t>
      </w:r>
      <w:r>
        <w:rPr>
          <w:rFonts w:ascii="Times New Roman;Times;serif" w:hAnsi="Times New Roman;Times;serif"/>
          <w:sz w:val="20"/>
        </w:rPr>
        <w:t>On August 19, 2016, we entered into a ten-year</w:t>
      </w:r>
      <w:r>
        <w:rPr>
          <w:rFonts w:ascii="Times New Roman;Times;serif" w:hAnsi="Times New Roman;Times;serif"/>
          <w:sz w:val="24"/>
        </w:rPr>
        <w:t xml:space="preserve"> </w:t>
      </w:r>
      <w:r>
        <w:rPr>
          <w:rFonts w:ascii="Times New Roman;Times;serif" w:hAnsi="Times New Roman;Times;serif"/>
          <w:sz w:val="20"/>
        </w:rPr>
        <w:t>patent license agreement (the “Rovi License Agreement”) with Rovi Corporation (“Rovi”) and, for certain limited purposes, EchoStar.  EchoStar is a party to the Rovi License Agreement solely with respect to certain provisions relating to the prior patent license agreement between EchoStar and Rovi.  There are no</w:t>
      </w:r>
      <w:r>
        <w:rPr>
          <w:rFonts w:ascii="Times New Roman;Times;serif" w:hAnsi="Times New Roman;Times;serif"/>
          <w:sz w:val="24"/>
        </w:rPr>
        <w:t xml:space="preserve"> </w:t>
      </w:r>
      <w:r>
        <w:rPr>
          <w:rFonts w:ascii="Times New Roman;Times;serif" w:hAnsi="Times New Roman;Times;serif"/>
          <w:sz w:val="20"/>
        </w:rPr>
        <w:t>payments between us and EchoStar under the Rovi License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i/>
          <w:sz w:val="20"/>
        </w:rPr>
        <w:t>Hughes Broadband Master Services Agreement.</w:t>
      </w:r>
      <w:r>
        <w:rPr>
          <w:rFonts w:ascii="Times New Roman;Times;serif" w:hAnsi="Times New Roman;Times;serif"/>
          <w:sz w:val="24"/>
        </w:rPr>
        <w:t xml:space="preserve">  </w:t>
      </w:r>
      <w:r>
        <w:rPr>
          <w:rFonts w:ascii="Times New Roman;Times;serif" w:hAnsi="Times New Roman;Times;serif"/>
          <w:sz w:val="20"/>
        </w:rPr>
        <w:t>In March 2017, DISH Network L.L.C. (“DNLLC”) and HNS entered into the MSA pursuant to which DNLLC, among other things: (i) has the right, but not the obligation, to market, promote and solicit orders for the Hughes broadband satellite service</w:t>
      </w:r>
      <w:r>
        <w:rPr>
          <w:rFonts w:ascii="Times New Roman;Times;serif" w:hAnsi="Times New Roman;Times;serif"/>
          <w:sz w:val="24"/>
        </w:rPr>
        <w:t> </w:t>
      </w:r>
      <w:r>
        <w:rPr>
          <w:rFonts w:ascii="Times New Roman;Times;serif" w:hAnsi="Times New Roman;Times;serif"/>
          <w:sz w:val="20"/>
        </w:rPr>
        <w:t xml:space="preserve">and related equipment; and (ii) installs Hughes service equipment with respect to activations generated by DNLLC. </w:t>
      </w:r>
      <w:r>
        <w:rPr>
          <w:rFonts w:ascii="Times New Roman;Times;serif" w:hAnsi="Times New Roman;Times;serif"/>
          <w:sz w:val="24"/>
        </w:rPr>
        <w:t> </w:t>
      </w:r>
      <w:r>
        <w:rPr>
          <w:rFonts w:ascii="Times New Roman;Times;serif" w:hAnsi="Times New Roman;Times;serif"/>
          <w:sz w:val="20"/>
        </w:rPr>
        <w:t>Under the MSA, HNS will make certain payments to DNLLC for each Hughes service activation generated, and installation performed, by DNLLC. </w:t>
      </w:r>
      <w:r>
        <w:rPr>
          <w:rFonts w:ascii="Times New Roman;Times;serif" w:hAnsi="Times New Roman;Times;serif"/>
          <w:sz w:val="24"/>
        </w:rPr>
        <w:t xml:space="preserve"> </w:t>
      </w:r>
      <w:r>
        <w:rPr>
          <w:rFonts w:ascii="Times New Roman;Times;serif" w:hAnsi="Times New Roman;Times;serif"/>
          <w:sz w:val="20"/>
        </w:rPr>
        <w:t>Payments from HNS for services provided are recorded in “Service revenue” on our Consolidated Statements of Operations and Comprehensive Income (Loss). For the years ended December 31, 2023, 2022 and 2021, these payments were $2</w:t>
      </w:r>
      <w:r>
        <w:rPr>
          <w:rFonts w:ascii="Times New Roman;Times;serif" w:hAnsi="Times New Roman;Times;serif"/>
          <w:sz w:val="24"/>
        </w:rPr>
        <w:t xml:space="preserve"> </w:t>
      </w:r>
      <w:r>
        <w:rPr>
          <w:rFonts w:ascii="Times New Roman;Times;serif" w:hAnsi="Times New Roman;Times;serif"/>
          <w:sz w:val="20"/>
        </w:rPr>
        <w:t>million, $8</w:t>
      </w:r>
      <w:r>
        <w:rPr>
          <w:rFonts w:ascii="Times New Roman;Times;serif" w:hAnsi="Times New Roman;Times;serif"/>
          <w:sz w:val="24"/>
        </w:rPr>
        <w:t xml:space="preserve"> </w:t>
      </w:r>
      <w:r>
        <w:rPr>
          <w:rFonts w:ascii="Times New Roman;Times;serif" w:hAnsi="Times New Roman;Times;serif"/>
          <w:sz w:val="20"/>
        </w:rPr>
        <w:t>million and $9</w:t>
      </w:r>
      <w:r>
        <w:rPr>
          <w:rFonts w:ascii="Times New Roman;Times;serif" w:hAnsi="Times New Roman;Times;serif"/>
          <w:sz w:val="24"/>
        </w:rPr>
        <w:t xml:space="preserve"> </w:t>
      </w:r>
      <w:r>
        <w:rPr>
          <w:rFonts w:ascii="Times New Roman;Times;serif" w:hAnsi="Times New Roman;Times;serif"/>
          <w:sz w:val="20"/>
        </w:rPr>
        <w:t>million, respectively. The MSA has an initial term of</w:t>
      </w:r>
      <w:r>
        <w:rPr>
          <w:rFonts w:ascii="Times New Roman;Times;serif" w:hAnsi="Times New Roman;Times;serif"/>
          <w:sz w:val="24"/>
        </w:rPr>
        <w:t> </w:t>
      </w:r>
      <w:r>
        <w:rPr>
          <w:rFonts w:ascii="Times New Roman;Times;serif" w:hAnsi="Times New Roman;Times;serif"/>
          <w:sz w:val="20"/>
        </w:rPr>
        <w:t>five years</w:t>
      </w:r>
      <w:r>
        <w:rPr>
          <w:rFonts w:ascii="Times New Roman;Times;serif" w:hAnsi="Times New Roman;Times;serif"/>
          <w:sz w:val="24"/>
        </w:rPr>
        <w:t xml:space="preserve"> </w:t>
      </w:r>
      <w:r>
        <w:rPr>
          <w:rFonts w:ascii="Times New Roman;Times;serif" w:hAnsi="Times New Roman;Times;serif"/>
          <w:sz w:val="20"/>
        </w:rPr>
        <w:t>with automatic renewal for successive</w:t>
      </w:r>
      <w:r>
        <w:rPr>
          <w:rFonts w:ascii="Times New Roman;Times;serif" w:hAnsi="Times New Roman;Times;serif"/>
          <w:sz w:val="24"/>
        </w:rPr>
        <w:t> </w:t>
      </w:r>
      <w:r>
        <w:rPr>
          <w:rFonts w:ascii="Times New Roman;Times;serif" w:hAnsi="Times New Roman;Times;serif"/>
          <w:sz w:val="20"/>
        </w:rPr>
        <w:t>one year</w:t>
      </w:r>
      <w:r>
        <w:rPr>
          <w:rFonts w:ascii="Times New Roman;Times;serif" w:hAnsi="Times New Roman;Times;serif"/>
          <w:sz w:val="24"/>
        </w:rPr>
        <w:t> </w:t>
      </w:r>
      <w:r>
        <w:rPr>
          <w:rFonts w:ascii="Times New Roman;Times;serif" w:hAnsi="Times New Roman;Times;serif"/>
          <w:sz w:val="20"/>
        </w:rPr>
        <w:t>terms.  After the first anniversary of the MSA, either party has the ability to terminate the MSA, in whole or in part, for any reason upon at least 90</w:t>
      </w:r>
      <w:r>
        <w:rPr>
          <w:rFonts w:ascii="Times New Roman;Times;serif" w:hAnsi="Times New Roman;Times;serif"/>
          <w:sz w:val="24"/>
        </w:rPr>
        <w:t xml:space="preserve"> </w:t>
      </w:r>
      <w:r>
        <w:rPr>
          <w:rFonts w:ascii="Times New Roman;Times;serif" w:hAnsi="Times New Roman;Times;serif"/>
          <w:sz w:val="20"/>
        </w:rPr>
        <w:t>days’ notice to the other party. </w:t>
      </w:r>
      <w:r>
        <w:rPr>
          <w:rFonts w:ascii="Times New Roman;Times;serif" w:hAnsi="Times New Roman;Times;serif"/>
          <w:sz w:val="24"/>
        </w:rPr>
        <w:t xml:space="preserve"> </w:t>
      </w:r>
      <w:r>
        <w:rPr>
          <w:rFonts w:ascii="Times New Roman;Times;serif" w:hAnsi="Times New Roman;Times;serif"/>
          <w:sz w:val="20"/>
        </w:rPr>
        <w:t>Upon expiration or termination of the MSA, HNS will continue to provide the Hughes service to subscribers and make certain payments to DNLLC pursuant to the terms and conditions of the MSA. For the years ended December 31, 2023, 2022 and 2021, we purchased broadband equipment from HNS of zero, $7</w:t>
      </w:r>
      <w:r>
        <w:rPr>
          <w:rFonts w:ascii="Times New Roman;Times;serif" w:hAnsi="Times New Roman;Times;serif"/>
          <w:sz w:val="24"/>
        </w:rPr>
        <w:t xml:space="preserve"> </w:t>
      </w:r>
      <w:r>
        <w:rPr>
          <w:rFonts w:ascii="Times New Roman;Times;serif" w:hAnsi="Times New Roman;Times;serif"/>
          <w:sz w:val="20"/>
        </w:rPr>
        <w:t>million and $7</w:t>
      </w:r>
      <w:r>
        <w:rPr>
          <w:rFonts w:ascii="Times New Roman;Times;serif" w:hAnsi="Times New Roman;Times;serif"/>
          <w:sz w:val="24"/>
        </w:rPr>
        <w:t xml:space="preserve"> </w:t>
      </w:r>
      <w:r>
        <w:rPr>
          <w:rFonts w:ascii="Times New Roman;Times;serif" w:hAnsi="Times New Roman;Times;serif"/>
          <w:sz w:val="20"/>
        </w:rPr>
        <w:t xml:space="preserve">million, respectively, under the MSA.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Intellectual Property and Technology License Agreement – Share Exchange</w:t>
      </w:r>
      <w:r>
        <w:rPr>
          <w:rFonts w:ascii="Times New Roman;Times;serif" w:hAnsi="Times New Roman;Times;serif"/>
          <w:sz w:val="20"/>
        </w:rPr>
        <w:t xml:space="preserve">.  Effective March 1, 2017, we and EchoStar entered into an Intellectual Property and Technology License Agreement (“IPTLA”), pursuant to which we and EchoStar license to each other certain intellectual property and technology.  The IPTLA will continue in perpetuity, unless mutually terminated by the parties.  Pursuant to the IPTLA, EchoStar granted to us a license to its intellectual property and technology for use by us, among other things, in connection with our continued operation of the Transferred Businesses acquired pursuant to the Share Exchange Agreement, including a limited license to use the “ECHOSTAR” trademark during a transition period.  EchoStar retains full ownership of the “ECHOSTAR” trademark.  In addition, we granted a license back to EchoStar, among other things, for the continued use of all intellectual property and technology transferred to us pursuant to the Share Exchange Agreement that is used in EchoStar’s retained businesses.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2228" w:name="Tc_3hv_6HjDjE-zFa9oQw36Mw_12_8"/>
      <w:bookmarkStart w:id="2229" w:name="Tc_Wbu1uNIBGEy2Hck-rIVKvA_12_5"/>
      <w:bookmarkStart w:id="2230" w:name="Tc_pgJdtV29DkiySAtPNZnAgQ_12_0"/>
      <w:bookmarkStart w:id="2231" w:name="Tc_dr45MEM88UemVtIiF-4Rug_11_8"/>
      <w:bookmarkStart w:id="2232" w:name="Tc_om7wlb70d0mGUGuLZ8Ajlg_11_5"/>
      <w:bookmarkStart w:id="2233" w:name="Tc_p35VDIi5OkeGG8a2brD8RA_11_0"/>
      <w:bookmarkStart w:id="2234" w:name="Tc_g-XtLprduUeGycQ1BHJ7sg_10_0"/>
      <w:bookmarkStart w:id="2235" w:name="Tc_U7BYAdlNE06TPHym_sX0XA_9_5"/>
      <w:bookmarkStart w:id="2236" w:name="Tc_b_nGYlmKO02G10w7b0TH9g_8_8"/>
      <w:bookmarkStart w:id="2237" w:name="Tc_Kmi9dAPvQEOU2516dHvEww_8_5"/>
      <w:bookmarkStart w:id="2238" w:name="Tc_bugwo8pGTE2DIK2ZUQUJOA_7_5"/>
      <w:bookmarkStart w:id="2239" w:name="Tc_7hC-UNldpkSNB_ZwXI1Dig_5_8"/>
      <w:bookmarkStart w:id="2240" w:name="Tc_5h0LagwlA0ursHRncJ3Z0w_5_5"/>
      <w:bookmarkStart w:id="2241" w:name="Tc_MIHZUhw3S0-UHgjl10mxbw_5_2"/>
      <w:bookmarkStart w:id="2242" w:name="Tc_iiQskTyZFEy8Bzjr2In_Jg_5_0"/>
      <w:bookmarkStart w:id="2243" w:name="Tc_sRrb5p_Y_kCPP5-rnPPV7Q_4_0"/>
      <w:bookmarkStart w:id="2244" w:name="Tc_VdZi2qTmGEyxQB1_krgInQ_3_2"/>
      <w:bookmarkStart w:id="2245" w:name="Tc_c11NXUlc0Uytg-78nOskrQ_2_8"/>
      <w:bookmarkStart w:id="2246" w:name="Tc_hsauYtHogE-Uw6ggoCv-Fw_2_5"/>
      <w:bookmarkStart w:id="2247" w:name="Tc_zxF2nzdgRUiLMQqMFuXQ-g_2_2"/>
      <w:bookmarkStart w:id="2248" w:name="Tc_PapZUTMUxEqbL31DejIlbg_1_2"/>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r>
        <w:rPr>
          <w:rFonts w:ascii="Times New Roman;Times;serif" w:hAnsi="Times New Roman;Times;serif"/>
          <w:i/>
          <w:sz w:val="20"/>
        </w:rPr>
        <w:t>Intellectual Property and Technology License Agreement – Master Transaction Agreement.</w:t>
      </w:r>
      <w:r>
        <w:rPr>
          <w:rFonts w:ascii="Times New Roman;Times;serif" w:hAnsi="Times New Roman;Times;serif"/>
          <w:sz w:val="20"/>
        </w:rPr>
        <w:t xml:space="preserve"> Effective September 10, 2019, we and EchoStar entered into an IPTLA (the “MTA IPTLA”), pursuant to which we and EchoStar license to each other certain intellectual property and technology. The MTA IPTLA will continue in perpetuity, unless mutually terminated by the parties. Pursuant to the MTA IPTLA, EchoStar granted to us a license to its intellectual property and technology for use by us, among other things, in connection with our continued operation of the BSS Business acquired pursuant to the Master Transaction Agreement, including a limited license to use the “ESS” and “ECHOSTAR SATELLITE SERVICES” trademarks during a transition period. EchoStar retains full ownership of the “ESS” and “ECHOSTAR SATELLITE SERVICES” trademarks. In addition, we granted a license back to EchoStar, among other things, for the continued use of all intellectual property and technology transferred to us pursuant to the Master Transaction Agreement that is used in EchoStar’s retained businesses.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 with NagraStar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and liabilities” on our Consolidated Balance Sheets. Our investment in NagraStar is accounted for using the equity method.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our transactions with NagraStar.</w:t>
      </w:r>
    </w:p>
    <w:p>
      <w:pPr>
        <w:pStyle w:val="TextBody"/>
        <w:bidi w:val="0"/>
        <w:spacing w:before="0" w:after="0"/>
        <w:ind w:left="0" w:right="0" w:hanging="0"/>
        <w:jc w:val="left"/>
        <w:rPr/>
      </w:pPr>
      <w:r>
        <w:rPr/>
        <w:t>​</w:t>
      </w:r>
    </w:p>
    <w:tbl>
      <w:tblPr>
        <w:tblW w:w="6554" w:type="dxa"/>
        <w:jc w:val="left"/>
        <w:tblInd w:w="0" w:type="dxa"/>
        <w:tblLayout w:type="fixed"/>
        <w:tblCellMar>
          <w:top w:w="0" w:type="dxa"/>
          <w:left w:w="0" w:type="dxa"/>
          <w:bottom w:w="0" w:type="dxa"/>
          <w:right w:w="0" w:type="dxa"/>
        </w:tblCellMar>
      </w:tblPr>
      <w:tblGrid>
        <w:gridCol w:w="3031"/>
        <w:gridCol w:w="326"/>
        <w:gridCol w:w="196"/>
        <w:gridCol w:w="601"/>
        <w:gridCol w:w="326"/>
        <w:gridCol w:w="196"/>
        <w:gridCol w:w="601"/>
        <w:gridCol w:w="326"/>
        <w:gridCol w:w="196"/>
        <w:gridCol w:w="601"/>
        <w:gridCol w:w="154"/>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924685" cy="175260"/>
                      <wp:effectExtent l="0" t="0" r="0" b="0"/>
                      <wp:wrapNone/>
                      <wp:docPr id="733" name="Frame733"/>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07010" cy="175260"/>
                      <wp:effectExtent l="0" t="0" r="0" b="0"/>
                      <wp:wrapNone/>
                      <wp:docPr id="734" name="Frame7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24460" cy="175260"/>
                      <wp:effectExtent l="0" t="0" r="0" b="0"/>
                      <wp:wrapNone/>
                      <wp:docPr id="735" name="Frame7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381635" cy="175260"/>
                      <wp:effectExtent l="0" t="0" r="0" b="0"/>
                      <wp:wrapNone/>
                      <wp:docPr id="736" name="Frame7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7010" cy="175260"/>
                      <wp:effectExtent l="0" t="0" r="0" b="0"/>
                      <wp:wrapNone/>
                      <wp:docPr id="737" name="Frame7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24460" cy="175260"/>
                      <wp:effectExtent l="0" t="0" r="0" b="0"/>
                      <wp:wrapNone/>
                      <wp:docPr id="738" name="Frame7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381635" cy="175260"/>
                      <wp:effectExtent l="0" t="0" r="0" b="0"/>
                      <wp:wrapNone/>
                      <wp:docPr id="739" name="Frame7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07010" cy="175260"/>
                      <wp:effectExtent l="0" t="0" r="0" b="0"/>
                      <wp:wrapNone/>
                      <wp:docPr id="740" name="Frame7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24460" cy="175260"/>
                      <wp:effectExtent l="0" t="0" r="0" b="0"/>
                      <wp:wrapNone/>
                      <wp:docPr id="741" name="Frame7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381635" cy="175260"/>
                      <wp:effectExtent l="0" t="0" r="0" b="0"/>
                      <wp:wrapNone/>
                      <wp:docPr id="742" name="Frame7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97790" cy="175260"/>
                      <wp:effectExtent l="0" t="0" r="0" b="0"/>
                      <wp:wrapNone/>
                      <wp:docPr id="743" name="Frame74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Years Ended December 31, </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54" w:type="dxa"/>
            <w:tcBorders/>
            <w:vAlign w:val="center"/>
          </w:tcPr>
          <w:p>
            <w:pPr>
              <w:pStyle w:val="TableContents"/>
              <w:bidi w:val="0"/>
              <w:spacing w:before="0" w:after="0"/>
              <w:ind w:left="0" w:right="0" w:hanging="0"/>
              <w:jc w:val="left"/>
              <w:rPr/>
            </w:pPr>
            <w:r>
              <w:rPr/>
              <w:t>​</w:t>
            </w:r>
          </w:p>
        </w:tc>
      </w:tr>
      <w:tr>
        <w:trPr/>
        <w:tc>
          <w:tcPr>
            <w:tcW w:w="6554"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3" w:type="dxa"/>
            <w:gridSpan w:val="8"/>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Purchases (including fees):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from NagraStar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45,944</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As of December 31, </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54" w:type="dxa"/>
            <w:tcBorders/>
            <w:vAlign w:val="center"/>
          </w:tcPr>
          <w:p>
            <w:pPr>
              <w:pStyle w:val="TableContents"/>
              <w:bidi w:val="0"/>
              <w:spacing w:before="0" w:after="0"/>
              <w:ind w:left="0" w:right="0" w:hanging="0"/>
              <w:jc w:val="left"/>
              <w:rPr/>
            </w:pPr>
            <w:r>
              <w:rPr/>
              <w:t>​</w:t>
            </w:r>
          </w:p>
        </w:tc>
      </w:tr>
      <w:tr>
        <w:trPr/>
        <w:tc>
          <w:tcPr>
            <w:tcW w:w="6554"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Amounts Payable and Commitments:</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payable to NagraStar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7,422</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to NagraStar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 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color w:val="222222"/>
          <w:sz w:val="20"/>
          <w:shd w:fill="FFFFFF" w:val="clear"/>
        </w:rPr>
      </w:pPr>
      <w:r>
        <w:rPr>
          <w:rFonts w:ascii="Times New Roman;Times;serif" w:hAnsi="Times New Roman;Times;serif"/>
          <w:b/>
          <w:i/>
          <w:color w:val="222222"/>
          <w:sz w:val="20"/>
          <w:shd w:fill="FFFFFF" w:val="clear"/>
        </w:rPr>
        <w:t>Asset Transfers</w:t>
      </w:r>
    </w:p>
    <w:p>
      <w:pPr>
        <w:pStyle w:val="TextBody"/>
        <w:bidi w:val="0"/>
        <w:spacing w:before="0" w:after="12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On January 10, 2024, we transferred certain of our wireless spectrum licenses, including AWS-4, H-Block, CBRS, C-Band - </w:t>
      </w:r>
      <w:r>
        <w:rPr>
          <w:rFonts w:ascii="Times New Roman;Times;serif" w:hAnsi="Times New Roman;Times;serif"/>
          <w:sz w:val="20"/>
        </w:rPr>
        <w:t>Cheyenne</w:t>
      </w:r>
      <w:r>
        <w:rPr>
          <w:rFonts w:ascii="Times New Roman;Times;serif" w:hAnsi="Times New Roman;Times;serif"/>
          <w:sz w:val="20"/>
          <w:shd w:fill="FFFFFF" w:val="clear"/>
        </w:rPr>
        <w:t xml:space="preserve">, 12GHz, LMDS, 24 GHz, 28 GHz, 37GHz, 39GHz and 47GHz to </w:t>
      </w:r>
      <w:r>
        <w:rPr>
          <w:rFonts w:ascii="Times New Roman;Times;serif" w:hAnsi="Times New Roman;Times;serif"/>
          <w:sz w:val="20"/>
        </w:rPr>
        <w:t>EchoStar Wireless Holding L.L.C.</w:t>
      </w:r>
      <w:r>
        <w:rPr>
          <w:rFonts w:ascii="Times New Roman;Times;serif" w:hAnsi="Times New Roman;Times;serif"/>
          <w:sz w:val="20"/>
          <w:shd w:fill="FFFFFF" w:val="clear"/>
        </w:rPr>
        <w:t>, EchoStar’s direct wholly-owned subsidiary (the “Spectrum Transfer”). We retained ownership of certain other wireless spectrum licenses, including 600 MHz, 700 MHz, 3.45 GHz and AWS-3, of which 700 MHz and AWS-3 remain unencumbered, and </w:t>
      </w:r>
      <w:r>
        <w:rPr>
          <w:rFonts w:ascii="Times New Roman;Times;serif" w:hAnsi="Times New Roman;Times;serif"/>
          <w:sz w:val="20"/>
        </w:rPr>
        <w:t>DISH D</w:t>
      </w:r>
      <w:r>
        <w:rPr>
          <w:rFonts w:ascii="Times New Roman;Times;serif" w:hAnsi="Times New Roman;Times;serif"/>
          <w:sz w:val="20"/>
          <w:shd w:fill="FFFFFF" w:val="clear"/>
        </w:rPr>
        <w:t>BS. Prior to the Spectrum Transfer, DISH DBS designated a newly formed subsidiary of </w:t>
      </w:r>
      <w:r>
        <w:rPr>
          <w:rFonts w:ascii="Times New Roman;Times;serif" w:hAnsi="Times New Roman;Times;serif"/>
          <w:sz w:val="20"/>
        </w:rPr>
        <w:t>DISH Network L.L.C.</w:t>
      </w:r>
      <w:r>
        <w:rPr>
          <w:rFonts w:ascii="Times New Roman;Times;serif" w:hAnsi="Times New Roman;Times;serif"/>
          <w:sz w:val="20"/>
          <w:shd w:fill="FFFFFF" w:val="clear"/>
        </w:rPr>
        <w:t xml:space="preserve"> (the “DBS Subscriber Subsidiary”) as an unrestricted subsidiary. DBS Subscriber Subsidiary holds approximately 3.0 million DISH TV subscribers immediately following the unrestricting of the entity. </w:t>
      </w:r>
    </w:p>
    <w:p>
      <w:pPr>
        <w:pStyle w:val="TextBody"/>
        <w:bidi w:val="0"/>
        <w:spacing w:before="0" w:after="12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 xml:space="preserve">Table of Contents </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DISH NETWORK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w:t>
      </w:r>
      <w:r>
        <w:rPr>
          <w:rFonts w:ascii="Times New Roman;Times;serif" w:hAnsi="Times New Roman;Times;serif"/>
          <w:sz w:val="20"/>
        </w:rPr>
        <w:t>2026 Tranche of $4.7 billion</w:t>
      </w:r>
      <w:r>
        <w:rPr>
          <w:rFonts w:ascii="Times New Roman;Times;serif" w:hAnsi="Times New Roman;Times;serif"/>
          <w:sz w:val="20"/>
          <w:shd w:fill="FFFFFF" w:val="clear"/>
        </w:rPr>
        <w:t xml:space="preserve"> to DBS Intercompany Receivable L.L.C. </w:t>
      </w:r>
      <w:r>
        <w:rPr>
          <w:rFonts w:ascii="Times New Roman;Times;serif" w:hAnsi="Times New Roman;Times;serif"/>
          <w:sz w:val="20"/>
        </w:rPr>
        <w:t>DBS Intercompany Receivable L.L.C.</w:t>
      </w:r>
      <w:r>
        <w:rPr>
          <w:rFonts w:ascii="Times New Roman;Times;serif" w:hAnsi="Times New Roman;Times;serif"/>
          <w:sz w:val="20"/>
          <w:shd w:fill="FFFFFF" w:val="clear"/>
        </w:rPr>
        <w:t> has subsequently assigned its rights as lender thereunder to </w:t>
      </w:r>
      <w:r>
        <w:rPr>
          <w:rFonts w:ascii="Times New Roman;Times;serif" w:hAnsi="Times New Roman;Times;serif"/>
          <w:sz w:val="20"/>
        </w:rPr>
        <w:t>EchoStar Intercompany Receivable Company L.L.C.</w:t>
      </w:r>
      <w:r>
        <w:rPr>
          <w:rFonts w:ascii="Times New Roman;Times;serif" w:hAnsi="Times New Roman;Times;serif"/>
          <w:sz w:val="20"/>
          <w:shd w:fill="FFFFFF" w:val="clear"/>
        </w:rPr>
        <w:t xml:space="preserve">, our parent, EchoStar’s direct wholly-owned subsidiary, such that amounts owed in respect of the </w:t>
      </w:r>
      <w:r>
        <w:rPr>
          <w:rFonts w:ascii="Times New Roman;Times;serif" w:hAnsi="Times New Roman;Times;serif"/>
          <w:sz w:val="20"/>
        </w:rPr>
        <w:t>2026 Tranche</w:t>
      </w:r>
      <w:r>
        <w:rPr>
          <w:rFonts w:ascii="Times New Roman;Times;serif" w:hAnsi="Times New Roman;Times;serif"/>
          <w:sz w:val="20"/>
          <w:shd w:fill="FFFFFF" w:val="clear"/>
        </w:rPr>
        <w:t xml:space="preserve"> will now be paid by DISH Network to </w:t>
      </w:r>
      <w:r>
        <w:rPr>
          <w:rFonts w:ascii="Times New Roman;Times;serif" w:hAnsi="Times New Roman;Times;serif"/>
          <w:sz w:val="20"/>
        </w:rPr>
        <w:t>EchoStar Intercompany Receivable L.L.C.</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i/>
          <w:color w:val="222222"/>
          <w:sz w:val="20"/>
          <w:shd w:fill="FFFFFF" w:val="clear"/>
        </w:rPr>
      </w:pPr>
      <w:r>
        <w:rPr>
          <w:rFonts w:ascii="Times New Roman;Times;serif" w:hAnsi="Times New Roman;Times;serif"/>
          <w:b/>
          <w:i/>
          <w:color w:val="222222"/>
          <w:sz w:val="20"/>
          <w:shd w:fill="FFFFFF" w:val="clear"/>
        </w:rPr>
        <w:t>DISH Network Exchange Offers</w:t>
      </w:r>
    </w:p>
    <w:p>
      <w:pPr>
        <w:pStyle w:val="TextBody"/>
        <w:bidi w:val="0"/>
        <w:spacing w:before="0" w:after="12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On January 12, 2023, EchoStar </w:t>
      </w:r>
      <w:r>
        <w:rPr>
          <w:rFonts w:ascii="Times New Roman;Times;serif" w:hAnsi="Times New Roman;Times;serif"/>
          <w:color w:val="222222"/>
          <w:sz w:val="20"/>
          <w:shd w:fill="FFFFFF" w:val="clear"/>
        </w:rPr>
        <w:t>commenced offers (“the DISH Network Exchange Offers”) to exchange the 0%</w:t>
      </w:r>
      <w:r>
        <w:rPr>
          <w:rFonts w:ascii="Times New Roman;Times;serif" w:hAnsi="Times New Roman;Times;serif"/>
          <w:color w:val="222222"/>
          <w:sz w:val="24"/>
          <w:shd w:fill="FFFFFF" w:val="clear"/>
        </w:rPr>
        <w:t xml:space="preserve"> </w:t>
      </w:r>
      <w:r>
        <w:rPr>
          <w:rFonts w:ascii="Times New Roman;Times;serif" w:hAnsi="Times New Roman;Times;serif"/>
          <w:color w:val="222222"/>
          <w:sz w:val="20"/>
          <w:shd w:fill="FFFFFF" w:val="clear"/>
        </w:rPr>
        <w:t xml:space="preserve">Convertible Notes due 2025 and the </w:t>
      </w:r>
      <w:r>
        <w:rPr>
          <w:rFonts w:ascii="Times New Roman;Times;serif" w:hAnsi="Times New Roman;Times;serif"/>
          <w:b w:val="false"/>
          <w:i w:val="false"/>
          <w:caps w:val="false"/>
          <w:smallCaps w:val="false"/>
          <w:color w:val="222222"/>
          <w:sz w:val="20"/>
          <w:shd w:fill="FFFFFF" w:val="clear"/>
        </w:rPr>
        <w:t>3 3/8%</w:t>
      </w:r>
      <w:r>
        <w:rPr>
          <w:rFonts w:ascii="Times New Roman;Times;serif" w:hAnsi="Times New Roman;Times;serif"/>
          <w:color w:val="222222"/>
          <w:sz w:val="24"/>
          <w:shd w:fill="FFFFFF" w:val="clear"/>
        </w:rPr>
        <w:t xml:space="preserve"> </w:t>
      </w:r>
      <w:r>
        <w:rPr>
          <w:rFonts w:ascii="Times New Roman;Times;serif" w:hAnsi="Times New Roman;Times;serif"/>
          <w:color w:val="222222"/>
          <w:sz w:val="20"/>
          <w:shd w:fill="FFFFFF" w:val="clear"/>
        </w:rPr>
        <w:t>Convertible Notes due 2026 issued by its subsidiary DISH Network, each for 10.00%</w:t>
      </w:r>
      <w:r>
        <w:rPr>
          <w:rFonts w:ascii="Times New Roman;Times;serif" w:hAnsi="Times New Roman;Times;serif"/>
          <w:color w:val="222222"/>
          <w:sz w:val="24"/>
          <w:shd w:fill="FFFFFF" w:val="clear"/>
        </w:rPr>
        <w:t xml:space="preserve"> </w:t>
      </w:r>
      <w:r>
        <w:rPr>
          <w:rFonts w:ascii="Times New Roman;Times;serif" w:hAnsi="Times New Roman;Times;serif"/>
          <w:color w:val="222222"/>
          <w:sz w:val="20"/>
          <w:shd w:fill="FFFFFF" w:val="clear"/>
        </w:rPr>
        <w:t>Senior Secured Notes due 2030 to be issued by EchoStar</w:t>
      </w:r>
      <w:r>
        <w:rPr>
          <w:rFonts w:ascii="Times New Roman;Times;serif" w:hAnsi="Times New Roman;Times;serif"/>
          <w:sz w:val="20"/>
        </w:rPr>
        <w:t>,</w:t>
      </w:r>
      <w:r>
        <w:rPr>
          <w:rFonts w:ascii="Times New Roman;Times;serif" w:hAnsi="Times New Roman;Times;serif"/>
          <w:color w:val="222222"/>
          <w:sz w:val="24"/>
          <w:shd w:fill="FFFFFF" w:val="clear"/>
        </w:rPr>
        <w:t xml:space="preserve"> </w:t>
      </w:r>
      <w:r>
        <w:rPr>
          <w:rFonts w:ascii="Times New Roman;Times;serif" w:hAnsi="Times New Roman;Times;serif"/>
          <w:color w:val="222222"/>
          <w:sz w:val="20"/>
          <w:shd w:fill="FFFFFF" w:val="clear"/>
        </w:rPr>
        <w:t>in each case, pursuant to the terms described in a preliminary prospectus and consent solicitation statement, dated </w:t>
      </w:r>
      <w:r>
        <w:rPr>
          <w:rFonts w:ascii="Times New Roman;Times;serif" w:hAnsi="Times New Roman;Times;serif"/>
          <w:sz w:val="20"/>
        </w:rPr>
        <w:t xml:space="preserve">January 12, 2024. On February 12, 2024, EchoStar </w:t>
      </w:r>
      <w:r>
        <w:rPr>
          <w:rFonts w:ascii="Times New Roman;Times;serif" w:hAnsi="Times New Roman;Times;serif"/>
          <w:color w:val="222222"/>
          <w:sz w:val="20"/>
          <w:shd w:fill="FFFFFF" w:val="clear"/>
        </w:rPr>
        <w:t xml:space="preserve">announced the expiration and termination of the DISH Exchange Offers.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i/>
          <w:color w:val="222222"/>
          <w:sz w:val="20"/>
          <w:shd w:fill="FFFFFF" w:val="clear"/>
        </w:rPr>
      </w:pPr>
      <w:r>
        <w:rPr>
          <w:rFonts w:ascii="Times New Roman;Times;serif" w:hAnsi="Times New Roman;Times;serif"/>
          <w:b/>
          <w:i/>
          <w:color w:val="222222"/>
          <w:sz w:val="20"/>
          <w:shd w:fill="FFFFFF" w:val="clear"/>
        </w:rPr>
        <w:t>DISH DBS Exchange Offers</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On January 16, 2024, EchoStar announced its wholly-owned subsidiary </w:t>
      </w:r>
      <w:r>
        <w:rPr>
          <w:rFonts w:ascii="Times New Roman;Times;serif" w:hAnsi="Times New Roman;Times;serif"/>
          <w:sz w:val="20"/>
          <w:shd w:fill="FFFFFF" w:val="clear"/>
        </w:rPr>
        <w:t xml:space="preserve">DISH DBS Issuer LLC (“DBS Issuer”) commenced offers (“the DISH DBS Exchange Offers”) to eligible holders to exchange the </w:t>
      </w:r>
      <w:r>
        <w:rPr>
          <w:rFonts w:ascii="Times New Roman;Times;serif" w:hAnsi="Times New Roman;Times;serif"/>
          <w:b w:val="false"/>
          <w:i w:val="false"/>
          <w:caps w:val="false"/>
          <w:smallCaps w:val="false"/>
          <w:sz w:val="20"/>
        </w:rPr>
        <w:t>5 7/8%</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 xml:space="preserve">Senior Notes due 2024 (the “DBS 2024 Notes”), the </w:t>
      </w:r>
      <w:r>
        <w:rPr>
          <w:rFonts w:ascii="Times New Roman;Times;serif" w:hAnsi="Times New Roman;Times;serif"/>
          <w:b w:val="false"/>
          <w:i w:val="false"/>
          <w:caps w:val="false"/>
          <w:smallCaps w:val="false"/>
          <w:sz w:val="20"/>
        </w:rPr>
        <w:t>7 3/4%</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 xml:space="preserve">Senior Notes due 2026, the </w:t>
      </w:r>
      <w:r>
        <w:rPr>
          <w:rFonts w:ascii="Times New Roman;Times;serif" w:hAnsi="Times New Roman;Times;serif"/>
          <w:b w:val="false"/>
          <w:i w:val="false"/>
          <w:caps w:val="false"/>
          <w:smallCaps w:val="false"/>
          <w:sz w:val="20"/>
        </w:rPr>
        <w:t>7 3/8%</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 xml:space="preserve">Senior Notes due 2028 (the “DBS 2028 Notes”) and the </w:t>
      </w:r>
      <w:r>
        <w:rPr>
          <w:rFonts w:ascii="Times New Roman;Times;serif" w:hAnsi="Times New Roman;Times;serif"/>
          <w:b w:val="false"/>
          <w:i w:val="false"/>
          <w:caps w:val="false"/>
          <w:smallCaps w:val="false"/>
          <w:sz w:val="20"/>
        </w:rPr>
        <w:t>5 1/8%</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Senior Notes due 2029 (the “DBS 2029 Notes,” and together with the DBS 2024 Notes, the DBS 2026 Notes and the DBS 2028 Notes, the “</w:t>
      </w:r>
      <w:r>
        <w:rPr>
          <w:rFonts w:ascii="Times New Roman;Times;serif" w:hAnsi="Times New Roman;Times;serif"/>
          <w:sz w:val="20"/>
        </w:rPr>
        <w:t>DISH DBS Unsecured Senior Notes”</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issued by DISH DBS), in the amounts and subject to the terms, in each case, described in the exchange offer memorandum and consent solicitation statement, dated </w:t>
      </w:r>
      <w:r>
        <w:rPr>
          <w:rFonts w:ascii="Times New Roman;Times;serif" w:hAnsi="Times New Roman;Times;serif"/>
          <w:sz w:val="20"/>
        </w:rPr>
        <w:t xml:space="preserve">January 16, 2024 </w:t>
      </w:r>
      <w:r>
        <w:rPr>
          <w:rFonts w:ascii="Times New Roman;Times;serif" w:hAnsi="Times New Roman;Times;serif"/>
          <w:sz w:val="20"/>
          <w:shd w:fill="FFFFFF" w:val="clear"/>
        </w:rPr>
        <w:t xml:space="preserve">(the “Exchange Offer Memorandum”). </w:t>
      </w:r>
      <w:r>
        <w:rPr>
          <w:rFonts w:ascii="Times New Roman;Times;serif" w:hAnsi="Times New Roman;Times;serif"/>
          <w:sz w:val="20"/>
        </w:rPr>
        <w:t xml:space="preserve">On January 29, 2024, EchoStar announced its wholly-owned subsidiary </w:t>
      </w:r>
      <w:r>
        <w:rPr>
          <w:rFonts w:ascii="Times New Roman;Times;serif" w:hAnsi="Times New Roman;Times;serif"/>
          <w:sz w:val="20"/>
          <w:shd w:fill="FFFFFF" w:val="clear"/>
        </w:rPr>
        <w:t>DISH DBS Issuer elected in its sole discretion to terminate the DBS Exchange Offers.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EchoStar Exchange Offer</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4, 2024, EchoStar commenced a tender offer </w:t>
      </w:r>
      <w:r>
        <w:rPr>
          <w:rFonts w:ascii="Times New Roman;Times;serif" w:hAnsi="Times New Roman;Times;serif"/>
          <w:sz w:val="20"/>
          <w:shd w:fill="FFFFFF" w:val="clear"/>
        </w:rPr>
        <w:t xml:space="preserve">to eligible employees (which excludes EchoStar’s and our co-founders and the independent members of EchoStar’s Board of Directors) </w:t>
      </w:r>
      <w:r>
        <w:rPr>
          <w:rFonts w:ascii="Times New Roman;Times;serif" w:hAnsi="Times New Roman;Times;serif"/>
          <w:sz w:val="20"/>
        </w:rPr>
        <w:t xml:space="preserve">to exchange eligible stock options </w:t>
      </w:r>
      <w:r>
        <w:rPr>
          <w:rFonts w:ascii="Times New Roman;Times;serif" w:hAnsi="Times New Roman;Times;serif"/>
          <w:sz w:val="20"/>
          <w:shd w:fill="FFFFFF" w:val="clear"/>
        </w:rPr>
        <w:t>(which excludes the Ergen 2020 Performance Award) </w:t>
      </w:r>
      <w:r>
        <w:rPr>
          <w:rFonts w:ascii="Times New Roman;Times;serif" w:hAnsi="Times New Roman;Times;serif"/>
          <w:sz w:val="20"/>
        </w:rPr>
        <w:t>for new options as detailed in its Schedule TO filed March 4, 2024 with the Securities and Exchange Commission (the “Exchange Offer”), to, among other things, further align employee incentives with the current market.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 Sale to EchoStar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On March 12, 2024, we sold our wholly-owned subsidiary which holds the</w:t>
      </w:r>
      <w:r>
        <w:rPr>
          <w:rFonts w:ascii="Times New Roman;Times;serif" w:hAnsi="Times New Roman;Times;serif"/>
          <w:sz w:val="24"/>
        </w:rPr>
        <w:t xml:space="preserve"> </w:t>
      </w:r>
      <w:r>
        <w:rPr>
          <w:rFonts w:ascii="Times New Roman;Times;serif" w:hAnsi="Times New Roman;Times;serif"/>
          <w:sz w:val="20"/>
        </w:rPr>
        <w:t>700 MHz Spectrum to a wholly-owned subsidiary of our parent, EchoStar, for approximately $1</w:t>
      </w:r>
      <w:r>
        <w:rPr>
          <w:rFonts w:ascii="Times New Roman;Times;serif" w:hAnsi="Times New Roman;Times;serif"/>
          <w:sz w:val="24"/>
        </w:rPr>
        <w:t xml:space="preserve"> </w:t>
      </w:r>
      <w:r>
        <w:rPr>
          <w:rFonts w:ascii="Times New Roman;Times;serif" w:hAnsi="Times New Roman;Times;serif"/>
          <w:sz w:val="20"/>
        </w:rPr>
        <w:t>billion. The proceeds were used to pay the remaining balance of $951</w:t>
      </w:r>
      <w:r>
        <w:rPr>
          <w:rFonts w:ascii="Times New Roman;Times;serif" w:hAnsi="Times New Roman;Times;serif"/>
          <w:sz w:val="24"/>
        </w:rPr>
        <w:t xml:space="preserve"> </w:t>
      </w:r>
      <w:r>
        <w:rPr>
          <w:rFonts w:ascii="Times New Roman;Times;serif" w:hAnsi="Times New Roman;Times;serif"/>
          <w:sz w:val="20"/>
        </w:rPr>
        <w:t xml:space="preserve">million on our </w:t>
      </w:r>
      <w:r>
        <w:rPr>
          <w:rFonts w:ascii="Times New Roman;Times;serif" w:hAnsi="Times New Roman;Times;serif"/>
          <w:b w:val="false"/>
          <w:i w:val="false"/>
          <w:caps w:val="false"/>
          <w:smallCaps w:val="false"/>
          <w:sz w:val="20"/>
        </w:rPr>
        <w:t>2 3/8%</w:t>
      </w:r>
      <w:r>
        <w:rPr>
          <w:rFonts w:ascii="Times New Roman;Times;serif" w:hAnsi="Times New Roman;Times;serif"/>
          <w:sz w:val="24"/>
        </w:rPr>
        <w:t xml:space="preserve"> </w:t>
      </w:r>
      <w:r>
        <w:rPr>
          <w:rFonts w:ascii="Times New Roman;Times;serif" w:hAnsi="Times New Roman;Times;serif"/>
          <w:sz w:val="20"/>
        </w:rPr>
        <w:t>Convertible Note which matured on March 15,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F-94</w:t>
      </w:r>
    </w:p>
    <w:p>
      <w:pPr>
        <w:pStyle w:val="TextBody"/>
        <w:bidi w:val="0"/>
        <w:spacing w:before="0" w:after="0"/>
        <w:ind w:left="0" w:right="0" w:hanging="0"/>
        <w:jc w:val="right"/>
        <w:rPr>
          <w:rFonts w:ascii="Times New Roman;Times;serif" w:hAnsi="Times New Roman;Times;serif"/>
          <w:b/>
          <w:sz w:val="20"/>
        </w:rPr>
      </w:pPr>
      <w:bookmarkStart w:id="2249" w:name="dish-20231231xex21.htm"/>
      <w:bookmarkStart w:id="2250" w:name="ksdish20231231xex21"/>
      <w:bookmarkEnd w:id="2249"/>
      <w:bookmarkEnd w:id="2250"/>
      <w:r>
        <w:rPr>
          <w:rFonts w:ascii="Times New Roman;Times;serif" w:hAnsi="Times New Roman;Times;serif"/>
          <w:b/>
          <w:sz w:val="20"/>
        </w:rPr>
        <w:t>Exhibit 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DISH NETWORK CORPORATION AND SUBSIDIARIES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LIST OF SUBSIDIARIES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December 31,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7186" w:type="dxa"/>
        <w:jc w:val="left"/>
        <w:tblInd w:w="0" w:type="dxa"/>
        <w:tblLayout w:type="fixed"/>
        <w:tblCellMar>
          <w:top w:w="0" w:type="dxa"/>
          <w:left w:w="0" w:type="dxa"/>
          <w:bottom w:w="0" w:type="dxa"/>
          <w:right w:w="0" w:type="dxa"/>
        </w:tblCellMar>
      </w:tblPr>
      <w:tblGrid>
        <w:gridCol w:w="2356"/>
        <w:gridCol w:w="109"/>
        <w:gridCol w:w="1456"/>
        <w:gridCol w:w="109"/>
        <w:gridCol w:w="571"/>
        <w:gridCol w:w="390"/>
        <w:gridCol w:w="109"/>
        <w:gridCol w:w="208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1496060" cy="175260"/>
                      <wp:effectExtent l="0" t="0" r="0" b="0"/>
                      <wp:wrapNone/>
                      <wp:docPr id="744" name="Frame744"/>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9215" cy="175260"/>
                      <wp:effectExtent l="0" t="0" r="0" b="0"/>
                      <wp:wrapNone/>
                      <wp:docPr id="745" name="Frame7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924560" cy="175260"/>
                      <wp:effectExtent l="0" t="0" r="0" b="0"/>
                      <wp:wrapNone/>
                      <wp:docPr id="746" name="Frame74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9215" cy="175260"/>
                      <wp:effectExtent l="0" t="0" r="0" b="0"/>
                      <wp:wrapNone/>
                      <wp:docPr id="747" name="Frame7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362585" cy="175260"/>
                      <wp:effectExtent l="0" t="0" r="0" b="0"/>
                      <wp:wrapNone/>
                      <wp:docPr id="748" name="Frame7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47650" cy="175260"/>
                      <wp:effectExtent l="0" t="0" r="0" b="0"/>
                      <wp:wrapNone/>
                      <wp:docPr id="749" name="Frame74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69215" cy="175260"/>
                      <wp:effectExtent l="0" t="0" r="0" b="0"/>
                      <wp:wrapNone/>
                      <wp:docPr id="750" name="Frame7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324610" cy="175260"/>
                      <wp:effectExtent l="0" t="0" r="0" b="0"/>
                      <wp:wrapNone/>
                      <wp:docPr id="751" name="Frame75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Subsidiary</w:t>
            </w:r>
          </w:p>
        </w:tc>
        <w:tc>
          <w:tcPr>
            <w:tcW w:w="109"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State or Country </w:t>
              <w:br/>
              <w:t>of Incorporation</w:t>
            </w:r>
          </w:p>
        </w:tc>
        <w:tc>
          <w:tcPr>
            <w:tcW w:w="109" w:type="dxa"/>
            <w:tcBorders/>
            <w:vAlign w:val="center"/>
          </w:tcPr>
          <w:p>
            <w:pPr>
              <w:pStyle w:val="TableContents"/>
              <w:bidi w:val="0"/>
              <w:spacing w:before="0" w:after="0"/>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 of </w:t>
              <w:br/>
              <w:t>Ownership</w:t>
            </w:r>
          </w:p>
        </w:tc>
        <w:tc>
          <w:tcPr>
            <w:tcW w:w="109" w:type="dxa"/>
            <w:tcBorders/>
            <w:vAlign w:val="center"/>
          </w:tcPr>
          <w:p>
            <w:pPr>
              <w:pStyle w:val="TableContents"/>
              <w:bidi w:val="0"/>
              <w:spacing w:before="0" w:after="0"/>
              <w:ind w:left="0" w:right="0" w:hanging="0"/>
              <w:jc w:val="left"/>
              <w:rPr/>
            </w:pPr>
            <w:r>
              <w:rPr/>
              <w:t>​</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Name Doing Business As</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DBS Corporation</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Colorado</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DDBS</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Network L.L.C.</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Colorado</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DNLLC</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Wireless Holding L.L.C.</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Colorado</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Wireless</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Wireless L.L.C.</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Colorado</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DISH Wireless</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3993" w:type="dxa"/>
        <w:jc w:val="left"/>
        <w:tblInd w:w="0" w:type="dxa"/>
        <w:tblLayout w:type="fixed"/>
        <w:tblCellMar>
          <w:top w:w="0" w:type="dxa"/>
          <w:left w:w="0" w:type="dxa"/>
          <w:bottom w:w="0" w:type="dxa"/>
          <w:right w:w="0" w:type="dxa"/>
        </w:tblCellMar>
      </w:tblPr>
      <w:tblGrid>
        <w:gridCol w:w="23"/>
        <w:gridCol w:w="245"/>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subsidiary of DISH DBS Corporation</w:t>
            </w:r>
          </w:p>
        </w:tc>
      </w:tr>
    </w:tbl>
    <w:tbl>
      <w:tblPr>
        <w:tblW w:w="4548" w:type="dxa"/>
        <w:jc w:val="left"/>
        <w:tblInd w:w="0" w:type="dxa"/>
        <w:tblLayout w:type="fixed"/>
        <w:tblCellMar>
          <w:top w:w="0" w:type="dxa"/>
          <w:left w:w="0" w:type="dxa"/>
          <w:bottom w:w="0" w:type="dxa"/>
          <w:right w:w="0" w:type="dxa"/>
        </w:tblCellMar>
      </w:tblPr>
      <w:tblGrid>
        <w:gridCol w:w="23"/>
        <w:gridCol w:w="245"/>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subsidiary of DISH Wireless Holding L.L.C.</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51" w:name="dish-20231231xex31d1.htm"/>
      <w:bookmarkStart w:id="2252" w:name="ksdish20231231xex31d1"/>
      <w:bookmarkEnd w:id="2251"/>
      <w:bookmarkEnd w:id="225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I, Hamid Akhavan, certify that:</w:t>
      </w:r>
    </w:p>
    <w:p>
      <w:pPr>
        <w:pStyle w:val="TextBody"/>
        <w:pBdr/>
        <w:bidi w:val="0"/>
        <w:spacing w:before="0" w:after="0"/>
        <w:ind w:left="0" w:right="0" w:hanging="360"/>
        <w:jc w:val="left"/>
        <w:rPr/>
      </w:pPr>
      <w:r>
        <w:rPr/>
        <w:t>​</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DISH Network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29, 2024</w:t>
      </w:r>
    </w:p>
    <w:p>
      <w:pPr>
        <w:pStyle w:val="TextBody"/>
        <w:bidi w:val="0"/>
        <w:spacing w:before="0" w:after="0"/>
        <w:ind w:left="0" w:right="0" w:hanging="0"/>
        <w:jc w:val="left"/>
        <w:rPr/>
      </w:pPr>
      <w:r>
        <w:rPr/>
        <w:t>​</w:t>
      </w:r>
    </w:p>
    <w:tbl>
      <w:tblPr>
        <w:tblW w:w="3335" w:type="dxa"/>
        <w:jc w:val="left"/>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Hamid Akhavan</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53" w:name="dish-20231231xex31d2.htm"/>
      <w:bookmarkStart w:id="2254" w:name="ksdish20231231xex31d2"/>
      <w:bookmarkEnd w:id="2253"/>
      <w:bookmarkEnd w:id="2254"/>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I, Paul W. Orban, certify that:</w:t>
      </w:r>
    </w:p>
    <w:p>
      <w:pPr>
        <w:pStyle w:val="TextBody"/>
        <w:pBdr/>
        <w:bidi w:val="0"/>
        <w:spacing w:before="0" w:after="0"/>
        <w:ind w:left="0" w:right="0" w:hanging="360"/>
        <w:jc w:val="left"/>
        <w:rPr/>
      </w:pPr>
      <w:r>
        <w:rPr/>
        <w:t>​</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DISH Network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29, 2024</w:t>
      </w:r>
    </w:p>
    <w:p>
      <w:pPr>
        <w:pStyle w:val="TextBody"/>
        <w:bidi w:val="0"/>
        <w:spacing w:before="0" w:after="0"/>
        <w:ind w:left="0" w:right="0" w:hanging="0"/>
        <w:jc w:val="left"/>
        <w:rPr/>
      </w:pPr>
      <w:r>
        <w:rPr/>
        <w:t>​</w:t>
      </w:r>
    </w:p>
    <w:tbl>
      <w:tblPr>
        <w:tblW w:w="5090" w:type="dxa"/>
        <w:jc w:val="left"/>
        <w:tblInd w:w="0" w:type="dxa"/>
        <w:tblLayout w:type="fixed"/>
        <w:tblCellMar>
          <w:top w:w="0" w:type="dxa"/>
          <w:left w:w="0" w:type="dxa"/>
          <w:bottom w:w="0" w:type="dxa"/>
          <w:right w:w="0" w:type="dxa"/>
        </w:tblCellMar>
      </w:tblPr>
      <w:tblGrid>
        <w:gridCol w:w="4936"/>
        <w:gridCol w:w="154"/>
      </w:tblGrid>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aul</w:t>
            </w:r>
          </w:p>
        </w:tc>
        <w:tc>
          <w:tcPr>
            <w:tcW w:w="154" w:type="dxa"/>
            <w:tcBorders/>
            <w:vAlign w:val="center"/>
          </w:tcPr>
          <w:p>
            <w:pPr>
              <w:pStyle w:val="TableContents"/>
              <w:bidi w:val="0"/>
              <w:spacing w:before="0" w:after="0"/>
              <w:ind w:left="0" w:right="0" w:hanging="0"/>
              <w:jc w:val="left"/>
              <w:rPr/>
            </w:pPr>
            <w:r>
              <w:rPr/>
              <w:t>​</w:t>
            </w:r>
          </w:p>
        </w:tc>
      </w:tr>
      <w:tr>
        <w:trPr/>
        <w:tc>
          <w:tcPr>
            <w:tcW w:w="4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Paul W. Orban</w:t>
            </w:r>
          </w:p>
        </w:tc>
        <w:tc>
          <w:tcPr>
            <w:tcW w:w="154" w:type="dxa"/>
            <w:tcBorders/>
            <w:vAlign w:val="center"/>
          </w:tcPr>
          <w:p>
            <w:pPr>
              <w:pStyle w:val="TableContents"/>
              <w:bidi w:val="0"/>
              <w:spacing w:before="0" w:after="0"/>
              <w:ind w:left="0" w:right="0" w:hanging="0"/>
              <w:jc w:val="left"/>
              <w:rPr/>
            </w:pPr>
            <w:r>
              <w:rPr/>
              <w:t>​</w:t>
            </w:r>
          </w:p>
        </w:tc>
      </w:tr>
      <w:tr>
        <w:trPr/>
        <w:tc>
          <w:tcPr>
            <w:tcW w:w="49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 DISH</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255" w:name="dish-20231231xex32d1.htm"/>
      <w:bookmarkStart w:id="2256" w:name="ksdish20231231xex32d1"/>
      <w:bookmarkEnd w:id="2255"/>
      <w:bookmarkEnd w:id="2256"/>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 1350, the undersigned officer of DISH Network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981" w:type="dxa"/>
        <w:jc w:val="left"/>
        <w:tblInd w:w="0" w:type="dxa"/>
        <w:tblLayout w:type="fixed"/>
        <w:tblCellMar>
          <w:top w:w="0" w:type="dxa"/>
          <w:left w:w="0" w:type="dxa"/>
          <w:bottom w:w="0" w:type="dxa"/>
          <w:right w:w="0" w:type="dxa"/>
        </w:tblCellMar>
      </w:tblPr>
      <w:tblGrid>
        <w:gridCol w:w="124"/>
        <w:gridCol w:w="646"/>
        <w:gridCol w:w="3211"/>
      </w:tblGrid>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Hamid Akhavan</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certification is being furnished solely pursuant to 18 U.S.C. § 1350 and is not being filed as part of the Report or as a separate disclosure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57" w:name="dish-20231231xex32d2.htm"/>
      <w:bookmarkStart w:id="2258" w:name="ksdish20231231xex32d2"/>
      <w:bookmarkEnd w:id="2257"/>
      <w:bookmarkEnd w:id="2258"/>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 1350, the undersigned officer of DISH Network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736" w:type="dxa"/>
        <w:jc w:val="left"/>
        <w:tblInd w:w="0" w:type="dxa"/>
        <w:tblLayout w:type="fixed"/>
        <w:tblCellMar>
          <w:top w:w="0" w:type="dxa"/>
          <w:left w:w="0" w:type="dxa"/>
          <w:bottom w:w="0" w:type="dxa"/>
          <w:right w:w="0" w:type="dxa"/>
        </w:tblCellMar>
      </w:tblPr>
      <w:tblGrid>
        <w:gridCol w:w="124"/>
        <w:gridCol w:w="646"/>
        <w:gridCol w:w="4966"/>
      </w:tblGrid>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4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29, 2024</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49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Paul W. Orban</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49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 DISH</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certification is being furnished solely pursuant to 18 U.S.C. § 1350 and is not being filed as part of the Report or as a separate disclosure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Arial">
    <w:altName w:val="font-style:italic"/>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1082/000155837019006461/dish-20190630ex220782796.htm" TargetMode="External"/><Relationship Id="rId3" Type="http://schemas.openxmlformats.org/officeDocument/2006/relationships/hyperlink" Target="https://www.sec.gov/Archives/edgar/data/1001082/000100108220000027/dish-20200617ex9914595c9.htm" TargetMode="External"/><Relationship Id="rId4" Type="http://schemas.openxmlformats.org/officeDocument/2006/relationships/hyperlink" Target="https://www.sec.gov/Archives/edgar/data/1415404/000110465923106152/tm2326297d1_ex2-1.htm" TargetMode="External"/><Relationship Id="rId5" Type="http://schemas.openxmlformats.org/officeDocument/2006/relationships/hyperlink" Target="https://www.sec.gov/Archives/edgar/data/1001082/000110465924000088/tm2333859d17_ex3-1.htm" TargetMode="External"/><Relationship Id="rId6" Type="http://schemas.openxmlformats.org/officeDocument/2006/relationships/hyperlink" Target="https://www.sec.gov/Archives/edgar/data/1001082/000110465924000088/tm2333859d17_ex3-2.htm" TargetMode="External"/><Relationship Id="rId7" Type="http://schemas.openxmlformats.org/officeDocument/2006/relationships/hyperlink" Target="https://www.sec.gov/Archives/edgar/data/1001082/000110465914082443/a14-24807_1ex4d1.htm" TargetMode="External"/><Relationship Id="rId8" Type="http://schemas.openxmlformats.org/officeDocument/2006/relationships/hyperlink" Target="https://www.sec.gov/Archives/edgar/data/1001082/000110465916126862/a16-13226_1ex4d1.htm" TargetMode="External"/><Relationship Id="rId9" Type="http://schemas.openxmlformats.org/officeDocument/2006/relationships/hyperlink" Target="https://www.sec.gov/Archives/edgar/data/1001082/000110465916137968/a16-16336_1ex4d1.htm" TargetMode="External"/><Relationship Id="rId10" Type="http://schemas.openxmlformats.org/officeDocument/2006/relationships/hyperlink" Target="https://www.sec.gov/Archives/edgar/data/1001082/000110465917017692/a17-8131_3ex4d1.htm" TargetMode="External"/><Relationship Id="rId11" Type="http://schemas.openxmlformats.org/officeDocument/2006/relationships/hyperlink" Target="https://www.sec.gov/Archives/edgar/data/1042642/000155837018002595/ddbs-20171231ex4152aedfc.htm" TargetMode="External"/><Relationship Id="rId12" Type="http://schemas.openxmlformats.org/officeDocument/2006/relationships/hyperlink" Target="https://www.sec.gov/Archives/edgar/data/1042642/000155837018002595/ddbs-20171231ex416308073.htm" TargetMode="External"/><Relationship Id="rId13" Type="http://schemas.openxmlformats.org/officeDocument/2006/relationships/hyperlink" Target="https://www.sec.gov/Archives/edgar/data/1001082/000110465920079790/tm2023759d1_ex4-1.htm" TargetMode="External"/><Relationship Id="rId14" Type="http://schemas.openxmlformats.org/officeDocument/2006/relationships/hyperlink" Target="https://www.sec.gov/Archives/edgar/data/1001082/000110465920138382/tm2039047d1_ex4-1.htm" TargetMode="External"/><Relationship Id="rId15" Type="http://schemas.openxmlformats.org/officeDocument/2006/relationships/hyperlink" Target="https://www.sec.gov/Archives/edgar/data/1415404/000110465924000089/tm2333745d3_ex4-2.htm" TargetMode="External"/><Relationship Id="rId16" Type="http://schemas.openxmlformats.org/officeDocument/2006/relationships/hyperlink" Target="https://www.sec.gov/Archives/edgar/data/1415404/000110465924000089/tm2333745d3_ex4-4.htm" TargetMode="External"/><Relationship Id="rId17" Type="http://schemas.openxmlformats.org/officeDocument/2006/relationships/hyperlink" Target="https://www.sec.gov/Archives/edgar/data/1415404/000110465924000089/tm2333745d3_ex4-6.htm" TargetMode="External"/><Relationship Id="rId18" Type="http://schemas.openxmlformats.org/officeDocument/2006/relationships/hyperlink" Target="https://www.sec.gov/Archives/edgar/data/1001082/000110465921071173/tm2117189d1_ex4-1.htm" TargetMode="External"/><Relationship Id="rId19" Type="http://schemas.openxmlformats.org/officeDocument/2006/relationships/hyperlink" Target="https://www.sec.gov/Archives/edgar/data/1001082/000110465921143897/tm2133750d1_ex4-1.htm" TargetMode="External"/><Relationship Id="rId20" Type="http://schemas.openxmlformats.org/officeDocument/2006/relationships/hyperlink" Target="https://www.sec.gov/Archives/edgar/data/1001082/000110465921143897/tm2133750d1_ex4-2.htm" TargetMode="External"/><Relationship Id="rId21" Type="http://schemas.openxmlformats.org/officeDocument/2006/relationships/hyperlink" Target="https://www.sec.gov/Archives/edgar/data/1001082/000110465921143897/tm2133750d1_ex4-3.htm" TargetMode="External"/><Relationship Id="rId22" Type="http://schemas.openxmlformats.org/officeDocument/2006/relationships/hyperlink" Target="https://www.sec.gov/Archives/edgar/data/1001082/000110465923007047/tm233537d3_ex4-1.htm" TargetMode="External"/><Relationship Id="rId23" Type="http://schemas.openxmlformats.org/officeDocument/2006/relationships/hyperlink" Target="https://www.sec.gov/Archives/edgar/data/1001082/000110465922119157/tm2229374d3_ex4-2.htm" TargetMode="External"/><Relationship Id="rId24" Type="http://schemas.openxmlformats.org/officeDocument/2006/relationships/hyperlink" Target="https://www.sec.gov/Archives/edgar/data/1001082/000095013402003359/d95798ddef14a.txt" TargetMode="External"/><Relationship Id="rId25" Type="http://schemas.openxmlformats.org/officeDocument/2006/relationships/hyperlink" Target="https://www.sec.gov/Archives/edgar/data/1001082/000103570405000342/d26860exv99w6.htm" TargetMode="External"/><Relationship Id="rId26" Type="http://schemas.openxmlformats.org/officeDocument/2006/relationships/hyperlink" Target="https://www.sec.gov/Archives/edgar/data/1001082/000110465914067158/a14-20516_2def14a.htm" TargetMode="External"/><Relationship Id="rId27" Type="http://schemas.openxmlformats.org/officeDocument/2006/relationships/hyperlink" Target="https://www.sec.gov/Archives/edgar/data/1001082/000103570409000018/d67042def14a.htm" TargetMode="External"/><Relationship Id="rId28" Type="http://schemas.openxmlformats.org/officeDocument/2006/relationships/hyperlink" Target="https://www.sec.gov/Archives/edgar/data/1001082/000103570409000018/d67042def14a.htm" TargetMode="External"/><Relationship Id="rId29" Type="http://schemas.openxmlformats.org/officeDocument/2006/relationships/hyperlink" Target="https://www.sec.gov/Archives/edgar/data/1001082/000110465915068740/a15-20572_1ex10d2.htm" TargetMode="External"/><Relationship Id="rId30" Type="http://schemas.openxmlformats.org/officeDocument/2006/relationships/hyperlink" Target="https://www.sec.gov/Archives/edgar/data/1001082/000110465915068740/a15-20572_1ex10d4.htm" TargetMode="External"/><Relationship Id="rId31" Type="http://schemas.openxmlformats.org/officeDocument/2006/relationships/hyperlink" Target="https://www.sec.gov/Archives/edgar/data/1001082/000110465916137968/a16-16336_1ex10d1.htm" TargetMode="External"/><Relationship Id="rId32" Type="http://schemas.openxmlformats.org/officeDocument/2006/relationships/hyperlink" Target="https://www.sec.gov/Archives/edgar/data/1001082/000110465916137968/a16-16336_1ex10d2.htm" TargetMode="External"/><Relationship Id="rId33" Type="http://schemas.openxmlformats.org/officeDocument/2006/relationships/hyperlink" Target="https://www.sec.gov/Archives/edgar/data/1001082/000110465916161284/a16-22870_18k.htm" TargetMode="External"/><Relationship Id="rId34" Type="http://schemas.openxmlformats.org/officeDocument/2006/relationships/hyperlink" Target="https://www.sec.gov/Archives/edgar/data/1001082/000100108218000015/dish-20180823x8k.htm" TargetMode="External"/><Relationship Id="rId35" Type="http://schemas.openxmlformats.org/officeDocument/2006/relationships/hyperlink" Target="https://www.sec.gov/Archives/edgar/data/1001082/000155837020013008/dish-20200930xex10d1.htm" TargetMode="External"/><Relationship Id="rId36" Type="http://schemas.openxmlformats.org/officeDocument/2006/relationships/hyperlink" Target="https://www.sec.gov/Archives/edgar/data/1001082/000155837020013008/dish-20200930xex10d2.htm" TargetMode="External"/><Relationship Id="rId37" Type="http://schemas.openxmlformats.org/officeDocument/2006/relationships/hyperlink" Target="https://www.sec.gov/Archives/edgar/data/1001082/000155837020013008/dish-20200930xex10d3.htm" TargetMode="External"/><Relationship Id="rId38" Type="http://schemas.openxmlformats.org/officeDocument/2006/relationships/hyperlink" Target="https://www.sec.gov/Archives/edgar/data/1001082/000155837020013008/dish-20200930xex10d4.htm" TargetMode="External"/><Relationship Id="rId39" Type="http://schemas.openxmlformats.org/officeDocument/2006/relationships/hyperlink" Target="https://www.sec.gov/Archives/edgar/data/1001082/000155837020013008/dish-20200930xex10d5.htm" TargetMode="External"/><Relationship Id="rId40" Type="http://schemas.openxmlformats.org/officeDocument/2006/relationships/hyperlink" Target="https://www.sec.gov/Archives/edgar/data/1001082/000155837021014419/dish-20210930xex10d1.htm" TargetMode="External"/><Relationship Id="rId41" Type="http://schemas.openxmlformats.org/officeDocument/2006/relationships/hyperlink" Target="https://www.sec.gov/Archives/edgar/data/1415404/000110465924000089/tm2333745d3_ex4-8.htm" TargetMode="External"/><Relationship Id="rId42" Type="http://schemas.openxmlformats.org/officeDocument/2006/relationships/hyperlink" Target="https://www.sec.gov/Archives/edgar/data/1415404/000110465924000089/tm2333745d3_ex4-9.htm" TargetMode="External"/><Relationship Id="rId43" Type="http://schemas.openxmlformats.org/officeDocument/2006/relationships/hyperlink" Target="https://www.sec.gov/Archives/edgar/data/1415404/000110465924000089/tm2333745d3_ex4-11.htm" TargetMode="External"/><Relationship Id="rId44" Type="http://schemas.openxmlformats.org/officeDocument/2006/relationships/hyperlink" Target="https://www.sec.gov/Archives/edgar/data/1415404/000155837024002209/tmb-20231231xex97.htm" TargetMode="External"/><Relationship Id="rId45" Type="http://schemas.openxmlformats.org/officeDocument/2006/relationships/hyperlink" Target="https://www.sec.gov/Archives/edgar/data/1001082/000155837021010868/dish-20210630xex99d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97113</Words>
  <Characters>539170</Characters>
  <CharactersWithSpaces>641697</CharactersWithSpaces>
  <Paragraphs>16007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