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18" w:space="1" w:color="000000"/>
        </w:pBdr>
        <w:bidi w:val="0"/>
        <w:spacing w:before="0" w:after="0"/>
        <w:ind w:left="0" w:right="0" w:hanging="0"/>
        <w:jc w:val="left"/>
        <w:rPr/>
      </w:pPr>
      <w:bookmarkStart w:id="0" w:name="sats-20260728x8k.htm"/>
      <w:bookmarkStart w:id="1" w:name="kssats20260728x8k"/>
      <w:bookmarkEnd w:id="0"/>
      <w:bookmarkEnd w:id="1"/>
      <w:r>
        <w:rPr/>
        <w:t> </w:t>
      </w:r>
    </w:p>
    <w:p>
      <w:pPr>
        <w:pStyle w:val="TextBody"/>
        <w:pBdr>
          <w:bottom w:val="single" w:sz="8" w:space="1" w:color="000000"/>
        </w:pBdr>
        <w:bidi w:val="0"/>
        <w:spacing w:before="0" w:after="0"/>
        <w:ind w:left="0" w:right="0" w:hanging="0"/>
        <w:jc w:val="left"/>
        <w:rPr/>
      </w:pPr>
      <w:r>
        <w:rPr/>
        <w:t> </w:t>
      </w:r>
    </w:p>
    <w:p>
      <w:pPr>
        <w:pStyle w:val="TextBody"/>
        <w:bidi w:val="0"/>
        <w:spacing w:before="120" w:after="0"/>
        <w:ind w:left="0" w:right="0" w:hanging="0"/>
        <w:jc w:val="center"/>
        <w:rPr>
          <w:rFonts w:ascii="Times New Roman;Times;serif" w:hAnsi="Times New Roman;Times;serif"/>
          <w:sz w:val="24"/>
        </w:rPr>
      </w:pPr>
      <w:bookmarkStart w:id="2" w:name="_a92f5414_6e2e_4fc1_895a_4a08e4468e12"/>
      <w:bookmarkEnd w:id="2"/>
      <w:r>
        <w:rPr>
          <w:rFonts w:ascii="Times New Roman;Times;serif" w:hAnsi="Times New Roman;Times;serif"/>
          <w:b/>
          <w:sz w:val="28"/>
        </w:rPr>
        <w:t>UNITED STATES</w:t>
        <w:br/>
        <w:t>SECURITIES AND EXCHANGE COMMISSION</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Washington, D.C. 20549</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28"/>
        </w:rPr>
      </w:pPr>
      <w:r>
        <w:rPr>
          <w:rFonts w:ascii="Times New Roman;Times;serif" w:hAnsi="Times New Roman;Times;serif"/>
          <w:b/>
          <w:sz w:val="28"/>
        </w:rPr>
        <w:t>Form 8-K</w:t>
      </w:r>
      <w:r>
        <w:rPr>
          <w:rFonts w:ascii="Times New Roman;Times;serif" w:hAnsi="Times New Roman;Times;serif"/>
          <w:sz w:val="28"/>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b/>
          <w:sz w:val="16"/>
        </w:rPr>
        <w:t>CURRENT REPORT</w:t>
        <w:br/>
        <w:t>Pursuant to Section 13 OR 15(d) of the Securities Exchange Act of 1934</w:t>
      </w:r>
      <w:r>
        <w:rPr>
          <w:rFonts w:ascii="Times New Roman;Times;serif" w:hAnsi="Times New Roman;Times;serif"/>
          <w:sz w:val="16"/>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sz w:val="16"/>
        </w:rPr>
        <w:t>Date of Report (Date of earliest event reported): August 3, 2026 (July 28, 2026)</w:t>
      </w:r>
    </w:p>
    <w:p>
      <w:pPr>
        <w:pStyle w:val="TextBody"/>
        <w:bidi w:val="0"/>
        <w:spacing w:before="240" w:after="0"/>
        <w:ind w:left="0" w:right="0" w:hanging="0"/>
        <w:jc w:val="center"/>
        <w:rPr>
          <w:rFonts w:ascii="Times New Roman;Times;serif" w:hAnsi="Times New Roman;Times;serif"/>
          <w:b/>
          <w:sz w:val="25"/>
        </w:rPr>
      </w:pPr>
      <w:r>
        <w:rPr>
          <w:rFonts w:ascii="Times New Roman;Times;serif" w:hAnsi="Times New Roman;Times;serif"/>
          <w:b/>
          <w:sz w:val="25"/>
        </w:rPr>
        <w:t>ECHOSTAR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16"/>
        </w:rPr>
        <w:t>001-33807</w:t>
        <w:br/>
      </w:r>
      <w:r>
        <w:rPr>
          <w:rFonts w:ascii="Times New Roman;Times;serif" w:hAnsi="Times New Roman;Times;serif"/>
          <w:sz w:val="16"/>
        </w:rPr>
        <w:t>(Commission File Number)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ZzoaVvRsD0SdIrqgv-Y90Q_6_2"/>
      <w:bookmarkStart w:id="4" w:name="Tc_oISlnbXucUaTgGwt2TvCew_6_0"/>
      <w:bookmarkStart w:id="5" w:name="Tc_Hixr1TztT0GFwYMeWKHEzg_5_0"/>
      <w:bookmarkStart w:id="6" w:name="Tc_KMbczkqFq0OoEgsJMYBhkw_2_2"/>
      <w:bookmarkStart w:id="7" w:name="Tc_p2Md2jfsLkmKujKKj04Nfg_2_0"/>
      <w:bookmarkStart w:id="8" w:name="_70606380_cd8d_438d_af56_53cc3d046862"/>
      <w:bookmarkStart w:id="9" w:name="Tc_ZzoaVvRsD0SdIrqgv-Y90Q_6_2"/>
      <w:bookmarkStart w:id="10" w:name="Tc_oISlnbXucUaTgGwt2TvCew_6_0"/>
      <w:bookmarkStart w:id="11" w:name="Tc_Hixr1TztT0GFwYMeWKHEzg_5_0"/>
      <w:bookmarkStart w:id="12" w:name="Tc_KMbczkqFq0OoEgsJMYBhkw_2_2"/>
      <w:bookmarkStart w:id="13" w:name="Tc_p2Md2jfsLkmKujKKj04Nfg_2_0"/>
      <w:bookmarkStart w:id="14" w:name="_70606380_cd8d_438d_af56_53cc3d046862"/>
      <w:bookmarkEnd w:id="9"/>
      <w:bookmarkEnd w:id="10"/>
      <w:bookmarkEnd w:id="11"/>
      <w:bookmarkEnd w:id="12"/>
      <w:bookmarkEnd w:id="13"/>
      <w:bookmarkEnd w:id="14"/>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26-1232727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c3AjotlzV0mfp59uOEHmRw_2_4"/>
      <w:bookmarkStart w:id="16" w:name="Tc_vN3enhXx-EWmznSZqdaZMA_1_4"/>
      <w:bookmarkStart w:id="17" w:name="Tc_XFyc9wzJfUCmgcxYCJhchQ_1_2"/>
      <w:bookmarkStart w:id="18" w:name="Tc_JpFJ5EK-SUObKVdTFYYvuw_1_0"/>
      <w:bookmarkStart w:id="19" w:name="_13e9416e_f6e1_43d6_8ee3_60fcdb3aae5a"/>
      <w:bookmarkStart w:id="20" w:name="Tc_c3AjotlzV0mfp59uOEHmRw_2_4"/>
      <w:bookmarkStart w:id="21" w:name="Tc_vN3enhXx-EWmznSZqdaZMA_1_4"/>
      <w:bookmarkStart w:id="22" w:name="Tc_XFyc9wzJfUCmgcxYCJhchQ_1_2"/>
      <w:bookmarkStart w:id="23" w:name="Tc_JpFJ5EK-SUObKVdTFYYvuw_1_0"/>
      <w:bookmarkStart w:id="24" w:name="_13e9416e_f6e1_43d6_8ee3_60fcdb3aae5a"/>
      <w:bookmarkEnd w:id="20"/>
      <w:bookmarkEnd w:id="21"/>
      <w:bookmarkEnd w:id="22"/>
      <w:bookmarkEnd w:id="23"/>
      <w:bookmarkEnd w:id="24"/>
    </w:p>
    <w:tbl>
      <w:tblPr>
        <w:tblW w:w="7961" w:type="dxa"/>
        <w:jc w:val="left"/>
        <w:tblInd w:w="0" w:type="dxa"/>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2" w:space="0" w:color="000000"/>
            </w:tcBorders>
            <w:tcMar>
              <w:bottom w:w="28" w:type="dxa"/>
            </w:tcMar>
            <w:vAlign w:val="center"/>
          </w:tcPr>
          <w:p>
            <w:pPr>
              <w:pStyle w:val="TableContents"/>
              <w:pBdr/>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pBdr/>
              <w:bidi w:val="0"/>
              <w:spacing w:lineRule="atLeast" w:line="142"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pBdr/>
              <w:bidi w:val="0"/>
              <w:spacing w:lineRule="atLeast" w:line="142"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971"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$0.001 par value</w:t>
            </w:r>
          </w:p>
        </w:tc>
        <w:tc>
          <w:tcPr>
            <w:tcW w:w="109" w:type="dxa"/>
            <w:tcBorders/>
            <w:vAlign w:val="center"/>
          </w:tcPr>
          <w:p>
            <w:pPr>
              <w:pStyle w:val="TableContents"/>
              <w:pBdr/>
              <w:bidi w:val="0"/>
              <w:spacing w:lineRule="atLeast" w:line="180"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ECHO</w:t>
            </w:r>
          </w:p>
        </w:tc>
        <w:tc>
          <w:tcPr>
            <w:tcW w:w="109" w:type="dxa"/>
            <w:tcBorders/>
            <w:vAlign w:val="center"/>
          </w:tcPr>
          <w:p>
            <w:pPr>
              <w:pStyle w:val="TableContents"/>
              <w:pBdr/>
              <w:bidi w:val="0"/>
              <w:spacing w:lineRule="atLeast" w:line="180"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4"/>
              </w:rPr>
            </w:pPr>
            <w:r>
              <w:rPr>
                <w:rFonts w:ascii="Times New Roman;Times;serif" w:hAnsi="Times New Roman;Times;serif"/>
                <w:sz w:val="16"/>
              </w:rPr>
              <w:t>The Nasdaq</w:t>
            </w:r>
            <w:r>
              <w:rPr>
                <w:rFonts w:ascii="Times New Roman;Times;serif" w:hAnsi="Times New Roman;Times;serif"/>
                <w:sz w:val="24"/>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HUGHES SATELLITE SYSTEMS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333-179121</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KqCGDCl4_0CWoBQsizDxyg_6_2"/>
      <w:bookmarkStart w:id="26" w:name="Tc_iuSF-yCdwkm5tTrNgeLGEA_6_0"/>
      <w:bookmarkStart w:id="27" w:name="Tc_bmWWf3waFk6_CLBFPK01Dg_5_0"/>
      <w:bookmarkStart w:id="28" w:name="Tc_ifWYaeuuV0eyRnNfl-fDlA_2_2"/>
      <w:bookmarkStart w:id="29" w:name="Tc_sJLt_Fz3pEiur-d3UvgSSg_2_0"/>
      <w:bookmarkStart w:id="30" w:name="_04ecbcc0_20eb_48b7_b30c_e6dfc64e069f"/>
      <w:bookmarkStart w:id="31" w:name="Tc_KqCGDCl4_0CWoBQsizDxyg_6_2"/>
      <w:bookmarkStart w:id="32" w:name="Tc_iuSF-yCdwkm5tTrNgeLGEA_6_0"/>
      <w:bookmarkStart w:id="33" w:name="Tc_bmWWf3waFk6_CLBFPK01Dg_5_0"/>
      <w:bookmarkStart w:id="34" w:name="Tc_ifWYaeuuV0eyRnNfl-fDlA_2_2"/>
      <w:bookmarkStart w:id="35" w:name="Tc_sJLt_Fz3pEiur-d3UvgSSg_2_0"/>
      <w:bookmarkStart w:id="36" w:name="_04ecbcc0_20eb_48b7_b30c_e6dfc64e069f"/>
      <w:bookmarkEnd w:id="31"/>
      <w:bookmarkEnd w:id="32"/>
      <w:bookmarkEnd w:id="33"/>
      <w:bookmarkEnd w:id="34"/>
      <w:bookmarkEnd w:id="35"/>
      <w:bookmarkEnd w:id="36"/>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45-0897865</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(303) 723-1000</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lineRule="atLeast" w:line="207"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120" w:after="0"/>
        <w:ind w:left="0" w:right="0" w:hanging="0"/>
        <w:jc w:val="left"/>
        <w:rPr>
          <w:rFonts w:ascii="Times New Roman;Times;serif" w:hAnsi="Times New Roman;Times;serif"/>
          <w:sz w:val="16"/>
        </w:rPr>
      </w:pPr>
      <w:r>
        <w:rPr>
          <w:rFonts w:ascii="Times New Roman;Times;serif" w:hAnsi="Times New Roman;Times;serif"/>
          <w:sz w:val="16"/>
        </w:rPr>
        <w:t xml:space="preserve">Check the appropriate box below if the Form 8-K filing is intended to simultaneously satisfy the filing obligation of the registrant under any of the following provisions: </w:t>
      </w:r>
    </w:p>
    <w:tbl>
      <w:tblPr>
        <w:tblW w:w="8518" w:type="dxa"/>
        <w:jc w:val="left"/>
        <w:tblInd w:w="0" w:type="dxa"/>
        <w:tblLayout w:type="fixed"/>
        <w:tblCellMar>
          <w:top w:w="0" w:type="dxa"/>
          <w:left w:w="0" w:type="dxa"/>
          <w:bottom w:w="0" w:type="dxa"/>
          <w:right w:w="0" w:type="dxa"/>
        </w:tblCellMar>
      </w:tblPr>
      <w:tblGrid>
        <w:gridCol w:w="391"/>
        <w:gridCol w:w="146"/>
        <w:gridCol w:w="7981"/>
      </w:tblGrid>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12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6"/>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before="200" w:after="0"/>
        <w:ind w:left="0" w:right="0" w:hanging="0"/>
        <w:jc w:val="left"/>
        <w:rPr/>
      </w:pPr>
      <w:r>
        <w:rPr/>
        <w:t>​</w:t>
      </w:r>
    </w:p>
    <w:p>
      <w:pPr>
        <w:pStyle w:val="TextBody"/>
        <w:pBdr>
          <w:bottom w:val="single" w:sz="18" w:space="1" w:color="000000"/>
        </w:pBdr>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7" w:name="_0311c646_9922_4eaa_84ad_1c0eed0fcf7c"/>
      <w:bookmarkStart w:id="38" w:name="a02"/>
      <w:bookmarkEnd w:id="37"/>
      <w:bookmarkEnd w:id="38"/>
      <w:r>
        <w:rPr/>
        <w:t>​</w:t>
      </w:r>
    </w:p>
    <w:tbl>
      <w:tblPr>
        <w:tblW w:w="3932" w:type="dxa"/>
        <w:jc w:val="left"/>
        <w:tblInd w:w="0" w:type="dxa"/>
        <w:tblLayout w:type="fixed"/>
        <w:tblCellMar>
          <w:top w:w="0" w:type="dxa"/>
          <w:left w:w="0" w:type="dxa"/>
          <w:bottom w:w="0" w:type="dxa"/>
          <w:right w:w="0" w:type="dxa"/>
        </w:tblCellMar>
      </w:tblPr>
      <w:tblGrid>
        <w:gridCol w:w="961"/>
        <w:gridCol w:w="2971"/>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2971"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1.03.</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color w:val="222222"/>
                <w:sz w:val="22"/>
              </w:rPr>
              <w:t>Bankruptcy or Receivership</w:t>
            </w:r>
            <w:r>
              <w:rPr>
                <w:rFonts w:ascii="Times New Roman;Times;serif" w:hAnsi="Times New Roman;Times;serif"/>
                <w:b/>
                <w:color w:val="212529"/>
                <w:sz w:val="22"/>
              </w:rPr>
              <w:t>.</w:t>
            </w:r>
          </w:p>
        </w:tc>
      </w:tr>
    </w:tbl>
    <w:p>
      <w:pPr>
        <w:pStyle w:val="TextBody"/>
        <w:bidi w:val="0"/>
        <w:spacing w:before="0" w:after="0"/>
        <w:ind w:left="0" w:right="0" w:hanging="0"/>
        <w:jc w:val="both"/>
        <w:rPr>
          <w:color w:val="212529"/>
        </w:rPr>
      </w:pPr>
      <w:r>
        <w:rPr>
          <w:color w:val="212529"/>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color w:val="222222"/>
          <w:sz w:val="22"/>
        </w:rPr>
        <w:t xml:space="preserve">On August 2, 2026 (the “Petition Date”), EchoStar Corporation’s (“EchoStar”) subsidiary Hughes Satellite Systems Corporation (“HSSC”) and certain of its wholly-owned subsidiaries, (i) EchoStar Orbital L.L.C., (ii) EchoStar Government Services L.L.C., (iii) EchoStar Satellite Services L.L.C., (iv) Hughes Communications, Inc., (v) Hughes Network Systems, LLC, (vi) HNS-India VSAT, Inc., (vii) HNS License Sub, LLC, (viii) HNS Real Estate, LLC, (ix) Hughes Network Systems International Service Company, (x) HNS Americas, L.L.C., and (xi) HNS Americas II, L.L.C. (the foregoing subsidiaries referenced in (i) – (xi) and HSSC, collectively, the “Debtors”), filed voluntary petitions for reorganization (the “Bankruptcy Petitions” and the cases commenced thereby, the “Chapter 11 Cases”) under chapter 11 of the United States Bankruptcy Code (the “Bankruptcy Code”) in the United States Bankruptcy Court for the District of Texas (the “Court”). The Debtors have filed a motion with the Court seeking to administer all of the Debtors’ Chapter 11 Cases jointly under the caption </w:t>
      </w:r>
      <w:r>
        <w:rPr>
          <w:rFonts w:ascii="Times New Roman;Times;serif" w:hAnsi="Times New Roman;Times;serif"/>
          <w:i/>
          <w:sz w:val="24"/>
        </w:rPr>
        <w:t>In re Hughes Satellite Systems Corporation</w:t>
      </w:r>
      <w:r>
        <w:rPr>
          <w:rFonts w:ascii="Times New Roman;Times;serif" w:hAnsi="Times New Roman;Times;serif"/>
          <w:color w:val="222222"/>
          <w:sz w:val="22"/>
        </w:rPr>
        <w:t xml:space="preserve"> (Case No. 26-90739).</w:t>
      </w:r>
    </w:p>
    <w:p>
      <w:pPr>
        <w:pStyle w:val="TextBody"/>
        <w:bidi w:val="0"/>
        <w:spacing w:before="0" w:after="0"/>
        <w:ind w:left="0" w:right="0" w:hanging="0"/>
        <w:jc w:val="left"/>
        <w:rPr>
          <w:color w:val="222222"/>
        </w:rPr>
      </w:pPr>
      <w:r>
        <w:rPr>
          <w:color w:val="222222"/>
        </w:rPr>
        <w:t> </w:t>
      </w:r>
    </w:p>
    <w:p>
      <w:pPr>
        <w:pStyle w:val="TextBody"/>
        <w:bidi w:val="0"/>
        <w:spacing w:before="0" w:after="0"/>
        <w:ind w:left="0" w:right="0" w:hanging="0"/>
        <w:jc w:val="left"/>
        <w:rPr>
          <w:rFonts w:ascii="Times New Roman;Times;serif" w:hAnsi="Times New Roman;Times;serif"/>
          <w:color w:val="222222"/>
          <w:sz w:val="22"/>
        </w:rPr>
      </w:pPr>
      <w:r>
        <w:rPr>
          <w:rFonts w:ascii="Times New Roman;Times;serif" w:hAnsi="Times New Roman;Times;serif"/>
          <w:color w:val="222222"/>
          <w:sz w:val="22"/>
        </w:rPr>
        <w:t>The Debtors have also filed motions with the Court seeking authorization to continue to operate their businesses as “debtors-in-possession” under the jurisdiction of the Court and in accordance with the applicable provisions of the Bankruptcy Code and orders of the Court. The Debtors expect to continue their existing operations without interruption during the pendency of the Chapter 11 Cases. To maintain and continue uninterrupted ordinary course operations during the Chapter 11 Cases, the Debtors have filed a variety of “first day” motions seeking approval from the Court for various forms of customary relief. These motions are designed primarily to minimize the effect of bankruptcy on HSSC’s operations, customers and employees.</w:t>
      </w:r>
    </w:p>
    <w:p>
      <w:pPr>
        <w:pStyle w:val="TextBody"/>
        <w:bidi w:val="0"/>
        <w:spacing w:before="0" w:after="0"/>
        <w:ind w:left="0" w:right="0" w:hanging="0"/>
        <w:jc w:val="left"/>
        <w:rPr>
          <w:color w:val="222222"/>
        </w:rPr>
      </w:pPr>
      <w:r>
        <w:rPr>
          <w:color w:val="222222"/>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color w:val="222222"/>
          <w:sz w:val="22"/>
        </w:rPr>
        <w:t xml:space="preserve">Court filings and other information relating to HSSC’s restructuring are available free of charge at </w:t>
      </w:r>
      <w:r>
        <w:rPr>
          <w:rFonts w:ascii="Times New Roman;Times;serif" w:hAnsi="Times New Roman;Times;serif"/>
          <w:sz w:val="22"/>
        </w:rPr>
        <w:t>https://dm.epiq11.com/HughesSatellite</w:t>
      </w:r>
      <w:r>
        <w:rPr>
          <w:rFonts w:ascii="Times New Roman;Times;serif" w:hAnsi="Times New Roman;Times;serif"/>
          <w:color w:val="222222"/>
          <w:sz w:val="22"/>
        </w:rPr>
        <w:t>.</w:t>
      </w:r>
    </w:p>
    <w:p>
      <w:pPr>
        <w:pStyle w:val="TextBody"/>
        <w:bidi w:val="0"/>
        <w:spacing w:before="0" w:after="0"/>
        <w:ind w:left="0" w:right="0" w:hanging="0"/>
        <w:jc w:val="both"/>
        <w:rPr>
          <w:color w:val="212529"/>
        </w:rPr>
      </w:pPr>
      <w:r>
        <w:rPr>
          <w:color w:val="212529"/>
        </w:rPr>
        <w:t>​</w:t>
      </w:r>
    </w:p>
    <w:tbl>
      <w:tblPr>
        <w:tblW w:w="10205" w:type="dxa"/>
        <w:jc w:val="left"/>
        <w:tblInd w:w="0" w:type="dxa"/>
        <w:tblLayout w:type="fixed"/>
        <w:tblCellMar>
          <w:top w:w="0" w:type="dxa"/>
          <w:left w:w="0" w:type="dxa"/>
          <w:bottom w:w="0" w:type="dxa"/>
          <w:right w:w="0" w:type="dxa"/>
        </w:tblCellMar>
      </w:tblPr>
      <w:tblGrid>
        <w:gridCol w:w="805"/>
        <w:gridCol w:w="9400"/>
      </w:tblGrid>
      <w:tr>
        <w:trPr/>
        <w:tc>
          <w:tcPr>
            <w:tcW w:w="805" w:type="dxa"/>
            <w:tcBorders/>
            <w:vAlign w:val="center"/>
          </w:tcPr>
          <w:p>
            <w:pPr>
              <w:pStyle w:val="TableContents"/>
              <w:bidi w:val="0"/>
              <w:spacing w:before="0" w:after="283"/>
              <w:ind w:left="0" w:right="0" w:hanging="0"/>
              <w:jc w:val="left"/>
              <w:rPr>
                <w:sz w:val="4"/>
                <w:szCs w:val="4"/>
              </w:rPr>
            </w:pPr>
            <w:r>
              <w:rPr>
                <w:sz w:val="4"/>
                <w:szCs w:val="4"/>
              </w:rPr>
            </w:r>
          </w:p>
        </w:tc>
        <w:tc>
          <w:tcPr>
            <w:tcW w:w="9400" w:type="dxa"/>
            <w:tcBorders/>
            <w:vAlign w:val="center"/>
          </w:tcPr>
          <w:p>
            <w:pPr>
              <w:pStyle w:val="TableContents"/>
              <w:bidi w:val="0"/>
              <w:spacing w:before="0" w:after="283"/>
              <w:ind w:left="0" w:right="0" w:hanging="0"/>
              <w:jc w:val="left"/>
              <w:rPr>
                <w:sz w:val="4"/>
                <w:szCs w:val="4"/>
              </w:rPr>
            </w:pPr>
            <w:r>
              <w:rPr>
                <w:sz w:val="4"/>
                <w:szCs w:val="4"/>
              </w:rPr>
            </w:r>
          </w:p>
        </w:tc>
      </w:tr>
      <w:tr>
        <w:trPr/>
        <w:tc>
          <w:tcPr>
            <w:tcW w:w="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2.04.</w:t>
            </w:r>
          </w:p>
        </w:tc>
        <w:tc>
          <w:tcPr>
            <w:tcW w:w="940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color w:val="222222"/>
                <w:sz w:val="22"/>
              </w:rPr>
              <w:t>Triggering Events that Accelerate or Increase a Direct Financial Obligation or an Obligations under an Off-Balance Sheet Arrangement</w:t>
            </w:r>
            <w:r>
              <w:rPr>
                <w:rFonts w:ascii="Times New Roman;Times;serif" w:hAnsi="Times New Roman;Times;serif"/>
                <w:b/>
                <w:color w:val="212529"/>
                <w:sz w:val="22"/>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color w:val="222222"/>
          <w:sz w:val="22"/>
        </w:rPr>
      </w:pPr>
      <w:r>
        <w:rPr>
          <w:rFonts w:ascii="Times New Roman;Times;serif" w:hAnsi="Times New Roman;Times;serif"/>
          <w:color w:val="222222"/>
          <w:sz w:val="22"/>
        </w:rPr>
        <w:t xml:space="preserve">The commencement of the Chapter 11 Cases described in Item 1.03 of this Current Report on Form 8-K constitutes an event of default under the applicable indentures governing HSSC’s 5.25% Senior Secured Notes due 2026 and its 6.625% Senior Notes due 2026 (together, the “Debt Instruments”), which results in automatic acceleration of HSSC’s obligations under such Debt Instruments. </w:t>
      </w:r>
    </w:p>
    <w:p>
      <w:pPr>
        <w:pStyle w:val="TextBody"/>
        <w:bidi w:val="0"/>
        <w:spacing w:before="0" w:after="0"/>
        <w:ind w:left="0" w:right="0" w:hanging="0"/>
        <w:jc w:val="left"/>
        <w:rPr>
          <w:color w:val="222222"/>
        </w:rPr>
      </w:pPr>
      <w:r>
        <w:rPr>
          <w:color w:val="222222"/>
        </w:rPr>
        <w:t> </w:t>
      </w:r>
    </w:p>
    <w:p>
      <w:pPr>
        <w:pStyle w:val="TextBody"/>
        <w:bidi w:val="0"/>
        <w:spacing w:before="0" w:after="0"/>
        <w:ind w:left="0" w:right="0" w:hanging="0"/>
        <w:jc w:val="both"/>
        <w:rPr>
          <w:rFonts w:ascii="Times New Roman;Times;serif" w:hAnsi="Times New Roman;Times;serif"/>
          <w:color w:val="222222"/>
          <w:sz w:val="22"/>
        </w:rPr>
      </w:pPr>
      <w:r>
        <w:rPr>
          <w:rFonts w:ascii="Times New Roman;Times;serif" w:hAnsi="Times New Roman;Times;serif"/>
          <w:color w:val="222222"/>
          <w:sz w:val="22"/>
        </w:rPr>
        <w:t>Any efforts to enforce payment obligations under the aforementioned Debt Instruments are automatically stayed as a result of the filing of the Chapter 11 Cases and the creditors’ rights of enforcement in respect of the Debt Instruments are subject to the applicable provisions of the Bankruptcy Code.</w:t>
      </w:r>
    </w:p>
    <w:p>
      <w:pPr>
        <w:pStyle w:val="TextBody"/>
        <w:bidi w:val="0"/>
        <w:spacing w:before="0" w:after="0"/>
        <w:ind w:left="0" w:right="0" w:hanging="0"/>
        <w:jc w:val="both"/>
        <w:rPr>
          <w:color w:val="222222"/>
        </w:rPr>
      </w:pPr>
      <w:r>
        <w:rPr>
          <w:color w:val="222222"/>
        </w:rPr>
        <w:t>​</w:t>
      </w:r>
    </w:p>
    <w:tbl>
      <w:tblPr>
        <w:tblW w:w="10205" w:type="dxa"/>
        <w:jc w:val="left"/>
        <w:tblInd w:w="0" w:type="dxa"/>
        <w:tblLayout w:type="fixed"/>
        <w:tblCellMar>
          <w:top w:w="0" w:type="dxa"/>
          <w:left w:w="0" w:type="dxa"/>
          <w:bottom w:w="0" w:type="dxa"/>
          <w:right w:w="0" w:type="dxa"/>
        </w:tblCellMar>
      </w:tblPr>
      <w:tblGrid>
        <w:gridCol w:w="776"/>
        <w:gridCol w:w="9429"/>
      </w:tblGrid>
      <w:tr>
        <w:trPr/>
        <w:tc>
          <w:tcPr>
            <w:tcW w:w="776" w:type="dxa"/>
            <w:tcBorders/>
            <w:vAlign w:val="center"/>
          </w:tcPr>
          <w:p>
            <w:pPr>
              <w:pStyle w:val="TableContents"/>
              <w:bidi w:val="0"/>
              <w:spacing w:before="0" w:after="283"/>
              <w:ind w:left="0" w:right="0" w:hanging="0"/>
              <w:jc w:val="left"/>
              <w:rPr>
                <w:sz w:val="4"/>
                <w:szCs w:val="4"/>
              </w:rPr>
            </w:pPr>
            <w:r>
              <w:rPr>
                <w:sz w:val="4"/>
                <w:szCs w:val="4"/>
              </w:rPr>
            </w:r>
          </w:p>
        </w:tc>
        <w:tc>
          <w:tcPr>
            <w:tcW w:w="9429" w:type="dxa"/>
            <w:tcBorders/>
            <w:vAlign w:val="center"/>
          </w:tcPr>
          <w:p>
            <w:pPr>
              <w:pStyle w:val="TableContents"/>
              <w:bidi w:val="0"/>
              <w:spacing w:before="0" w:after="283"/>
              <w:ind w:left="0" w:right="0" w:hanging="0"/>
              <w:jc w:val="left"/>
              <w:rPr>
                <w:sz w:val="4"/>
                <w:szCs w:val="4"/>
              </w:rPr>
            </w:pPr>
            <w:r>
              <w:rPr>
                <w:sz w:val="4"/>
                <w:szCs w:val="4"/>
              </w:rPr>
            </w:r>
          </w:p>
        </w:tc>
      </w:tr>
      <w:tr>
        <w:trPr/>
        <w:tc>
          <w:tcPr>
            <w:tcW w:w="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5.02.</w:t>
            </w:r>
          </w:p>
        </w:tc>
        <w:tc>
          <w:tcPr>
            <w:tcW w:w="94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Departure of Directors or Certain Officers; Election of Directors; Appointment of Certain Officers; Compensatory Arrangements of Certain Officers</w:t>
            </w:r>
            <w:r>
              <w:rPr>
                <w:rFonts w:ascii="Times New Roman;Times;serif" w:hAnsi="Times New Roman;Times;serif"/>
                <w:b/>
                <w:color w:val="212529"/>
                <w:sz w:val="22"/>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  On July 28, 2026, in conjunction with his upcoming retirement, Mr. Paul Gaske, resigned from all director and officer positions of EchoStar and HSSC, effective immediately.  Mr. Gaske remains employed by EchoStar as a senior advisor for a transition period to assist EchoStar and HSSC.</w:t>
      </w:r>
    </w:p>
    <w:p>
      <w:pPr>
        <w:pStyle w:val="TextBody"/>
        <w:bidi w:val="0"/>
        <w:spacing w:before="0" w:after="0"/>
        <w:ind w:left="0" w:right="0" w:hanging="0"/>
        <w:jc w:val="both"/>
        <w:rPr>
          <w:color w:val="222222"/>
        </w:rPr>
      </w:pPr>
      <w:r>
        <w:rPr>
          <w:color w:val="222222"/>
        </w:rPr>
        <w:t>​</w:t>
      </w:r>
    </w:p>
    <w:tbl>
      <w:tblPr>
        <w:tblW w:w="3677" w:type="dxa"/>
        <w:jc w:val="left"/>
        <w:tblInd w:w="0" w:type="dxa"/>
        <w:tblLayout w:type="fixed"/>
        <w:tblCellMar>
          <w:top w:w="0" w:type="dxa"/>
          <w:left w:w="0" w:type="dxa"/>
          <w:bottom w:w="0" w:type="dxa"/>
          <w:right w:w="0" w:type="dxa"/>
        </w:tblCellMar>
      </w:tblPr>
      <w:tblGrid>
        <w:gridCol w:w="961"/>
        <w:gridCol w:w="271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7.01.</w:t>
            </w:r>
          </w:p>
        </w:tc>
        <w:tc>
          <w:tcPr>
            <w:tcW w:w="27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color w:val="222222"/>
                <w:sz w:val="22"/>
              </w:rPr>
              <w:t>Regulation FD Disclosure</w:t>
            </w:r>
            <w:r>
              <w:rPr>
                <w:rFonts w:ascii="Times New Roman;Times;serif" w:hAnsi="Times New Roman;Times;serif"/>
                <w:b/>
                <w:color w:val="212529"/>
                <w:sz w:val="22"/>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color w:val="222222"/>
          <w:sz w:val="22"/>
        </w:rPr>
      </w:pPr>
      <w:r>
        <w:rPr>
          <w:rFonts w:ascii="Times New Roman;Times;serif" w:hAnsi="Times New Roman;Times;serif"/>
          <w:color w:val="222222"/>
          <w:sz w:val="22"/>
        </w:rPr>
        <w:t>On August 3, 2026, HSSC issued a press release announcing the filing of the Bankruptcy Petitions. A copy of the press release is attached to this report as Exhibit 99.1 and incorporated herein by reference.</w:t>
      </w:r>
    </w:p>
    <w:p>
      <w:pPr>
        <w:pStyle w:val="TextBody"/>
        <w:bidi w:val="0"/>
        <w:spacing w:before="0" w:after="0"/>
        <w:ind w:left="0" w:right="0" w:hanging="0"/>
        <w:jc w:val="left"/>
        <w:rPr>
          <w:color w:val="222222"/>
        </w:rPr>
      </w:pPr>
      <w:r>
        <w:rPr>
          <w:color w:val="222222"/>
        </w:rPr>
        <w:t> </w:t>
      </w:r>
    </w:p>
    <w:p>
      <w:pPr>
        <w:pStyle w:val="TextBody"/>
        <w:bidi w:val="0"/>
        <w:spacing w:before="0" w:after="0"/>
        <w:ind w:left="0" w:right="0" w:hanging="0"/>
        <w:jc w:val="both"/>
        <w:rPr>
          <w:rFonts w:ascii="Times New Roman;Times;serif" w:hAnsi="Times New Roman;Times;serif"/>
          <w:color w:val="222222"/>
          <w:sz w:val="22"/>
        </w:rPr>
      </w:pPr>
      <w:r>
        <w:rPr>
          <w:rFonts w:ascii="Times New Roman;Times;serif" w:hAnsi="Times New Roman;Times;serif"/>
          <w:color w:val="222222"/>
          <w:sz w:val="22"/>
        </w:rPr>
        <w:t>The information furnished pursuant to Item 7.01, including Exhibit 99.1, shall not be deemed “filed” for purposes of Section 18 of the Securities Exchange Act of 1934, as amended, is not subject to the liabilities of that section and is not deemed incorporated by reference in any filing under the Securities Act of 1933, as amended, unless specifically identified therein as being incorporated therein by reference.</w:t>
      </w:r>
    </w:p>
    <w:p>
      <w:pPr>
        <w:pStyle w:val="TextBody"/>
        <w:bidi w:val="0"/>
        <w:spacing w:before="0" w:after="0"/>
        <w:ind w:left="0" w:right="0" w:hanging="0"/>
        <w:jc w:val="both"/>
        <w:rPr>
          <w:color w:val="212529"/>
        </w:rPr>
      </w:pPr>
      <w:r>
        <w:rPr>
          <w:color w:val="212529"/>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477" w:type="dxa"/>
        <w:jc w:val="left"/>
        <w:tblInd w:w="0" w:type="dxa"/>
        <w:tblLayout w:type="fixed"/>
        <w:tblCellMar>
          <w:top w:w="0" w:type="dxa"/>
          <w:left w:w="0" w:type="dxa"/>
          <w:bottom w:w="0" w:type="dxa"/>
          <w:right w:w="0" w:type="dxa"/>
        </w:tblCellMar>
      </w:tblPr>
      <w:tblGrid>
        <w:gridCol w:w="961"/>
        <w:gridCol w:w="151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51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8.01.</w:t>
            </w:r>
          </w:p>
        </w:tc>
        <w:tc>
          <w:tcPr>
            <w:tcW w:w="1516" w:type="dxa"/>
            <w:tcBorders/>
            <w:vAlign w:val="center"/>
          </w:tcPr>
          <w:p>
            <w:pPr>
              <w:pStyle w:val="TableContents"/>
              <w:bidi w:val="0"/>
              <w:spacing w:before="0" w:after="0"/>
              <w:ind w:left="0" w:right="0" w:hanging="0"/>
              <w:jc w:val="left"/>
              <w:rPr>
                <w:rFonts w:ascii="Times New Roman;Times;serif" w:hAnsi="Times New Roman;Times;serif"/>
                <w:b/>
                <w:color w:val="212529"/>
                <w:sz w:val="22"/>
              </w:rPr>
            </w:pPr>
            <w:r>
              <w:rPr>
                <w:rFonts w:ascii="Times New Roman;Times;serif" w:hAnsi="Times New Roman;Times;serif"/>
                <w:b/>
                <w:color w:val="212529"/>
                <w:sz w:val="22"/>
              </w:rPr>
              <w:t>Other Events.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color w:val="222222"/>
          <w:sz w:val="22"/>
        </w:rPr>
      </w:pPr>
      <w:r>
        <w:rPr>
          <w:rFonts w:ascii="Times New Roman;Times;serif" w:hAnsi="Times New Roman;Times;serif"/>
          <w:color w:val="222222"/>
          <w:sz w:val="22"/>
        </w:rPr>
        <w:t>HSSC and EchoStar caution that trading in their respective securities during the pendency of the Chapter 11 Cases is highly speculative and poses substantial risks. Trading prices for such securities may bear little or no relationship to the actual recovery, if any, by holders of such securities in the Chapter 11 Cases.</w:t>
      </w:r>
    </w:p>
    <w:p>
      <w:pPr>
        <w:pStyle w:val="TextBody"/>
        <w:bidi w:val="0"/>
        <w:spacing w:before="0" w:after="0"/>
        <w:ind w:left="0" w:right="0" w:hanging="0"/>
        <w:jc w:val="left"/>
        <w:rPr>
          <w:color w:val="222222"/>
        </w:rPr>
      </w:pPr>
      <w:r>
        <w:rPr>
          <w:color w:val="222222"/>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On July 28, 2026, HSSC appointed Mr. Robert Del Genio as Chief Restructuring Officer. Mr. Del Genio, age 67, is a Senior Managing Director of FTI Consulting, Inc. (“FTI”). Mr. Del Genio has worked for FTI for the past 5 years specializing in restructuring and reorganizations and has served as chief restructuring officer, president, chief executive officer and chief financial officer to various companies.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On July 31, 2026, HSSC appointed Mr. Ramesh Ramaswamy, age 66, as Executive Vice President, General Manager. Mr. Ramaswamy joined HSSC in 1985 as a software engineer and rose through management roles in engineering, operations, marketing and sales.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On July 28, 2026, HSSC appointed Michael C. Buenzow and Anthony R. Horton as independent directors. Messrs. Buenzow and Horton will serve on the newly formed independent committee (the “Special Committee”). The Special Committee was formed to review and evaluate certain related party transactions between HSSC (and/or its subsidiaries) and EchoStar (and/or its subsidiaries).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There are no transactions between any of Messrs. Del Genio, Ramaswamy, Buenzow and Horton and EchoStar and/or HSSC that are required to be reported under Item 404(a) of Regulation S-K.</w:t>
      </w:r>
    </w:p>
    <w:p>
      <w:pPr>
        <w:pStyle w:val="TextBody"/>
        <w:bidi w:val="0"/>
        <w:spacing w:lineRule="auto" w:line="410" w:before="0" w:after="0"/>
        <w:ind w:left="0" w:right="0" w:hanging="0"/>
        <w:jc w:val="left"/>
        <w:rPr/>
      </w:pPr>
      <w:bookmarkStart w:id="39" w:name="_03f25c55_811e_4821_9e6e_93ba109ffc9f"/>
      <w:bookmarkEnd w:id="39"/>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410"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tbl>
      <w:tblPr>
        <w:tblW w:w="9050" w:type="dxa"/>
        <w:jc w:val="left"/>
        <w:tblInd w:w="0" w:type="dxa"/>
        <w:tblLayout w:type="fixed"/>
        <w:tblCellMar>
          <w:top w:w="0" w:type="dxa"/>
          <w:left w:w="0" w:type="dxa"/>
          <w:bottom w:w="0" w:type="dxa"/>
          <w:right w:w="0" w:type="dxa"/>
        </w:tblCellMar>
      </w:tblPr>
      <w:tblGrid>
        <w:gridCol w:w="124"/>
        <w:gridCol w:w="23"/>
        <w:gridCol w:w="1237"/>
        <w:gridCol w:w="7666"/>
      </w:tblGrid>
      <w:tr>
        <w:trPr/>
        <w:tc>
          <w:tcPr>
            <w:tcW w:w="1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237" w:type="dxa"/>
            <w:tcBorders/>
            <w:vAlign w:val="center"/>
          </w:tcPr>
          <w:p>
            <w:pPr>
              <w:pStyle w:val="TableContents"/>
              <w:bidi w:val="0"/>
              <w:spacing w:before="0" w:after="283"/>
              <w:ind w:left="0" w:right="0" w:hanging="0"/>
              <w:jc w:val="left"/>
              <w:rPr>
                <w:sz w:val="4"/>
                <w:szCs w:val="4"/>
              </w:rPr>
            </w:pPr>
            <w:r>
              <w:rPr>
                <w:sz w:val="4"/>
                <w:szCs w:val="4"/>
              </w:rPr>
            </w:r>
          </w:p>
        </w:tc>
        <w:tc>
          <w:tcPr>
            <w:tcW w:w="7666" w:type="dxa"/>
            <w:tcBorders/>
            <w:vAlign w:val="center"/>
          </w:tcPr>
          <w:p>
            <w:pPr>
              <w:pStyle w:val="TableContents"/>
              <w:bidi w:val="0"/>
              <w:spacing w:before="0" w:after="283"/>
              <w:ind w:left="0" w:right="0" w:hanging="0"/>
              <w:jc w:val="left"/>
              <w:rPr>
                <w:sz w:val="4"/>
                <w:szCs w:val="4"/>
              </w:rPr>
            </w:pPr>
            <w:r>
              <w:rPr>
                <w:sz w:val="4"/>
                <w:szCs w:val="4"/>
              </w:rPr>
            </w:r>
          </w:p>
        </w:tc>
      </w:tr>
      <w:tr>
        <w:trPr/>
        <w:tc>
          <w:tcPr>
            <w:tcW w:w="1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237" w:type="dxa"/>
            <w:tcBorders>
              <w:bottom w:val="single" w:sz="18" w:space="0" w:color="000000"/>
            </w:tcBorders>
            <w:tcMar>
              <w:bottom w:w="28" w:type="dxa"/>
            </w:tcMar>
            <w:vAlign w:val="center"/>
          </w:tcPr>
          <w:p>
            <w:pPr>
              <w:pStyle w:val="TableContents"/>
              <w:bidi w:val="0"/>
              <w:spacing w:before="40" w:after="40"/>
              <w:ind w:left="0" w:right="0" w:hanging="0"/>
              <w:jc w:val="both"/>
              <w:rPr>
                <w:rFonts w:ascii="Times New Roman;Times;serif" w:hAnsi="Times New Roman;Times;serif"/>
                <w:b/>
                <w:sz w:val="22"/>
              </w:rPr>
            </w:pPr>
            <w:r>
              <w:rPr>
                <w:rFonts w:ascii="Times New Roman;Times;serif" w:hAnsi="Times New Roman;Times;serif"/>
                <w:b/>
                <w:sz w:val="22"/>
              </w:rPr>
              <w:t>Exhibit No.</w:t>
            </w:r>
          </w:p>
        </w:tc>
        <w:tc>
          <w:tcPr>
            <w:tcW w:w="7666" w:type="dxa"/>
            <w:tcBorders>
              <w:bottom w:val="single" w:sz="18" w:space="0" w:color="000000"/>
            </w:tcBorders>
            <w:tcMar>
              <w:bottom w:w="28" w:type="dxa"/>
            </w:tcMar>
            <w:vAlign w:val="center"/>
          </w:tcPr>
          <w:p>
            <w:pPr>
              <w:pStyle w:val="TableContents"/>
              <w:bidi w:val="0"/>
              <w:spacing w:before="40" w:after="40"/>
              <w:ind w:left="0" w:right="0" w:hanging="0"/>
              <w:jc w:val="center"/>
              <w:rPr>
                <w:rFonts w:ascii="Times New Roman;Times;serif" w:hAnsi="Times New Roman;Times;serif"/>
                <w:b/>
                <w:sz w:val="22"/>
              </w:rPr>
            </w:pPr>
            <w:r>
              <w:rPr>
                <w:rFonts w:ascii="Times New Roman;Times;serif" w:hAnsi="Times New Roman;Times;serif"/>
                <w:b/>
                <w:sz w:val="22"/>
              </w:rPr>
              <w:t>Description</w:t>
            </w:r>
          </w:p>
        </w:tc>
      </w:tr>
      <w:tr>
        <w:trPr/>
        <w:tc>
          <w:tcPr>
            <w:tcW w:w="124"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99.1</w:t>
            </w:r>
          </w:p>
        </w:tc>
        <w:tc>
          <w:tcPr>
            <w:tcW w:w="7666" w:type="dxa"/>
            <w:tcBorders/>
            <w:vAlign w:val="center"/>
          </w:tcPr>
          <w:p>
            <w:pPr>
              <w:pStyle w:val="TableContents"/>
              <w:bidi w:val="0"/>
              <w:spacing w:before="0" w:after="0"/>
              <w:ind w:left="0" w:right="0" w:hanging="0"/>
              <w:jc w:val="left"/>
              <w:rPr/>
            </w:pPr>
            <w:hyperlink w:anchor="sats-20260728xex99.htm">
              <w:r>
                <w:rPr>
                  <w:rStyle w:val="InternetLink"/>
                  <w:rFonts w:ascii="Times New Roman;Times;serif" w:hAnsi="Times New Roman;Times;serif"/>
                  <w:b w:val="false"/>
                  <w:i w:val="false"/>
                  <w:caps w:val="false"/>
                  <w:smallCaps w:val="false"/>
                  <w:sz w:val="24"/>
                </w:rPr>
                <w:t>Press Release dated August 3, 2026.</w:t>
              </w:r>
            </w:hyperlink>
          </w:p>
        </w:tc>
      </w:tr>
      <w:tr>
        <w:trPr/>
        <w:tc>
          <w:tcPr>
            <w:tcW w:w="1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237" w:type="dxa"/>
            <w:tcBorders/>
            <w:vAlign w:val="center"/>
          </w:tcPr>
          <w:p>
            <w:pPr>
              <w:pStyle w:val="TableContents"/>
              <w:bidi w:val="0"/>
              <w:spacing w:before="40" w:after="40"/>
              <w:ind w:left="0" w:right="0" w:hanging="0"/>
              <w:jc w:val="both"/>
              <w:rPr>
                <w:rFonts w:ascii="Times New Roman;Times;serif" w:hAnsi="Times New Roman;Times;serif"/>
                <w:sz w:val="22"/>
              </w:rPr>
            </w:pPr>
            <w:r>
              <w:rPr>
                <w:rFonts w:ascii="Times New Roman;Times;serif" w:hAnsi="Times New Roman;Times;serif"/>
                <w:sz w:val="22"/>
              </w:rPr>
              <w:t>Exhibit 104</w:t>
            </w:r>
          </w:p>
        </w:tc>
        <w:tc>
          <w:tcPr>
            <w:tcW w:w="7666" w:type="dxa"/>
            <w:tcBorders/>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0" w:name="_ed9c81fe_0436_420e_a5d2_9aeb478f1b98"/>
      <w:bookmarkEnd w:id="40"/>
      <w:r>
        <w:rPr>
          <w:rFonts w:ascii="Times New Roman;Times;serif" w:hAnsi="Times New Roman;Times;serif"/>
          <w:b/>
          <w:sz w:val="20"/>
        </w:rPr>
        <w:t>SIGNATURES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20" w:after="0"/>
        <w:ind w:left="0" w:right="0" w:firstLine="720"/>
        <w:jc w:val="both"/>
        <w:rPr/>
      </w:pPr>
      <w:r>
        <w:rPr/>
        <w:t>​</w:t>
      </w:r>
    </w:p>
    <w:tbl>
      <w:tblPr>
        <w:tblW w:w="7575" w:type="dxa"/>
        <w:jc w:val="left"/>
        <w:tblInd w:w="0" w:type="dxa"/>
        <w:tblLayout w:type="fixed"/>
        <w:tblCellMar>
          <w:top w:w="0" w:type="dxa"/>
          <w:left w:w="0" w:type="dxa"/>
          <w:bottom w:w="0" w:type="dxa"/>
          <w:right w:w="0" w:type="dxa"/>
        </w:tblCellMar>
      </w:tblPr>
      <w:tblGrid>
        <w:gridCol w:w="1846"/>
        <w:gridCol w:w="2324"/>
        <w:gridCol w:w="1473"/>
        <w:gridCol w:w="1932"/>
      </w:tblGrid>
      <w:tr>
        <w:trPr/>
        <w:tc>
          <w:tcPr>
            <w:tcW w:w="1846" w:type="dxa"/>
            <w:tcBorders/>
            <w:vAlign w:val="center"/>
          </w:tcPr>
          <w:p>
            <w:pPr>
              <w:pStyle w:val="TableContents"/>
              <w:bidi w:val="0"/>
              <w:spacing w:before="0" w:after="0"/>
              <w:ind w:left="0" w:right="0" w:hanging="0"/>
              <w:jc w:val="left"/>
              <w:rPr/>
            </w:pPr>
            <w:r>
              <w:rPr/>
              <w:t>​</w:t>
            </w:r>
          </w:p>
        </w:tc>
        <w:tc>
          <w:tcPr>
            <w:tcW w:w="2324" w:type="dxa"/>
            <w:tcBorders/>
            <w:vAlign w:val="center"/>
          </w:tcPr>
          <w:p>
            <w:pPr>
              <w:pStyle w:val="TableContents"/>
              <w:bidi w:val="0"/>
              <w:spacing w:before="0" w:after="0"/>
              <w:ind w:left="0" w:right="0" w:hanging="0"/>
              <w:jc w:val="left"/>
              <w:rPr/>
            </w:pPr>
            <w:r>
              <w:rPr/>
              <w:t>​</w:t>
            </w:r>
          </w:p>
        </w:tc>
        <w:tc>
          <w:tcPr>
            <w:tcW w:w="1473" w:type="dxa"/>
            <w:tcBorders/>
            <w:vAlign w:val="center"/>
          </w:tcPr>
          <w:p>
            <w:pPr>
              <w:pStyle w:val="TableContents"/>
              <w:bidi w:val="0"/>
              <w:spacing w:before="0" w:after="0"/>
              <w:ind w:left="0" w:right="0" w:hanging="0"/>
              <w:jc w:val="left"/>
              <w:rPr/>
            </w:pPr>
            <w:r>
              <w:rPr/>
              <w:t>​</w:t>
            </w:r>
          </w:p>
        </w:tc>
        <w:tc>
          <w:tcPr>
            <w:tcW w:w="1932"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1473" w:type="dxa"/>
            <w:tcBorders/>
            <w:vAlign w:val="center"/>
          </w:tcPr>
          <w:p>
            <w:pPr>
              <w:pStyle w:val="TableContents"/>
              <w:bidi w:val="0"/>
              <w:spacing w:before="0" w:after="0"/>
              <w:ind w:left="0" w:right="0" w:hanging="0"/>
              <w:jc w:val="left"/>
              <w:rPr/>
            </w:pPr>
            <w:r>
              <w:rPr/>
              <w:t> </w:t>
            </w:r>
          </w:p>
        </w:tc>
        <w:tc>
          <w:tcPr>
            <w:tcW w:w="1932"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572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ECHOSTAR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HUGHES SATELLITE SYSTEMS CORPORATION</w:t>
            </w:r>
          </w:p>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2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340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Jeffrey H. Blum</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 Blum</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ActingChief Legal Officer and Secretary</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Aptos" w:hAnsi="Aptos"/>
          <w:b/>
          <w:sz w:val="24"/>
        </w:rPr>
      </w:pPr>
      <w:bookmarkStart w:id="41" w:name="sats-20260728xex99.htm"/>
      <w:bookmarkStart w:id="42" w:name="kssats20260728xex99"/>
      <w:bookmarkEnd w:id="41"/>
      <w:bookmarkEnd w:id="42"/>
      <w:r>
        <w:rPr>
          <w:rFonts w:ascii="Aptos" w:hAnsi="Aptos"/>
          <w:b/>
          <w:sz w:val="24"/>
        </w:rPr>
        <w:t>Exhibit 99.1</w:t>
      </w:r>
      <w:r>
        <w:br w:type="page"/>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center"/>
        <w:rPr>
          <w:rFonts w:ascii="Arial;Helvetica;sans-serif" w:hAnsi="Arial;Helvetica;sans-serif"/>
          <w:b/>
          <w:color w:val="222222"/>
          <w:sz w:val="22"/>
        </w:rPr>
      </w:pPr>
      <w:r>
        <w:rPr>
          <w:rFonts w:ascii="Arial;Helvetica;sans-serif" w:hAnsi="Arial;Helvetica;sans-serif"/>
          <w:b/>
          <w:color w:val="222222"/>
          <w:sz w:val="22"/>
        </w:rPr>
        <w:t>Hughes Files Chapter 11 Voluntary Reorganization to Strengthen Capital Structure and Evolve Business to Meet Market Demand</w:t>
      </w:r>
    </w:p>
    <w:p>
      <w:pPr>
        <w:pStyle w:val="TextBody"/>
        <w:shd w:fill="FFFFFF" w:val="clear"/>
        <w:bidi w:val="0"/>
        <w:spacing w:lineRule="auto" w:line="285" w:before="0" w:after="0"/>
        <w:ind w:left="0" w:right="0" w:hanging="0"/>
        <w:jc w:val="left"/>
        <w:rPr>
          <w:color w:val="222222"/>
        </w:rPr>
      </w:pPr>
      <w:r>
        <w:rPr>
          <w:color w:val="222222"/>
        </w:rPr>
        <w:t> </w:t>
      </w:r>
    </w:p>
    <w:p>
      <w:pPr>
        <w:pStyle w:val="TextBody"/>
        <w:shd w:fill="FFFFFF" w:val="clear"/>
        <w:bidi w:val="0"/>
        <w:spacing w:lineRule="auto" w:line="285" w:before="0" w:after="0"/>
        <w:ind w:left="0" w:right="0" w:hanging="0"/>
        <w:jc w:val="center"/>
        <w:rPr>
          <w:rFonts w:ascii="Arial;Helvetica;sans-serif" w:hAnsi="Arial;Helvetica;sans-serif"/>
          <w:i/>
          <w:color w:val="222222"/>
          <w:sz w:val="20"/>
        </w:rPr>
      </w:pPr>
      <w:r>
        <w:rPr>
          <w:rFonts w:ascii="Arial;Helvetica;sans-serif" w:hAnsi="Arial;Helvetica;sans-serif"/>
          <w:i/>
          <w:color w:val="222222"/>
          <w:sz w:val="20"/>
        </w:rPr>
        <w:t>Company to continue delivering for customers as it engages with stakeholders around appropriate capital structure and go-forward business operations</w:t>
      </w:r>
    </w:p>
    <w:p>
      <w:pPr>
        <w:pStyle w:val="TextBody"/>
        <w:shd w:fill="FFFFFF" w:val="clear"/>
        <w:bidi w:val="0"/>
        <w:spacing w:lineRule="auto" w:line="331" w:before="0" w:after="160"/>
        <w:ind w:left="0" w:right="0" w:hanging="0"/>
        <w:jc w:val="center"/>
        <w:rPr/>
      </w:pPr>
      <w:r>
        <w:rPr/>
        <w:t>​</w:t>
      </w:r>
    </w:p>
    <w:p>
      <w:pPr>
        <w:pStyle w:val="TextBody"/>
        <w:shd w:fill="FFFFFF" w:val="clear"/>
        <w:bidi w:val="0"/>
        <w:spacing w:lineRule="auto" w:line="285" w:before="0" w:after="0"/>
        <w:ind w:left="0" w:right="0" w:hanging="0"/>
        <w:jc w:val="center"/>
        <w:rPr>
          <w:rFonts w:ascii="Arial;Helvetica;sans-serif" w:hAnsi="Arial;Helvetica;sans-serif"/>
          <w:i/>
          <w:color w:val="222222"/>
          <w:sz w:val="20"/>
        </w:rPr>
      </w:pPr>
      <w:r>
        <w:rPr>
          <w:rFonts w:ascii="Arial;Helvetica;sans-serif" w:hAnsi="Arial;Helvetica;sans-serif"/>
          <w:i/>
          <w:color w:val="222222"/>
          <w:sz w:val="20"/>
        </w:rPr>
        <w:t>Hughes to reorganize and refocus operations on B2B, government, and defense applications</w:t>
      </w:r>
    </w:p>
    <w:p>
      <w:pPr>
        <w:pStyle w:val="TextBody"/>
        <w:shd w:fill="FFFFFF" w:val="clear"/>
        <w:bidi w:val="0"/>
        <w:spacing w:lineRule="auto" w:line="285" w:before="0" w:after="0"/>
        <w:ind w:left="0" w:right="0" w:hanging="0"/>
        <w:jc w:val="left"/>
        <w:rPr>
          <w:color w:val="222222"/>
        </w:rPr>
      </w:pPr>
      <w:r>
        <w:rPr>
          <w:color w:val="222222"/>
        </w:rPr>
        <w:t> </w:t>
      </w:r>
    </w:p>
    <w:p>
      <w:pPr>
        <w:pStyle w:val="TextBody"/>
        <w:shd w:fill="FFFFFF" w:val="clear"/>
        <w:bidi w:val="0"/>
        <w:spacing w:lineRule="auto" w:line="285"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Germantown, MD, August 3, 2026 – Hughes Satellite Systems Corporation (“Hughes” or the “Company") today announced that it and certain of its U.S. subsidiaries, including Hughes Network Systems, LLC, have filed voluntary chapter 11 petitions in the Bankruptcy Court for the Southern District of Texas, Houston Division (the “Court”) to facilitate a financial and operational reorganization. This reorganization will allow the Company to address its maturing secured and unsecured debt, strengthen its capital structure, and accelerate its ongoing transformation into an enterprise, government, and defense-focused business—all while continuing to serve its customers.</w:t>
      </w:r>
    </w:p>
    <w:p>
      <w:pPr>
        <w:pStyle w:val="TextBody"/>
        <w:shd w:fill="FFFFFF" w:val="clear"/>
        <w:bidi w:val="0"/>
        <w:spacing w:lineRule="auto" w:line="285" w:before="0" w:after="0"/>
        <w:ind w:left="0" w:right="0" w:hanging="0"/>
        <w:jc w:val="left"/>
        <w:rPr>
          <w:color w:val="222222"/>
        </w:rPr>
      </w:pPr>
      <w:r>
        <w:rPr>
          <w:color w:val="222222"/>
        </w:rPr>
        <w:t> </w:t>
      </w:r>
    </w:p>
    <w:p>
      <w:pPr>
        <w:pStyle w:val="TextBody"/>
        <w:shd w:fill="FFFFFF" w:val="clear"/>
        <w:bidi w:val="0"/>
        <w:spacing w:lineRule="auto" w:line="285" w:before="0" w:after="0"/>
        <w:ind w:left="0" w:right="0" w:hanging="0"/>
        <w:jc w:val="left"/>
        <w:rPr>
          <w:rFonts w:ascii="Arial;Helvetica;sans-serif" w:hAnsi="Arial;Helvetica;sans-serif"/>
          <w:b/>
          <w:color w:val="222222"/>
          <w:sz w:val="20"/>
        </w:rPr>
      </w:pPr>
      <w:r>
        <w:rPr>
          <w:rFonts w:ascii="Arial;Helvetica;sans-serif" w:hAnsi="Arial;Helvetica;sans-serif"/>
          <w:b/>
          <w:color w:val="222222"/>
          <w:sz w:val="20"/>
        </w:rPr>
        <w:t>Key Takeaways</w:t>
      </w:r>
    </w:p>
    <w:p>
      <w:pPr>
        <w:pStyle w:val="TextBody"/>
        <w:shd w:fill="FFFFFF" w:val="clear"/>
        <w:bidi w:val="0"/>
        <w:spacing w:lineRule="auto" w:line="285" w:before="0" w:after="0"/>
        <w:ind w:left="0" w:right="0" w:hanging="0"/>
        <w:jc w:val="left"/>
        <w:rPr>
          <w:color w:val="222222"/>
        </w:rPr>
      </w:pPr>
      <w:r>
        <w:rPr>
          <w:color w:val="222222"/>
        </w:rPr>
        <w:t> </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olor w:val="222222"/>
              </w:rPr>
            </w:pPr>
            <w:r>
              <w:rPr>
                <w:color w:val="222222"/>
              </w:rPr>
              <w:t>●</w:t>
            </w:r>
          </w:p>
        </w:tc>
        <w:tc>
          <w:tcPr>
            <w:tcW w:w="10012" w:type="dxa"/>
            <w:tcBorders/>
            <w:shd w:fill="FFFFFF" w:val="clear"/>
            <w:vAlign w:val="center"/>
          </w:tcPr>
          <w:p>
            <w:pPr>
              <w:pStyle w:val="TableContents"/>
              <w:bidi w:val="0"/>
              <w:spacing w:before="0" w:after="283"/>
              <w:ind w:left="0" w:right="0" w:hanging="0"/>
              <w:jc w:val="left"/>
              <w:rPr/>
            </w:pPr>
            <w:r>
              <w:rPr>
                <w:rFonts w:ascii="Arial;Helvetica;sans-serif" w:hAnsi="Arial;Helvetica;sans-serif"/>
                <w:b w:val="false"/>
                <w:i w:val="false"/>
                <w:caps w:val="false"/>
                <w:smallCaps w:val="false"/>
                <w:color w:val="222222"/>
                <w:sz w:val="20"/>
              </w:rPr>
              <w:t>The Company plans to continue serving customers while refocusing operations on its enterprise, government, and defense lines of business.</w:t>
              <w:br/>
            </w:r>
            <w:r>
              <w:rPr>
                <w:color w:val="222222"/>
              </w:rPr>
              <w:t>​</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olor w:val="222222"/>
              </w:rPr>
            </w:pPr>
            <w:r>
              <w:rPr>
                <w:color w:val="222222"/>
              </w:rPr>
              <w:t>●</w:t>
            </w:r>
          </w:p>
        </w:tc>
        <w:tc>
          <w:tcPr>
            <w:tcW w:w="10012" w:type="dxa"/>
            <w:tcBorders/>
            <w:shd w:fill="FFFFFF" w:val="clear"/>
            <w:vAlign w:val="center"/>
          </w:tcPr>
          <w:p>
            <w:pPr>
              <w:pStyle w:val="TableContents"/>
              <w:bidi w:val="0"/>
              <w:spacing w:before="0" w:after="283"/>
              <w:ind w:left="0" w:right="0" w:hanging="0"/>
              <w:jc w:val="left"/>
              <w:rPr/>
            </w:pPr>
            <w:r>
              <w:rPr>
                <w:rFonts w:ascii="Arial;Helvetica;sans-serif" w:hAnsi="Arial;Helvetica;sans-serif"/>
                <w:b w:val="false"/>
                <w:i w:val="false"/>
                <w:caps w:val="false"/>
                <w:smallCaps w:val="false"/>
                <w:color w:val="222222"/>
                <w:sz w:val="20"/>
              </w:rPr>
              <w:t>The Company is seeking and anticipates approval of customary “first-day” motions from the Court to enable Hughes to continue to operate its businesses in the ordinary course during the process, including paying employees in the ordinary course, delivering for customers and channel partners, and fulfilling go-forward commitments to vendors.</w:t>
              <w:br/>
            </w:r>
            <w:r>
              <w:rPr>
                <w:color w:val="222222"/>
              </w:rPr>
              <w:t>​</w:t>
            </w:r>
          </w:p>
        </w:tc>
      </w:tr>
    </w:tbl>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olor w:val="222222"/>
              </w:rPr>
            </w:pPr>
            <w:r>
              <w:rPr>
                <w:color w:val="222222"/>
              </w:rPr>
              <w:t>●</w:t>
            </w:r>
          </w:p>
        </w:tc>
        <w:tc>
          <w:tcPr>
            <w:tcW w:w="10012"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EchoStar Corporation (“EchoStar”) and Hughes’ international subsidiaries are not included in the chapter 11 proceedings. Hughes’ chapter 11 filing has no impact on EchoStar’s other operations, employees or brands, including DISH TV, Sling TV, and Boost Mobile.</w:t>
            </w:r>
          </w:p>
        </w:tc>
      </w:tr>
    </w:tbl>
    <w:p>
      <w:pPr>
        <w:pStyle w:val="TextBody"/>
        <w:shd w:fill="FFFFFF" w:val="clear"/>
        <w:bidi w:val="0"/>
        <w:spacing w:lineRule="auto" w:line="285" w:before="0" w:after="0"/>
        <w:ind w:left="0" w:right="0" w:hanging="0"/>
        <w:jc w:val="left"/>
        <w:rPr>
          <w:color w:val="222222"/>
        </w:rPr>
      </w:pPr>
      <w:r>
        <w:rPr>
          <w:color w:val="222222"/>
        </w:rPr>
        <w:t> </w:t>
      </w:r>
    </w:p>
    <w:p>
      <w:pPr>
        <w:pStyle w:val="TextBody"/>
        <w:shd w:fill="FFFFFF" w:val="clear"/>
        <w:bidi w:val="0"/>
        <w:spacing w:lineRule="auto" w:line="285" w:before="0" w:after="0"/>
        <w:ind w:left="0" w:right="0" w:hanging="0"/>
        <w:jc w:val="left"/>
        <w:rPr>
          <w:rFonts w:ascii="Arial;Helvetica;sans-serif" w:hAnsi="Arial;Helvetica;sans-serif"/>
          <w:b/>
          <w:color w:val="222222"/>
          <w:sz w:val="20"/>
        </w:rPr>
      </w:pPr>
      <w:r>
        <w:rPr>
          <w:rFonts w:ascii="Arial;Helvetica;sans-serif" w:hAnsi="Arial;Helvetica;sans-serif"/>
          <w:b/>
          <w:color w:val="222222"/>
          <w:sz w:val="20"/>
        </w:rPr>
        <w:t>Maintaining Business Continuity</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The Company intends to use the tools of a chapter 11 reorganization to facilitate a path forward for Hughes that best serves its customers and its obligations to existing creditors. The Company intends to use the process to engage in discussions with its bondholders and stakeholders around Hughes’s go-forward capital structure and to develop a plan of reorganization.</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Hughes has sufficient liquidity to fund its operations in the near-term and will seek to use its existing cash as it works to right-size the Company’s balance sheet.</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Arial;Helvetica;sans-serif" w:hAnsi="Arial;Helvetica;sans-serif"/>
          <w:b/>
          <w:color w:val="222222"/>
          <w:sz w:val="20"/>
        </w:rPr>
      </w:pPr>
      <w:r>
        <w:rPr>
          <w:rFonts w:ascii="Arial;Helvetica;sans-serif" w:hAnsi="Arial;Helvetica;sans-serif"/>
          <w:b/>
          <w:color w:val="222222"/>
          <w:sz w:val="20"/>
        </w:rPr>
        <w:t>EchoStar Corporation, Hughes’ International Subsidiaries Not Impacted</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EchoStar Corporation, EchoStar’s non-Hughes subsidiaries, and Hughes Satellite Systems Corporation’s international subsidiaries are not included in Hughes’ chapter 11 filing. Hughes’ chapter 11 filing has no impact on EchoStar’s other operations, employees or brands, including DISH TV, Sling TV, and Boost Mobile.</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Arial;Helvetica;sans-serif" w:hAnsi="Arial;Helvetica;sans-serif"/>
          <w:b/>
          <w:color w:val="222222"/>
          <w:sz w:val="20"/>
        </w:rPr>
      </w:pPr>
      <w:r>
        <w:rPr>
          <w:rFonts w:ascii="Arial;Helvetica;sans-serif" w:hAnsi="Arial;Helvetica;sans-serif"/>
          <w:b/>
          <w:color w:val="222222"/>
          <w:sz w:val="20"/>
        </w:rPr>
        <w:t>Advisors</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White &amp; Case LLP is serving as legal counsel to Hughes and its U.S. subsidiaries included in the chapter 11 filings, including Hughes Network Systems, LLC. FTI Consulting, Inc. is serving as financial advisor to those filing entities.</w:t>
      </w:r>
    </w:p>
    <w:p>
      <w:pPr>
        <w:pStyle w:val="TextBody"/>
        <w:shd w:fill="FFFFFF" w:val="clear"/>
        <w:bidi w:val="0"/>
        <w:spacing w:lineRule="auto" w:line="285" w:before="0" w:after="0"/>
        <w:ind w:left="0" w:right="0" w:hanging="0"/>
        <w:jc w:val="left"/>
        <w:rPr>
          <w:color w:val="222222"/>
        </w:rPr>
      </w:pPr>
      <w:r>
        <w:rPr>
          <w:color w:val="222222"/>
        </w:rPr>
        <w:t>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4"/>
        </w:rPr>
      </w:pPr>
      <w:r>
        <w:rPr>
          <w:rFonts w:ascii="Aptos" w:hAnsi="Aptos"/>
          <w:b/>
          <w:sz w:val="24"/>
        </w:rPr>
        <w:t>Exhibit 99.1</w:t>
      </w:r>
    </w:p>
    <w:p>
      <w:pPr>
        <w:pStyle w:val="TextBody"/>
        <w:shd w:fill="FFFFFF" w:val="clear"/>
        <w:bidi w:val="0"/>
        <w:spacing w:lineRule="auto" w:line="285" w:before="0" w:after="0"/>
        <w:ind w:left="0" w:right="0" w:hanging="0"/>
        <w:jc w:val="left"/>
        <w:rPr>
          <w:rFonts w:ascii="Arial;Helvetica;sans-serif" w:hAnsi="Arial;Helvetica;sans-serif"/>
          <w:b/>
          <w:color w:val="222222"/>
          <w:sz w:val="20"/>
        </w:rPr>
      </w:pPr>
      <w:r>
        <w:rPr>
          <w:rFonts w:ascii="Arial;Helvetica;sans-serif" w:hAnsi="Arial;Helvetica;sans-serif"/>
          <w:b/>
          <w:color w:val="222222"/>
          <w:sz w:val="20"/>
        </w:rPr>
        <w:t>Additional Information</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Aptos" w:hAnsi="Aptos"/>
          <w:sz w:val="20"/>
        </w:rPr>
      </w:pPr>
      <w:r>
        <w:rPr>
          <w:rFonts w:ascii="Arial;Helvetica;sans-serif" w:hAnsi="Arial;Helvetica;sans-serif"/>
          <w:color w:val="222222"/>
          <w:sz w:val="20"/>
        </w:rPr>
        <w:t xml:space="preserve">Court filings and other information regarding the case can be found at </w:t>
      </w:r>
      <w:r>
        <w:rPr>
          <w:rFonts w:ascii="Arial;Helvetica;sans-serif" w:hAnsi="Arial;Helvetica;sans-serif"/>
          <w:color w:val="467886"/>
          <w:sz w:val="20"/>
          <w:u w:val="single"/>
        </w:rPr>
        <w:t>https://dm.epiq11.com/hughessatellite</w:t>
      </w:r>
      <w:r>
        <w:rPr>
          <w:rFonts w:ascii="Aptos" w:hAnsi="Aptos"/>
          <w:sz w:val="20"/>
        </w:rPr>
        <w:t xml:space="preserve"> </w:t>
      </w:r>
      <w:r>
        <w:rPr>
          <w:rFonts w:ascii="Arial;Helvetica;sans-serif" w:hAnsi="Arial;Helvetica;sans-serif"/>
          <w:color w:val="222222"/>
          <w:sz w:val="20"/>
        </w:rPr>
        <w:t xml:space="preserve">or by contacting Epiq Corporate Restructuring, the noticing and claims agent, at 877-327-7498 (for toll-free U.S. calls) or +1 </w:t>
      </w:r>
      <w:r>
        <w:rPr>
          <w:rFonts w:ascii="Arial;Helvetica;sans-serif" w:hAnsi="Arial;Helvetica;sans-serif"/>
          <w:sz w:val="20"/>
        </w:rPr>
        <w:t xml:space="preserve">971-247-3657 </w:t>
      </w:r>
      <w:r>
        <w:rPr>
          <w:rFonts w:ascii="Arial;Helvetica;sans-serif" w:hAnsi="Arial;Helvetica;sans-serif"/>
          <w:color w:val="222222"/>
          <w:sz w:val="20"/>
        </w:rPr>
        <w:t xml:space="preserve">(for international calls). Please note that these resources are for information about the restructuring process only; all other customer service and support infrastructure and contact information for the Company remains active and operational.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1773</Words>
  <Characters>10306</Characters>
  <CharactersWithSpaces>12135</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