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805815</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53340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0" w:lineRule="exact"/>
        <w:rPr>
          <w:sz w:val="24"/>
          <w:szCs w:val="24"/>
          <w:color w:val="auto"/>
        </w:rPr>
      </w:pPr>
    </w:p>
    <w:p>
      <w:pPr>
        <w:ind w:left="60"/>
        <w:spacing w:after="0"/>
        <w:rPr>
          <w:sz w:val="20"/>
          <w:szCs w:val="20"/>
          <w:color w:val="auto"/>
        </w:rPr>
      </w:pPr>
      <w:r>
        <w:rPr>
          <w:rFonts w:ascii="Arial" w:cs="Arial" w:eastAsia="Arial" w:hAnsi="Arial"/>
          <w:sz w:val="16"/>
          <w:szCs w:val="16"/>
          <w:b w:val="1"/>
          <w:bCs w:val="1"/>
          <w:color w:val="auto"/>
        </w:rPr>
        <w:t>(Mark One)</w:t>
      </w:r>
    </w:p>
    <w:p>
      <w:pPr>
        <w:spacing w:after="0" w:line="111" w:lineRule="exact"/>
        <w:rPr>
          <w:sz w:val="24"/>
          <w:szCs w:val="24"/>
          <w:color w:val="auto"/>
        </w:rPr>
      </w:pPr>
    </w:p>
    <w:p>
      <w:pPr>
        <w:ind w:left="2440" w:right="619" w:hanging="2390"/>
        <w:spacing w:after="0" w:line="417" w:lineRule="auto"/>
        <w:tabs>
          <w:tab w:leader="none" w:pos="248"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2025.</w:t>
      </w:r>
    </w:p>
    <w:p>
      <w:pPr>
        <w:jc w:val="center"/>
        <w:spacing w:after="0"/>
        <w:rPr>
          <w:sz w:val="20"/>
          <w:szCs w:val="20"/>
          <w:color w:val="auto"/>
        </w:rPr>
      </w:pPr>
      <w:r>
        <w:rPr>
          <w:rFonts w:ascii="Arial" w:cs="Arial" w:eastAsia="Arial" w:hAnsi="Arial"/>
          <w:sz w:val="14"/>
          <w:szCs w:val="14"/>
          <w:b w:val="1"/>
          <w:bCs w:val="1"/>
          <w:color w:val="auto"/>
        </w:rPr>
        <w:t>OR</w:t>
      </w:r>
    </w:p>
    <w:p>
      <w:pPr>
        <w:ind w:left="280" w:hanging="230"/>
        <w:spacing w:after="0" w:line="180" w:lineRule="auto"/>
        <w:tabs>
          <w:tab w:leader="none" w:pos="28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312" w:lineRule="exact"/>
        <w:rPr>
          <w:sz w:val="24"/>
          <w:szCs w:val="24"/>
          <w:color w:val="auto"/>
        </w:rPr>
      </w:pPr>
    </w:p>
    <w:p>
      <w:pPr>
        <w:ind w:left="1580"/>
        <w:spacing w:after="0"/>
        <w:tabs>
          <w:tab w:leader="none" w:pos="5780" w:val="left"/>
          <w:tab w:leader="none" w:pos="7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001-39144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DISH Network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019"/>
          </w:cols>
          <w:pgMar w:left="1440" w:top="661" w:right="1440" w:bottom="1440" w:gutter="0" w:footer="0" w:header="0"/>
        </w:sectPr>
      </w:pPr>
    </w:p>
    <w:p>
      <w:pPr>
        <w:spacing w:after="0" w:line="122"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Nevada</w:t>
      </w:r>
    </w:p>
    <w:p>
      <w:pPr>
        <w:spacing w:after="0" w:line="15" w:lineRule="exact"/>
        <w:rPr>
          <w:sz w:val="24"/>
          <w:szCs w:val="24"/>
          <w:color w:val="auto"/>
        </w:rPr>
      </w:pPr>
    </w:p>
    <w:p>
      <w:pPr>
        <w:jc w:val="center"/>
        <w:ind w:right="5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179"/>
        <w:spacing w:after="0"/>
        <w:rPr>
          <w:sz w:val="20"/>
          <w:szCs w:val="20"/>
          <w:color w:val="auto"/>
        </w:rPr>
      </w:pPr>
      <w:r>
        <w:rPr>
          <w:rFonts w:ascii="Arial" w:cs="Arial" w:eastAsia="Arial" w:hAnsi="Arial"/>
          <w:sz w:val="14"/>
          <w:szCs w:val="14"/>
          <w:b w:val="1"/>
          <w:bCs w:val="1"/>
          <w:color w:val="auto"/>
        </w:rPr>
        <w:t>88-0336997</w:t>
      </w:r>
    </w:p>
    <w:p>
      <w:pPr>
        <w:spacing w:after="0" w:line="15" w:lineRule="exact"/>
        <w:rPr>
          <w:sz w:val="24"/>
          <w:szCs w:val="24"/>
          <w:color w:val="auto"/>
        </w:rPr>
      </w:pPr>
    </w:p>
    <w:p>
      <w:pPr>
        <w:jc w:val="center"/>
        <w:ind w:right="1179"/>
        <w:spacing w:after="0"/>
        <w:rPr>
          <w:sz w:val="20"/>
          <w:szCs w:val="20"/>
          <w:color w:val="auto"/>
        </w:rPr>
      </w:pPr>
      <w:r>
        <w:rPr>
          <w:rFonts w:ascii="Arial" w:cs="Arial" w:eastAsia="Arial" w:hAnsi="Arial"/>
          <w:sz w:val="13"/>
          <w:szCs w:val="13"/>
          <w:color w:val="auto"/>
        </w:rPr>
        <w:t>(I.R.S. Employer Identification No.)</w:t>
      </w:r>
    </w:p>
    <w:p>
      <w:pPr>
        <w:spacing w:after="0" w:line="161" w:lineRule="exact"/>
        <w:rPr>
          <w:sz w:val="24"/>
          <w:szCs w:val="24"/>
          <w:color w:val="auto"/>
        </w:rPr>
      </w:pPr>
    </w:p>
    <w:p>
      <w:pPr>
        <w:sectPr>
          <w:pgSz w:w="11900" w:h="16838" w:orient="portrait"/>
          <w:cols w:equalWidth="0" w:num="2">
            <w:col w:w="4980" w:space="720"/>
            <w:col w:w="3319"/>
          </w:cols>
          <w:pgMar w:left="1440" w:top="661" w:right="1440" w:bottom="1440" w:gutter="0" w:footer="0" w:header="0"/>
          <w:type w:val="continuous"/>
        </w:sectPr>
      </w:pPr>
    </w:p>
    <w:p>
      <w:pPr>
        <w:jc w:val="center"/>
        <w:ind w:right="1260"/>
        <w:spacing w:after="0"/>
        <w:rPr>
          <w:sz w:val="20"/>
          <w:szCs w:val="20"/>
          <w:color w:val="auto"/>
        </w:rPr>
      </w:pPr>
      <w:r>
        <w:rPr>
          <w:rFonts w:ascii="Arial" w:cs="Arial" w:eastAsia="Arial" w:hAnsi="Arial"/>
          <w:sz w:val="14"/>
          <w:szCs w:val="14"/>
          <w:b w:val="1"/>
          <w:bCs w:val="1"/>
          <w:color w:val="auto"/>
        </w:rPr>
        <w:t>9601 South Meridian Boulevard</w:t>
      </w:r>
    </w:p>
    <w:p>
      <w:pPr>
        <w:spacing w:after="0" w:line="15" w:lineRule="exact"/>
        <w:rPr>
          <w:sz w:val="24"/>
          <w:szCs w:val="24"/>
          <w:color w:val="auto"/>
        </w:rPr>
      </w:pPr>
    </w:p>
    <w:p>
      <w:pPr>
        <w:jc w:val="center"/>
        <w:ind w:right="1260"/>
        <w:spacing w:after="0"/>
        <w:rPr>
          <w:sz w:val="20"/>
          <w:szCs w:val="20"/>
          <w:color w:val="auto"/>
        </w:rPr>
      </w:pPr>
      <w:r>
        <w:rPr>
          <w:rFonts w:ascii="Arial" w:cs="Arial" w:eastAsia="Arial" w:hAnsi="Arial"/>
          <w:sz w:val="14"/>
          <w:szCs w:val="14"/>
          <w:b w:val="1"/>
          <w:bCs w:val="1"/>
          <w:color w:val="auto"/>
        </w:rPr>
        <w:t>Englewood, Colorado</w:t>
      </w:r>
    </w:p>
    <w:p>
      <w:pPr>
        <w:spacing w:after="0" w:line="1" w:lineRule="exact"/>
        <w:rPr>
          <w:sz w:val="24"/>
          <w:szCs w:val="24"/>
          <w:color w:val="auto"/>
        </w:rPr>
      </w:pPr>
    </w:p>
    <w:p>
      <w:pPr>
        <w:jc w:val="center"/>
        <w:ind w:right="12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939"/>
        <w:spacing w:after="0"/>
        <w:rPr>
          <w:sz w:val="20"/>
          <w:szCs w:val="20"/>
          <w:color w:val="auto"/>
        </w:rPr>
      </w:pPr>
      <w:r>
        <w:rPr>
          <w:rFonts w:ascii="Arial" w:cs="Arial" w:eastAsia="Arial" w:hAnsi="Arial"/>
          <w:sz w:val="14"/>
          <w:szCs w:val="14"/>
          <w:b w:val="1"/>
          <w:bCs w:val="1"/>
          <w:color w:val="auto"/>
        </w:rPr>
        <w:t>80112</w:t>
      </w:r>
    </w:p>
    <w:p>
      <w:pPr>
        <w:spacing w:after="0" w:line="15" w:lineRule="exact"/>
        <w:rPr>
          <w:sz w:val="24"/>
          <w:szCs w:val="24"/>
          <w:color w:val="auto"/>
        </w:rPr>
      </w:pPr>
    </w:p>
    <w:p>
      <w:pPr>
        <w:jc w:val="center"/>
        <w:ind w:right="1939"/>
        <w:spacing w:after="0"/>
        <w:rPr>
          <w:sz w:val="20"/>
          <w:szCs w:val="20"/>
          <w:color w:val="auto"/>
        </w:rPr>
      </w:pPr>
      <w:r>
        <w:rPr>
          <w:rFonts w:ascii="Arial" w:cs="Arial" w:eastAsia="Arial" w:hAnsi="Arial"/>
          <w:sz w:val="13"/>
          <w:szCs w:val="13"/>
          <w:color w:val="auto"/>
        </w:rPr>
        <w:t>(Zip code)</w:t>
      </w:r>
    </w:p>
    <w:p>
      <w:pPr>
        <w:spacing w:after="0" w:line="120" w:lineRule="exact"/>
        <w:rPr>
          <w:sz w:val="24"/>
          <w:szCs w:val="24"/>
          <w:color w:val="auto"/>
        </w:rPr>
      </w:pPr>
    </w:p>
    <w:p>
      <w:pPr>
        <w:sectPr>
          <w:pgSz w:w="11900" w:h="16838" w:orient="portrait"/>
          <w:cols w:equalWidth="0" w:num="2">
            <w:col w:w="5740" w:space="720"/>
            <w:col w:w="2559"/>
          </w:cols>
          <w:pgMar w:left="1440" w:top="661"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(303) 723-1000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ectPr>
          <w:pgSz w:w="11900" w:h="16838" w:orient="portrait"/>
          <w:cols w:equalWidth="0" w:num="1">
            <w:col w:w="9019"/>
          </w:cols>
          <w:pgMar w:left="1440" w:top="661" w:right="1440" w:bottom="1440" w:gutter="0" w:footer="0" w:header="0"/>
          <w:type w:val="continuous"/>
        </w:sectPr>
      </w:pPr>
    </w:p>
    <w:p>
      <w:pPr>
        <w:spacing w:after="0" w:line="120" w:lineRule="exact"/>
        <w:rPr>
          <w:sz w:val="24"/>
          <w:szCs w:val="24"/>
          <w:color w:val="auto"/>
        </w:rPr>
      </w:pPr>
    </w:p>
    <w:p>
      <w:pPr>
        <w:ind w:left="240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123" w:lineRule="exact"/>
        <w:rPr>
          <w:sz w:val="24"/>
          <w:szCs w:val="24"/>
          <w:color w:val="auto"/>
        </w:rPr>
      </w:pPr>
    </w:p>
    <w:p>
      <w:pPr>
        <w:sectPr>
          <w:pgSz w:w="11900" w:h="16838" w:orient="portrait"/>
          <w:cols w:equalWidth="0" w:num="2">
            <w:col w:w="5940" w:space="340"/>
            <w:col w:w="2739"/>
          </w:cols>
          <w:pgMar w:left="1440" w:top="661" w:right="1440" w:bottom="1440" w:gutter="0" w:footer="0" w:header="0"/>
          <w:type w:val="continuous"/>
        </w:sectPr>
      </w:pPr>
    </w:p>
    <w:p>
      <w:pPr>
        <w:jc w:val="both"/>
        <w:ind w:left="60" w:right="59"/>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of reports under Section 13 or 15(d) of the Securities Exchange Act of 1934.)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7" w:lineRule="exact"/>
        <w:rPr>
          <w:sz w:val="24"/>
          <w:szCs w:val="24"/>
          <w:color w:val="auto"/>
        </w:rPr>
      </w:pPr>
    </w:p>
    <w:p>
      <w:pPr>
        <w:jc w:val="both"/>
        <w:ind w:left="60" w:right="5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8" w:lineRule="exact"/>
        <w:rPr>
          <w:sz w:val="24"/>
          <w:szCs w:val="24"/>
          <w:color w:val="auto"/>
        </w:rPr>
      </w:pPr>
    </w:p>
    <w:p>
      <w:pPr>
        <w:jc w:val="both"/>
        <w:ind w:left="60" w:right="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60" w:lineRule="exact"/>
        <w:rPr>
          <w:sz w:val="24"/>
          <w:szCs w:val="24"/>
          <w:color w:val="auto"/>
        </w:rPr>
      </w:pPr>
    </w:p>
    <w:p>
      <w:pPr>
        <w:ind w:left="1460"/>
        <w:spacing w:after="0" w:line="188" w:lineRule="exact"/>
        <w:rPr>
          <w:sz w:val="20"/>
          <w:szCs w:val="20"/>
          <w:color w:val="auto"/>
        </w:rPr>
      </w:pPr>
      <w:r>
        <w:rPr>
          <w:rFonts w:ascii="Arial" w:cs="Arial" w:eastAsia="Arial" w:hAnsi="Arial"/>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150" w:lineRule="exact"/>
        <w:rPr>
          <w:sz w:val="24"/>
          <w:szCs w:val="24"/>
          <w:color w:val="auto"/>
        </w:rPr>
      </w:pPr>
    </w:p>
    <w:p>
      <w:pPr>
        <w:sectPr>
          <w:pgSz w:w="11900" w:h="16838" w:orient="portrait"/>
          <w:cols w:equalWidth="0" w:num="2">
            <w:col w:w="5460" w:space="720"/>
            <w:col w:w="2839"/>
          </w:cols>
          <w:pgMar w:left="1440" w:top="661" w:right="1440" w:bottom="1440" w:gutter="0" w:footer="0" w:header="0"/>
          <w:type w:val="continuous"/>
        </w:sectPr>
      </w:pPr>
    </w:p>
    <w:p>
      <w:pPr>
        <w:ind w:left="1500"/>
        <w:spacing w:after="0" w:line="188" w:lineRule="exact"/>
        <w:rPr>
          <w:sz w:val="20"/>
          <w:szCs w:val="20"/>
          <w:color w:val="auto"/>
        </w:rPr>
      </w:pP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50" w:lineRule="exact"/>
        <w:rPr>
          <w:sz w:val="24"/>
          <w:szCs w:val="24"/>
          <w:color w:val="auto"/>
        </w:rPr>
      </w:pPr>
    </w:p>
    <w:p>
      <w:pPr>
        <w:sectPr>
          <w:pgSz w:w="11900" w:h="16838" w:orient="portrait"/>
          <w:cols w:equalWidth="0" w:num="2">
            <w:col w:w="5120" w:space="720"/>
            <w:col w:w="3179"/>
          </w:cols>
          <w:pgMar w:left="1440" w:top="661" w:right="1440" w:bottom="1440" w:gutter="0" w:footer="0" w:header="0"/>
          <w:type w:val="continuous"/>
        </w:sectPr>
      </w:pPr>
    </w:p>
    <w:p>
      <w:pPr>
        <w:ind w:left="5860"/>
        <w:spacing w:after="0" w:line="188" w:lineRule="exact"/>
        <w:rPr>
          <w:sz w:val="20"/>
          <w:szCs w:val="20"/>
          <w:color w:val="auto"/>
        </w:rPr>
      </w:pP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9019"/>
          </w:cols>
          <w:pgMar w:left="1440" w:top="661" w:right="1440" w:bottom="1440" w:gutter="0" w:footer="0" w:header="0"/>
          <w:type w:val="continuous"/>
        </w:sectPr>
      </w:pPr>
    </w:p>
    <w:p>
      <w:pPr>
        <w:spacing w:after="0" w:line="141" w:lineRule="exact"/>
        <w:rPr>
          <w:sz w:val="24"/>
          <w:szCs w:val="24"/>
          <w:color w:val="auto"/>
        </w:rPr>
      </w:pPr>
    </w:p>
    <w:p>
      <w:pPr>
        <w:ind w:left="60" w:right="7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ind w:left="60" w:right="839"/>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As of July 31, 2025, the registrant’s outstanding common stock consisted of 1,000 shares of common stock, $0 par value per share.</w:t>
      </w:r>
    </w:p>
    <w:p>
      <w:pPr>
        <w:spacing w:after="0" w:line="93" w:lineRule="exact"/>
        <w:rPr>
          <w:sz w:val="24"/>
          <w:szCs w:val="24"/>
          <w:color w:val="auto"/>
        </w:rPr>
      </w:pPr>
    </w:p>
    <w:p>
      <w:pPr>
        <w:ind w:left="60" w:right="79"/>
        <w:spacing w:after="0" w:line="285" w:lineRule="auto"/>
        <w:rPr>
          <w:sz w:val="20"/>
          <w:szCs w:val="20"/>
          <w:color w:val="auto"/>
        </w:rPr>
      </w:pPr>
      <w:r>
        <w:rPr>
          <w:rFonts w:ascii="Arial" w:cs="Arial" w:eastAsia="Arial" w:hAnsi="Arial"/>
          <w:sz w:val="14"/>
          <w:szCs w:val="14"/>
          <w:color w:val="auto"/>
        </w:rPr>
        <w:t>The registrant meets the conditions set forth in General Instructions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474345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54610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0" w:type="dxa"/>
            <w:vAlign w:val="bottom"/>
            <w:gridSpan w:val="10"/>
          </w:tcPr>
          <w:p>
            <w:pPr>
              <w:jc w:val="center"/>
              <w:ind w:right="2180"/>
              <w:spacing w:after="0"/>
              <w:rPr>
                <w:sz w:val="20"/>
                <w:szCs w:val="20"/>
                <w:color w:val="auto"/>
              </w:rPr>
            </w:pPr>
            <w:r>
              <w:rPr>
                <w:rFonts w:ascii="Arial" w:cs="Arial" w:eastAsia="Arial" w:hAnsi="Arial"/>
                <w:sz w:val="18"/>
                <w:szCs w:val="18"/>
                <w:b w:val="1"/>
                <w:bCs w:val="1"/>
                <w:color w:val="auto"/>
                <w:w w:val="97"/>
              </w:rPr>
              <w:t>TABLE OF CONTENTS</w:t>
            </w:r>
          </w:p>
        </w:tc>
        <w:tc>
          <w:tcPr>
            <w:tcW w:w="840" w:type="dxa"/>
            <w:vAlign w:val="bottom"/>
          </w:tcPr>
          <w:p>
            <w:pPr>
              <w:spacing w:after="0"/>
              <w:rPr>
                <w:sz w:val="21"/>
                <w:szCs w:val="21"/>
                <w:color w:val="auto"/>
              </w:rPr>
            </w:pPr>
          </w:p>
        </w:tc>
      </w:tr>
      <w:tr>
        <w:trPr>
          <w:trHeight w:val="3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7"/>
              </w:rPr>
              <w:t>PART I — FINANCIAL INFORMATION</w:t>
            </w:r>
          </w:p>
        </w:tc>
        <w:tc>
          <w:tcPr>
            <w:tcW w:w="20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7"/>
              </w:rPr>
              <w:t>Disclosure Regarding Forward-Looking Statements</w:t>
            </w:r>
          </w:p>
        </w:tc>
        <w:tc>
          <w:tcPr>
            <w:tcW w:w="32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240" w:type="dxa"/>
            <w:vAlign w:val="bottom"/>
            <w:gridSpan w:val="18"/>
          </w:tcPr>
          <w:p>
            <w:pPr>
              <w:spacing w:after="0"/>
              <w:rPr>
                <w:sz w:val="20"/>
                <w:szCs w:val="20"/>
                <w:color w:val="auto"/>
              </w:rPr>
            </w:pPr>
            <w:r>
              <w:rPr>
                <w:rFonts w:ascii="Arial" w:cs="Arial" w:eastAsia="Arial" w:hAnsi="Arial"/>
                <w:sz w:val="18"/>
                <w:szCs w:val="18"/>
                <w:color w:val="0000EE"/>
              </w:rPr>
              <w:t>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Balance Sheets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Statements of Operations and Comprehensive Income (Loss)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7"/>
              </w:rPr>
              <w:t>Condensed Consolidated Statements of Changes in Stockholder’s Equity (Deficit)</w:t>
            </w: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Statements of Cash Flows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7"/>
              </w:rPr>
              <w:t>Notes to Condensed Consolidated Financial Statements</w:t>
            </w:r>
          </w:p>
        </w:tc>
        <w:tc>
          <w:tcPr>
            <w:tcW w:w="28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240" w:type="dxa"/>
            <w:vAlign w:val="bottom"/>
            <w:gridSpan w:val="18"/>
          </w:tcPr>
          <w:p>
            <w:pPr>
              <w:spacing w:after="0"/>
              <w:rPr>
                <w:sz w:val="20"/>
                <w:szCs w:val="20"/>
                <w:color w:val="auto"/>
              </w:rPr>
            </w:pPr>
            <w:r>
              <w:rPr>
                <w:rFonts w:ascii="Arial" w:cs="Arial" w:eastAsia="Arial" w:hAnsi="Arial"/>
                <w:sz w:val="18"/>
                <w:szCs w:val="18"/>
                <w:color w:val="0000EE"/>
              </w:rPr>
              <w:t>Management’s Narrative Analysis of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0"/>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240" w:type="dxa"/>
            <w:vAlign w:val="bottom"/>
            <w:gridSpan w:val="18"/>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0"/>
        </w:trPr>
        <w:tc>
          <w:tcPr>
            <w:tcW w:w="80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240" w:type="dxa"/>
            <w:vAlign w:val="bottom"/>
            <w:gridSpan w:val="18"/>
          </w:tcPr>
          <w:p>
            <w:pPr>
              <w:spacing w:after="0"/>
              <w:rPr>
                <w:sz w:val="20"/>
                <w:szCs w:val="20"/>
                <w:color w:val="auto"/>
              </w:rPr>
            </w:pPr>
            <w:r>
              <w:rPr>
                <w:rFonts w:ascii="Arial" w:cs="Arial" w:eastAsia="Arial" w:hAnsi="Arial"/>
                <w:sz w:val="18"/>
                <w:szCs w:val="18"/>
                <w:color w:val="0000EE"/>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85"/>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b w:val="1"/>
                <w:bCs w:val="1"/>
                <w:color w:val="0000EE"/>
                <w:w w:val="97"/>
              </w:rPr>
              <w:t>PART II — OTHER INFORMATION</w:t>
            </w:r>
          </w:p>
        </w:tc>
        <w:tc>
          <w:tcPr>
            <w:tcW w:w="220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240" w:type="dxa"/>
            <w:vAlign w:val="bottom"/>
            <w:gridSpan w:val="18"/>
          </w:tcPr>
          <w:p>
            <w:pPr>
              <w:spacing w:after="0"/>
              <w:rPr>
                <w:sz w:val="20"/>
                <w:szCs w:val="20"/>
                <w:color w:val="auto"/>
              </w:rPr>
            </w:pPr>
            <w:r>
              <w:rPr>
                <w:rFonts w:ascii="Arial" w:cs="Arial" w:eastAsia="Arial" w:hAnsi="Arial"/>
                <w:sz w:val="18"/>
                <w:szCs w:val="18"/>
                <w:color w:val="0000EE"/>
              </w:rPr>
              <w:t>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78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240" w:type="dxa"/>
            <w:vAlign w:val="bottom"/>
            <w:gridSpan w:val="18"/>
          </w:tcPr>
          <w:p>
            <w:pPr>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6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9"/>
        </w:trPr>
        <w:tc>
          <w:tcPr>
            <w:tcW w:w="6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240" w:type="dxa"/>
            <w:vAlign w:val="bottom"/>
            <w:gridSpan w:val="18"/>
          </w:tcPr>
          <w:p>
            <w:pPr>
              <w:spacing w:after="0"/>
              <w:rPr>
                <w:sz w:val="20"/>
                <w:szCs w:val="20"/>
                <w:color w:val="auto"/>
              </w:rPr>
            </w:pPr>
            <w:r>
              <w:rPr>
                <w:rFonts w:ascii="Arial" w:cs="Arial" w:eastAsia="Arial" w:hAnsi="Arial"/>
                <w:sz w:val="18"/>
                <w:szCs w:val="18"/>
                <w:color w:val="auto"/>
              </w:rPr>
              <w:t>Defaults Upon Senior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240" w:type="dxa"/>
            <w:vAlign w:val="bottom"/>
            <w:gridSpan w:val="18"/>
          </w:tcPr>
          <w:p>
            <w:pPr>
              <w:spacing w:after="0"/>
              <w:rPr>
                <w:sz w:val="20"/>
                <w:szCs w:val="20"/>
                <w:color w:val="auto"/>
              </w:rPr>
            </w:pPr>
            <w:r>
              <w:rPr>
                <w:rFonts w:ascii="Arial" w:cs="Arial" w:eastAsia="Arial" w:hAnsi="Arial"/>
                <w:sz w:val="18"/>
                <w:szCs w:val="18"/>
                <w:color w:val="auto"/>
              </w:rPr>
              <w:t>Mine Safety Disclosures</w:t>
            </w:r>
          </w:p>
        </w:tc>
        <w:tc>
          <w:tcPr>
            <w:tcW w:w="8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7240" w:type="dxa"/>
            <w:vAlign w:val="bottom"/>
            <w:gridSpan w:val="18"/>
          </w:tcPr>
          <w:p>
            <w:pPr>
              <w:spacing w:after="0"/>
              <w:rPr>
                <w:sz w:val="20"/>
                <w:szCs w:val="20"/>
                <w:color w:val="auto"/>
              </w:rPr>
            </w:pPr>
            <w:r>
              <w:rPr>
                <w:rFonts w:ascii="Arial" w:cs="Arial" w:eastAsia="Arial" w:hAnsi="Arial"/>
                <w:sz w:val="18"/>
                <w:szCs w:val="18"/>
                <w:color w:val="auto"/>
              </w:rPr>
              <w:t>Other Information</w:t>
            </w:r>
          </w:p>
        </w:tc>
        <w:tc>
          <w:tcPr>
            <w:tcW w:w="8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60"/>
        </w:trPr>
        <w:tc>
          <w:tcPr>
            <w:tcW w:w="80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240" w:type="dxa"/>
            <w:vAlign w:val="bottom"/>
            <w:gridSpan w:val="18"/>
          </w:tcPr>
          <w:p>
            <w:pPr>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Signatures</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30"/>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item has been omitted pursuant to the reduced disclosure format as set forth in General Instructions (H)</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717550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98"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Unless otherwise required by the context, in this report, the words “DISH Network,” “DISH,” the “Company,” “we,” “our” and “us” refer to DISH Network Corporation and its subsidiaries, “EchoStar” refers to EchoStar Corporation, our parent company, and its subsidiaries, including us, and “DISH DBS” and “DDBS” refers to DISH DBS Corporation, our wholly-owned, indirect subsidiary and its subsidiaries.</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the Pending FCC Review</w:t>
      </w:r>
    </w:p>
    <w:p>
      <w:pPr>
        <w:spacing w:after="0" w:line="185" w:lineRule="exact"/>
        <w:rPr>
          <w:sz w:val="20"/>
          <w:szCs w:val="20"/>
          <w:color w:val="auto"/>
        </w:rPr>
      </w:pPr>
    </w:p>
    <w:p>
      <w:pPr>
        <w:jc w:val="both"/>
        <w:ind w:left="720" w:right="13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 response to the uncertainty created by the FCC inquiries, we and our parent, EchoStar, may take one or more significant actions in order to protect our interests in the Wireless Licenses and other assets held by us and EchoStar, which actions could negatively impact your investment.</w:t>
      </w:r>
    </w:p>
    <w:p>
      <w:pPr>
        <w:spacing w:after="0" w:line="157"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FCC’s review of our and our parent EchoStar’s compliance with network build-out requirements could lead to the loss or impairment of certain of our existing spectrum licenses.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198" w:lineRule="exact"/>
        <w:rPr>
          <w:sz w:val="20"/>
          <w:szCs w:val="20"/>
          <w:color w:val="auto"/>
        </w:rPr>
      </w:pPr>
    </w:p>
    <w:p>
      <w:pPr>
        <w:ind w:left="720" w:right="11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163" w:lineRule="exact"/>
        <w:rPr>
          <w:rFonts w:ascii="Times New Roman" w:cs="Times New Roman" w:eastAsia="Times New Roman" w:hAnsi="Times New Roman"/>
          <w:sz w:val="18"/>
          <w:szCs w:val="18"/>
          <w:color w:val="auto"/>
        </w:rPr>
      </w:pPr>
    </w:p>
    <w:p>
      <w:pPr>
        <w:ind w:left="720" w:right="11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spacing w:after="0" w:line="140" w:lineRule="exact"/>
        <w:rPr>
          <w:rFonts w:ascii="Times New Roman" w:cs="Times New Roman" w:eastAsia="Times New Roman" w:hAnsi="Times New Roman"/>
          <w:sz w:val="18"/>
          <w:szCs w:val="18"/>
          <w:color w:val="auto"/>
        </w:rPr>
      </w:pPr>
    </w:p>
    <w:p>
      <w:pPr>
        <w:ind w:left="720" w:right="279" w:hanging="319"/>
        <w:spacing w:after="0" w:line="300" w:lineRule="auto"/>
        <w:tabs>
          <w:tab w:leader="none" w:pos="7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spacing w:after="0" w:line="117" w:lineRule="exact"/>
        <w:rPr>
          <w:rFonts w:ascii="Times New Roman" w:cs="Times New Roman" w:eastAsia="Times New Roman" w:hAnsi="Times New Roman"/>
          <w:sz w:val="17"/>
          <w:szCs w:val="17"/>
          <w:color w:val="auto"/>
        </w:rPr>
      </w:pPr>
    </w:p>
    <w:p>
      <w:pPr>
        <w:ind w:left="720" w:right="259" w:hanging="319"/>
        <w:spacing w:after="0" w:line="243"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in part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5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partially rely on to provide wireless services to our customers, and they may seek to limit, reduce or terminate our network access to the extent that it becomes competitively advantageous to do so.</w:t>
      </w:r>
    </w:p>
    <w:p>
      <w:pPr>
        <w:spacing w:after="0" w:line="157" w:lineRule="exact"/>
        <w:rPr>
          <w:rFonts w:ascii="Times New Roman" w:cs="Times New Roman" w:eastAsia="Times New Roman" w:hAnsi="Times New Roman"/>
          <w:sz w:val="18"/>
          <w:szCs w:val="18"/>
          <w:color w:val="auto"/>
        </w:rPr>
      </w:pPr>
    </w:p>
    <w:p>
      <w:pPr>
        <w:ind w:left="720" w:right="439" w:hanging="319"/>
        <w:spacing w:after="0" w:line="253" w:lineRule="auto"/>
        <w:tabs>
          <w:tab w:leader="none" w:pos="7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198" w:lineRule="exact"/>
        <w:rPr>
          <w:sz w:val="20"/>
          <w:szCs w:val="20"/>
          <w:color w:val="auto"/>
        </w:rPr>
      </w:pPr>
    </w:p>
    <w:p>
      <w:pPr>
        <w:ind w:left="720" w:right="339" w:hanging="319"/>
        <w:spacing w:after="0" w:line="300" w:lineRule="auto"/>
        <w:tabs>
          <w:tab w:leader="none" w:pos="7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Any deterioration in our operational performance, subscriber activations and churn rate and subscriber satisfaction could adversely affect our business, financial condition and results of operations.</w:t>
      </w:r>
    </w:p>
    <w:p>
      <w:pPr>
        <w:spacing w:after="0" w:line="117" w:lineRule="exact"/>
        <w:rPr>
          <w:rFonts w:ascii="Times New Roman" w:cs="Times New Roman" w:eastAsia="Times New Roman" w:hAnsi="Times New Roman"/>
          <w:sz w:val="17"/>
          <w:szCs w:val="17"/>
          <w:color w:val="auto"/>
        </w:rPr>
      </w:pPr>
    </w:p>
    <w:p>
      <w:pPr>
        <w:ind w:left="720" w:right="2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57"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57" w:lineRule="exact"/>
        <w:rPr>
          <w:rFonts w:ascii="Times New Roman" w:cs="Times New Roman" w:eastAsia="Times New Roman" w:hAnsi="Times New Roman"/>
          <w:sz w:val="18"/>
          <w:szCs w:val="18"/>
          <w:color w:val="auto"/>
        </w:rPr>
      </w:pPr>
    </w:p>
    <w:p>
      <w:pPr>
        <w:jc w:val="both"/>
        <w:ind w:left="720" w:right="2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57"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trade policies, including, but not limited to, tariffs and other restrictions, could increase, among other things, our costs, disrupt our supply chain and negatively affect our business, operations and financial condition.</w:t>
      </w:r>
    </w:p>
    <w:p>
      <w:pPr>
        <w:spacing w:after="0" w:line="157"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198" w:lineRule="exact"/>
        <w:rPr>
          <w:sz w:val="20"/>
          <w:szCs w:val="20"/>
          <w:color w:val="auto"/>
        </w:rPr>
      </w:pPr>
    </w:p>
    <w:p>
      <w:pPr>
        <w:ind w:left="720" w:right="219" w:hanging="319"/>
        <w:spacing w:after="0" w:line="252"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198" w:lineRule="exact"/>
        <w:rPr>
          <w:sz w:val="20"/>
          <w:szCs w:val="20"/>
          <w:color w:val="auto"/>
        </w:rPr>
      </w:pPr>
    </w:p>
    <w:p>
      <w:pPr>
        <w:ind w:left="720" w:right="15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40"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become, party to various lawsuits which, if adversely decided, could have a significant adverse impact on our business, particularly lawsuits regarding intellectual property.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359" w:hanging="319"/>
        <w:spacing w:after="0" w:line="25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198" w:lineRule="exact"/>
        <w:rPr>
          <w:sz w:val="20"/>
          <w:szCs w:val="20"/>
          <w:color w:val="auto"/>
        </w:rPr>
      </w:pPr>
    </w:p>
    <w:p>
      <w:pPr>
        <w:ind w:left="720" w:right="279" w:hanging="319"/>
        <w:spacing w:after="0" w:line="246"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63"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198" w:lineRule="exact"/>
        <w:rPr>
          <w:sz w:val="20"/>
          <w:szCs w:val="20"/>
          <w:color w:val="auto"/>
        </w:rPr>
      </w:pPr>
    </w:p>
    <w:p>
      <w:pPr>
        <w:ind w:left="720" w:right="159" w:hanging="319"/>
        <w:spacing w:after="0" w:line="252"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do not have the necessary cash on hand, projected future cash flows or committed financing to fund our obligations over the next twelve months, which raises substantial doubt about our ability to continue as a going concern.</w:t>
      </w:r>
    </w:p>
    <w:p>
      <w:pPr>
        <w:spacing w:after="0" w:line="157" w:lineRule="exact"/>
        <w:rPr>
          <w:rFonts w:ascii="Times New Roman" w:cs="Times New Roman" w:eastAsia="Times New Roman" w:hAnsi="Times New Roman"/>
          <w:sz w:val="18"/>
          <w:szCs w:val="18"/>
          <w:color w:val="auto"/>
        </w:rPr>
      </w:pPr>
    </w:p>
    <w:p>
      <w:pPr>
        <w:ind w:left="720" w:right="459" w:hanging="319"/>
        <w:spacing w:after="0" w:line="300" w:lineRule="auto"/>
        <w:tabs>
          <w:tab w:leader="none" w:pos="7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spacing w:after="0" w:line="117" w:lineRule="exact"/>
        <w:rPr>
          <w:rFonts w:ascii="Times New Roman" w:cs="Times New Roman" w:eastAsia="Times New Roman" w:hAnsi="Times New Roman"/>
          <w:sz w:val="17"/>
          <w:szCs w:val="17"/>
          <w:color w:val="auto"/>
        </w:rPr>
      </w:pPr>
    </w:p>
    <w:p>
      <w:pPr>
        <w:jc w:val="both"/>
        <w:ind w:left="720" w:right="179" w:hanging="319"/>
        <w:spacing w:after="0" w:line="274" w:lineRule="auto"/>
        <w:tabs>
          <w:tab w:leader="none" w:pos="7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39" w:lineRule="exact"/>
        <w:rPr>
          <w:rFonts w:ascii="Times New Roman" w:cs="Times New Roman" w:eastAsia="Times New Roman" w:hAnsi="Times New Roman"/>
          <w:sz w:val="17"/>
          <w:szCs w:val="17"/>
          <w:color w:val="auto"/>
        </w:rPr>
      </w:pPr>
    </w:p>
    <w:p>
      <w:pPr>
        <w:ind w:left="720" w:right="31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may be unable to realize a return on these assets.</w:t>
      </w:r>
    </w:p>
    <w:p>
      <w:pPr>
        <w:spacing w:after="0" w:line="140" w:lineRule="exact"/>
        <w:rPr>
          <w:rFonts w:ascii="Times New Roman" w:cs="Times New Roman" w:eastAsia="Times New Roman" w:hAnsi="Times New Roman"/>
          <w:sz w:val="18"/>
          <w:szCs w:val="18"/>
          <w:color w:val="auto"/>
        </w:rPr>
      </w:pPr>
    </w:p>
    <w:p>
      <w:pPr>
        <w:ind w:left="720" w:right="379" w:hanging="319"/>
        <w:spacing w:after="0" w:line="252"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additional capital, which may not be available on favorable terms or at all, to fund current obligations, to continue investing in our business and to finance acquisitions and other strategic transactions.</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parent, EchoStar, is controlled by one principal stockholder, who is also our Chairman.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198" w:lineRule="exact"/>
        <w:rPr>
          <w:sz w:val="20"/>
          <w:szCs w:val="20"/>
          <w:color w:val="auto"/>
        </w:rPr>
      </w:pPr>
    </w:p>
    <w:p>
      <w:pPr>
        <w:ind w:left="720" w:right="99" w:hanging="319"/>
        <w:spacing w:after="0" w:line="270"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4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Securities and Exchange Commission (“SEC”), those discussed in “Management’s Narrative Analysis of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jc w:val="center"/>
        <w:ind w:right="-19"/>
        <w:spacing w:after="0" w:line="232" w:lineRule="auto"/>
        <w:rPr>
          <w:sz w:val="20"/>
          <w:szCs w:val="20"/>
          <w:color w:val="auto"/>
        </w:rPr>
      </w:pPr>
      <w:r>
        <w:rPr>
          <w:rFonts w:ascii="Arial" w:cs="Arial" w:eastAsia="Arial" w:hAnsi="Arial"/>
          <w:sz w:val="17"/>
          <w:szCs w:val="17"/>
          <w:color w:val="auto"/>
        </w:rPr>
        <w:t>(Dollars in thousands, except share amounts)</w:t>
      </w:r>
    </w:p>
    <w:p>
      <w:pPr>
        <w:jc w:val="center"/>
        <w:ind w:right="-19"/>
        <w:spacing w:after="0"/>
        <w:rPr>
          <w:sz w:val="20"/>
          <w:szCs w:val="20"/>
          <w:color w:val="auto"/>
        </w:rPr>
      </w:pPr>
      <w:r>
        <w:rPr>
          <w:rFonts w:ascii="Arial" w:cs="Arial" w:eastAsia="Arial" w:hAnsi="Arial"/>
          <w:sz w:val="17"/>
          <w:szCs w:val="17"/>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830,321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476,075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Current restricted cash, cash equivalents and marketable investment securities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184,012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150,898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Marketable investment securities</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40" w:type="dxa"/>
            <w:vAlign w:val="bottom"/>
          </w:tcPr>
          <w:p>
            <w:pPr>
              <w:ind w:left="100"/>
              <w:spacing w:after="0" w:line="153" w:lineRule="exact"/>
              <w:rPr>
                <w:sz w:val="20"/>
                <w:szCs w:val="20"/>
                <w:color w:val="auto"/>
              </w:rPr>
            </w:pPr>
            <w:r>
              <w:rPr>
                <w:rFonts w:ascii="Arial" w:cs="Arial" w:eastAsia="Arial" w:hAnsi="Arial"/>
                <w:sz w:val="14"/>
                <w:szCs w:val="14"/>
                <w:color w:val="auto"/>
              </w:rPr>
              <w:t>Trade accounts receivable, net of allowance for credit losses of $86,137 and $71,314,</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respectively (Note 12)</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855,604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922,001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Inventory</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196,320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Prepaids and other assets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701,865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588,892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4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42,812</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37,786</w:t>
            </w:r>
          </w:p>
        </w:tc>
        <w:tc>
          <w:tcPr>
            <w:tcW w:w="0" w:type="dxa"/>
            <w:vAlign w:val="bottom"/>
          </w:tcPr>
          <w:p>
            <w:pPr>
              <w:spacing w:after="0"/>
              <w:rPr>
                <w:sz w:val="1"/>
                <w:szCs w:val="1"/>
                <w:color w:val="auto"/>
              </w:rPr>
            </w:pPr>
          </w:p>
        </w:tc>
      </w:tr>
      <w:tr>
        <w:trPr>
          <w:trHeight w:val="156"/>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assets</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2,810,995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2,479,266</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4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tcPr>
          <w:p>
            <w:pPr>
              <w:spacing w:after="0"/>
              <w:rPr>
                <w:sz w:val="20"/>
                <w:szCs w:val="20"/>
                <w:color w:val="auto"/>
              </w:rPr>
            </w:pPr>
            <w:r>
              <w:rPr>
                <w:rFonts w:ascii="Arial" w:cs="Arial" w:eastAsia="Arial" w:hAnsi="Arial"/>
                <w:sz w:val="14"/>
                <w:szCs w:val="14"/>
                <w:i w:val="1"/>
                <w:iCs w:val="1"/>
                <w:color w:val="auto"/>
              </w:rPr>
              <w:t>Noncurrent Assets: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cash, cash equivalents and marketable investment securities</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130,740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Property and equipment, net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6,931,426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7,229,089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Regulatory authorizations, net</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30,985,297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30,840,398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Other investments, net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23,102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35,483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 assets</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3,097,445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3,134,938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56,950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63,857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assets, net</w:t>
            </w:r>
          </w:p>
        </w:tc>
        <w:tc>
          <w:tcPr>
            <w:tcW w:w="4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308,117</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283,780</w:t>
            </w:r>
          </w:p>
        </w:tc>
        <w:tc>
          <w:tcPr>
            <w:tcW w:w="0" w:type="dxa"/>
            <w:vAlign w:val="bottom"/>
          </w:tcPr>
          <w:p>
            <w:pPr>
              <w:spacing w:after="0"/>
              <w:rPr>
                <w:sz w:val="1"/>
                <w:szCs w:val="1"/>
                <w:color w:val="auto"/>
              </w:rPr>
            </w:pPr>
          </w:p>
        </w:tc>
      </w:tr>
      <w:tr>
        <w:trPr>
          <w:trHeight w:val="156"/>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Total noncurrent assets</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41,533,077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41,715,243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44,344,072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44,194,509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Trade accounts payable (Note 12)</w:t>
            </w: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696,277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Deferred revenue and other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551,466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569,071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programming</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1,251,114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Accrued interest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204,778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206,492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DISH 2021 Intercompany Loan 2026 Tranche - Interest payable in cash (Note 8)</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Other accrued expenses and liabilities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1,534,159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1,641,168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debt, finance lease and other obligations (Note 8)</w:t>
            </w:r>
          </w:p>
        </w:tc>
        <w:tc>
          <w:tcPr>
            <w:tcW w:w="4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1,042,012</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933,481</w:t>
            </w:r>
          </w:p>
        </w:tc>
        <w:tc>
          <w:tcPr>
            <w:tcW w:w="0" w:type="dxa"/>
            <w:vAlign w:val="bottom"/>
          </w:tcPr>
          <w:p>
            <w:pPr>
              <w:spacing w:after="0"/>
              <w:rPr>
                <w:sz w:val="1"/>
                <w:szCs w:val="1"/>
                <w:color w:val="auto"/>
              </w:rPr>
            </w:pPr>
          </w:p>
        </w:tc>
      </w:tr>
      <w:tr>
        <w:trPr>
          <w:trHeight w:val="155"/>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5,267,853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5,407,411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4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tcPr>
          <w:p>
            <w:pPr>
              <w:spacing w:after="0"/>
              <w:rPr>
                <w:sz w:val="20"/>
                <w:szCs w:val="20"/>
                <w:color w:val="auto"/>
              </w:rPr>
            </w:pPr>
            <w:r>
              <w:rPr>
                <w:rFonts w:ascii="Arial" w:cs="Arial" w:eastAsia="Arial" w:hAnsi="Arial"/>
                <w:sz w:val="14"/>
                <w:szCs w:val="14"/>
                <w:i w:val="1"/>
                <w:iCs w:val="1"/>
                <w:color w:val="auto"/>
              </w:rPr>
              <w:t>Long-Term Obligations, Net of Current Portion:</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debt, finance lease and other obligations, net of current portion (Note 8)</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14,546,020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14,972,965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Intercompany Loans (Note 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7,433,733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5,781,811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tax liabilities, net</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8,090,394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8,312,490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Operating lease liabilities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3,060,585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3,089,950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deferred revenue and other long-term liabilities</w:t>
            </w:r>
          </w:p>
        </w:tc>
        <w:tc>
          <w:tcPr>
            <w:tcW w:w="4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982,643</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946,208</w:t>
            </w:r>
          </w:p>
        </w:tc>
        <w:tc>
          <w:tcPr>
            <w:tcW w:w="0" w:type="dxa"/>
            <w:vAlign w:val="bottom"/>
          </w:tcPr>
          <w:p>
            <w:pPr>
              <w:spacing w:after="0"/>
              <w:rPr>
                <w:sz w:val="1"/>
                <w:szCs w:val="1"/>
                <w:color w:val="auto"/>
              </w:rPr>
            </w:pPr>
          </w:p>
        </w:tc>
      </w:tr>
      <w:tr>
        <w:trPr>
          <w:trHeight w:val="155"/>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Total long-term obligations, net of current portion</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34,113,375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33,103,424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39,381,228</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38,510,835</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9)</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 (Deficit):</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Common stock, $0 par value, 1,000 shares authorized, 1,000 shares issued and outstanding</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5,177,144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5,435,387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00"/>
              <w:spacing w:after="0"/>
              <w:rPr>
                <w:sz w:val="20"/>
                <w:szCs w:val="20"/>
                <w:color w:val="auto"/>
              </w:rPr>
            </w:pPr>
            <w:r>
              <w:rPr>
                <w:rFonts w:ascii="Arial" w:cs="Arial" w:eastAsia="Arial" w:hAnsi="Arial"/>
                <w:sz w:val="14"/>
                <w:szCs w:val="14"/>
                <w:color w:val="auto"/>
              </w:rPr>
              <w:t>Accumulated other comprehensive income (loss)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earnings (deficit)</w:t>
            </w:r>
          </w:p>
        </w:tc>
        <w:tc>
          <w:tcPr>
            <w:tcW w:w="4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(655,684)</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(193,030)</w:t>
            </w:r>
          </w:p>
        </w:tc>
        <w:tc>
          <w:tcPr>
            <w:tcW w:w="0" w:type="dxa"/>
            <w:vAlign w:val="bottom"/>
          </w:tcPr>
          <w:p>
            <w:pPr>
              <w:spacing w:after="0"/>
              <w:rPr>
                <w:sz w:val="1"/>
                <w:szCs w:val="1"/>
                <w:color w:val="auto"/>
              </w:rPr>
            </w:pPr>
          </w:p>
        </w:tc>
      </w:tr>
      <w:tr>
        <w:trPr>
          <w:trHeight w:val="155"/>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Total DISH Network stockholder's equity (deficit)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4,518,614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5,239,598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Borders>
              <w:top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Noncontrolling interests</w:t>
            </w: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444,230</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444,076</w:t>
            </w:r>
          </w:p>
        </w:tc>
        <w:tc>
          <w:tcPr>
            <w:tcW w:w="0" w:type="dxa"/>
            <w:vAlign w:val="bottom"/>
          </w:tcPr>
          <w:p>
            <w:pPr>
              <w:spacing w:after="0"/>
              <w:rPr>
                <w:sz w:val="1"/>
                <w:szCs w:val="1"/>
                <w:color w:val="auto"/>
              </w:rPr>
            </w:pPr>
          </w:p>
        </w:tc>
      </w:tr>
      <w:tr>
        <w:trPr>
          <w:trHeight w:val="156"/>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4,962,844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5,683,674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44,344,072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44,194,509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jc w:val="center"/>
        <w:spacing w:after="0" w:line="232" w:lineRule="auto"/>
        <w:rPr>
          <w:sz w:val="20"/>
          <w:szCs w:val="20"/>
          <w:color w:val="auto"/>
        </w:rPr>
      </w:pPr>
      <w:r>
        <w:rPr>
          <w:rFonts w:ascii="Arial" w:cs="Arial" w:eastAsia="Arial" w:hAnsi="Arial"/>
          <w:sz w:val="17"/>
          <w:szCs w:val="17"/>
          <w:b w:val="1"/>
          <w:bCs w:val="1"/>
          <w:color w:val="auto"/>
        </w:rPr>
        <w:t>AND COMPREHENSIVE INCOME (LOSS)</w:t>
      </w:r>
    </w:p>
    <w:p>
      <w:pPr>
        <w:jc w:val="center"/>
        <w:ind w:right="-19"/>
        <w:spacing w:after="0" w:line="232" w:lineRule="auto"/>
        <w:rPr>
          <w:sz w:val="20"/>
          <w:szCs w:val="20"/>
          <w:color w:val="auto"/>
        </w:rPr>
      </w:pPr>
      <w:r>
        <w:rPr>
          <w:rFonts w:ascii="Arial" w:cs="Arial" w:eastAsia="Arial" w:hAnsi="Arial"/>
          <w:sz w:val="17"/>
          <w:szCs w:val="17"/>
          <w:color w:val="auto"/>
        </w:rPr>
        <w:t>(In thousands)</w:t>
      </w:r>
    </w:p>
    <w:p>
      <w:pPr>
        <w:jc w:val="center"/>
        <w:ind w:right="-19"/>
        <w:spacing w:after="0"/>
        <w:rPr>
          <w:sz w:val="20"/>
          <w:szCs w:val="20"/>
          <w:color w:val="auto"/>
        </w:rPr>
      </w:pPr>
      <w:r>
        <w:rPr>
          <w:rFonts w:ascii="Arial" w:cs="Arial" w:eastAsia="Arial" w:hAnsi="Arial"/>
          <w:sz w:val="17"/>
          <w:szCs w:val="17"/>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6"/>
        </w:trPr>
        <w:tc>
          <w:tcPr>
            <w:tcW w:w="4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Service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3,270,566</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3,443,518</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6,604,525</w:t>
            </w:r>
          </w:p>
        </w:tc>
        <w:tc>
          <w:tcPr>
            <w:tcW w:w="1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6,948,946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Equipment sales and other revenue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124,976</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124,752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301,377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259,213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revenue</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3,395,542</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3,568,270</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6,905,902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7,208,159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Costs and Expenses (exclusive of depreciation and amortization):</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Cost of 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2,348,532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2,383,125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4,669,850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4,810,628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Cost of sales - equipment and other</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291,491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330,820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650,408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637,354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539,983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494,986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1,051,531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1,007,785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388,785</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391,110</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772,466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758,184</w:t>
            </w:r>
          </w:p>
        </w:tc>
        <w:tc>
          <w:tcPr>
            <w:tcW w:w="0" w:type="dxa"/>
            <w:vAlign w:val="bottom"/>
          </w:tcPr>
          <w:p>
            <w:pPr>
              <w:spacing w:after="0"/>
              <w:rPr>
                <w:sz w:val="1"/>
                <w:szCs w:val="1"/>
                <w:color w:val="auto"/>
              </w:rPr>
            </w:pPr>
          </w:p>
        </w:tc>
      </w:tr>
      <w:tr>
        <w:trPr>
          <w:trHeight w:val="155"/>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Total costs and expenses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3,568,791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3,600,041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7,144,255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7,213,951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income (loss)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(173,249)</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(238,353)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Interest expense, net of amounts capitalized (Note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(230,249)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(164,561)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(427,504)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(335,196)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Other, net (Note 4)</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25,698</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(64,477)</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25,218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62,865</w:t>
            </w:r>
          </w:p>
        </w:tc>
        <w:tc>
          <w:tcPr>
            <w:tcW w:w="0" w:type="dxa"/>
            <w:vAlign w:val="bottom"/>
          </w:tcPr>
          <w:p>
            <w:pPr>
              <w:spacing w:after="0"/>
              <w:rPr>
                <w:sz w:val="1"/>
                <w:szCs w:val="1"/>
                <w:color w:val="auto"/>
              </w:rPr>
            </w:pPr>
          </w:p>
        </w:tc>
      </w:tr>
      <w:tr>
        <w:trPr>
          <w:trHeight w:val="155"/>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Total other income (expense)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(189,154)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(218,524)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(377,088)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(249,164)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(362,403)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(250,295)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(615,441)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(254,956)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 net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89,302</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38,471</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152,845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32,901</w:t>
            </w:r>
          </w:p>
        </w:tc>
        <w:tc>
          <w:tcPr>
            <w:tcW w:w="0" w:type="dxa"/>
            <w:vAlign w:val="bottom"/>
          </w:tcPr>
          <w:p>
            <w:pPr>
              <w:spacing w:after="0"/>
              <w:rPr>
                <w:sz w:val="1"/>
                <w:szCs w:val="1"/>
                <w:color w:val="auto"/>
              </w:rPr>
            </w:pPr>
          </w:p>
        </w:tc>
      </w:tr>
      <w:tr>
        <w:trPr>
          <w:trHeight w:val="156"/>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(273,101)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(211,824)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(462,596)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(222,055)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Less: Net income (loss) attributable to noncontrolling interests, net of</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195"/>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Net income (loss) attributable to DISH Network</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(273,125)</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(211,849)</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(462,654)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(225,728)</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5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Comprehensive 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(273,101)</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(211,824)</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(462,596)</w:t>
            </w:r>
          </w:p>
        </w:tc>
        <w:tc>
          <w:tcPr>
            <w:tcW w:w="1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(222,055)</w:t>
            </w:r>
          </w:p>
        </w:tc>
        <w:tc>
          <w:tcPr>
            <w:tcW w:w="0" w:type="dxa"/>
            <w:vAlign w:val="bottom"/>
          </w:tcPr>
          <w:p>
            <w:pPr>
              <w:spacing w:after="0"/>
              <w:rPr>
                <w:sz w:val="1"/>
                <w:szCs w:val="1"/>
                <w:color w:val="auto"/>
              </w:rPr>
            </w:pPr>
          </w:p>
        </w:tc>
      </w:tr>
      <w:tr>
        <w:trPr>
          <w:trHeight w:val="156"/>
        </w:trPr>
        <w:tc>
          <w:tcPr>
            <w:tcW w:w="46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Other comprehensive income (loss):</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ind w:left="100"/>
              <w:spacing w:after="0"/>
              <w:rPr>
                <w:sz w:val="20"/>
                <w:szCs w:val="20"/>
                <w:color w:val="auto"/>
              </w:rPr>
            </w:pPr>
            <w:r>
              <w:rPr>
                <w:rFonts w:ascii="Arial" w:cs="Arial" w:eastAsia="Arial" w:hAnsi="Arial"/>
                <w:sz w:val="14"/>
                <w:szCs w:val="14"/>
                <w:color w:val="auto"/>
              </w:rPr>
              <w:t>Unrealized holding gains (losses) on available-for-sale debt securities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Recognition of previously unrealized (gains) losses on available-for-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sale securities included in net income (loss)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Deferred income tax (expense) benefit, net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shd w:val="clear" w:color="auto" w:fill="CCEEFF"/>
          </w:tcPr>
          <w:p>
            <w:pPr>
              <w:spacing w:after="0" w:line="155" w:lineRule="exact"/>
              <w:rPr>
                <w:sz w:val="20"/>
                <w:szCs w:val="20"/>
                <w:color w:val="auto"/>
              </w:rPr>
            </w:pPr>
            <w:r>
              <w:rPr>
                <w:rFonts w:ascii="Arial" w:cs="Arial" w:eastAsia="Arial" w:hAnsi="Arial"/>
                <w:sz w:val="14"/>
                <w:szCs w:val="14"/>
                <w:i w:val="1"/>
                <w:iCs w:val="1"/>
                <w:color w:val="auto"/>
              </w:rPr>
              <w:t>Total other comprehensive income (loss), net of tax</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5"/>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(273,172)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(211,865)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(462,683)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(222,079)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Less: Comprehensive income (loss) attributable to noncontrolling</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interests, net of tax</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155"/>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 attributable to DISH Network</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(273,196)</w:t>
            </w: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(211,890)</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(462,741)</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STOCKHOLDER’S EQUITY (DEFICIT)</w:t>
      </w:r>
    </w:p>
    <w:p>
      <w:pPr>
        <w:jc w:val="center"/>
        <w:ind w:right="-19"/>
        <w:spacing w:after="0" w:line="232" w:lineRule="auto"/>
        <w:rPr>
          <w:sz w:val="20"/>
          <w:szCs w:val="20"/>
          <w:color w:val="auto"/>
        </w:rPr>
      </w:pPr>
      <w:r>
        <w:rPr>
          <w:rFonts w:ascii="Arial" w:cs="Arial" w:eastAsia="Arial" w:hAnsi="Arial"/>
          <w:sz w:val="17"/>
          <w:szCs w:val="17"/>
          <w:color w:val="auto"/>
        </w:rPr>
        <w:t>(In thousands)</w:t>
      </w:r>
    </w:p>
    <w:p>
      <w:pPr>
        <w:jc w:val="center"/>
        <w:ind w:right="-19"/>
        <w:spacing w:after="0"/>
        <w:rPr>
          <w:sz w:val="20"/>
          <w:szCs w:val="20"/>
          <w:color w:val="auto"/>
        </w:rPr>
      </w:pPr>
      <w:r>
        <w:rPr>
          <w:rFonts w:ascii="Arial" w:cs="Arial" w:eastAsia="Arial" w:hAnsi="Arial"/>
          <w:sz w:val="17"/>
          <w:szCs w:val="17"/>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5"/>
              </w:rPr>
              <w:t>Noncontrolling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Earnings</w:t>
            </w:r>
          </w:p>
        </w:tc>
        <w:tc>
          <w:tcPr>
            <w:tcW w:w="9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w w:val="99"/>
              </w:rPr>
              <w:t>Interests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117"/>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4,916,120</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(2,676)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11,876,627</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2,103</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16,792,174</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438,382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20" w:type="dxa"/>
            <w:vAlign w:val="bottom"/>
          </w:tcPr>
          <w:p>
            <w:pPr>
              <w:spacing w:after="0" w:line="129" w:lineRule="exact"/>
              <w:rPr>
                <w:sz w:val="20"/>
                <w:szCs w:val="20"/>
                <w:color w:val="auto"/>
              </w:rPr>
            </w:pPr>
            <w:r>
              <w:rPr>
                <w:rFonts w:ascii="Arial" w:cs="Arial" w:eastAsia="Arial" w:hAnsi="Arial"/>
                <w:sz w:val="13"/>
                <w:szCs w:val="13"/>
                <w:color w:val="auto"/>
              </w:rPr>
              <w:t>Non-cash, stock-based compensation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6,115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6,115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(loss) and other</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w w:val="98"/>
              </w:rPr>
              <w:t>Asset Transfer to EchoStar, including deferred taxes of $3,775,370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(3,775,370)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380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w w:val="97"/>
              </w:rPr>
              <w:t>(12,003,227)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w w:val="97"/>
              </w:rPr>
              <w:t>(15,778,363)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 of Assets to EchoStar, net of deferred taxes of $ 3,857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5,513</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5,513</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20" w:type="dxa"/>
            <w:vAlign w:val="bottom"/>
          </w:tcPr>
          <w:p>
            <w:pPr>
              <w:spacing w:after="0" w:line="117" w:lineRule="exact"/>
              <w:rPr>
                <w:sz w:val="20"/>
                <w:szCs w:val="20"/>
                <w:color w:val="auto"/>
              </w:rPr>
            </w:pPr>
            <w:r>
              <w:rPr>
                <w:rFonts w:ascii="Arial" w:cs="Arial" w:eastAsia="Arial" w:hAnsi="Arial"/>
                <w:sz w:val="13"/>
                <w:szCs w:val="13"/>
                <w:color w:val="auto"/>
              </w:rPr>
              <w:t>700 MHz Spectrum Sale to EchoStar, net of deferred taxes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40" w:type="dxa"/>
            <w:vAlign w:val="bottom"/>
            <w:gridSpan w:val="2"/>
          </w:tcPr>
          <w:p>
            <w:pPr>
              <w:spacing w:after="0"/>
              <w:rPr>
                <w:sz w:val="20"/>
                <w:szCs w:val="20"/>
                <w:color w:val="auto"/>
              </w:rPr>
            </w:pPr>
            <w:r>
              <w:rPr>
                <w:rFonts w:ascii="Arial" w:cs="Arial" w:eastAsia="Arial" w:hAnsi="Arial"/>
                <w:sz w:val="13"/>
                <w:szCs w:val="13"/>
                <w:color w:val="auto"/>
              </w:rPr>
              <w:t>$37,681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114,831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114,831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Conversion of outstanding redeemable noncontrolling interest in</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SNR HoldCo to noncontrolling interest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3,616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(13,879)</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(13,879)</w:t>
            </w: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 March 31, 2024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1,267,147</w:t>
            </w: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(2,279)</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(140,479)</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443,987</w:t>
            </w: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1,568,376</w:t>
            </w: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Non-cash, stock-based compensation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6,923</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6,923</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Orbital II Transfer from EchoStar</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140,510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140,510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(211,849)</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(211,849)</w:t>
            </w: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Balance, June 30, 2024</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1,414,580</w:t>
            </w:r>
          </w:p>
        </w:tc>
        <w:tc>
          <w:tcPr>
            <w:tcW w:w="2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(2,320)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(352,328)</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444,012</w:t>
            </w:r>
          </w:p>
        </w:tc>
        <w:tc>
          <w:tcPr>
            <w:tcW w:w="1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1,503,944</w:t>
            </w:r>
          </w:p>
        </w:tc>
        <w:tc>
          <w:tcPr>
            <w:tcW w:w="20" w:type="dxa"/>
            <w:vAlign w:val="bottom"/>
          </w:tcPr>
          <w:p>
            <w:pPr>
              <w:spacing w:after="0"/>
              <w:rPr>
                <w:sz w:val="14"/>
                <w:szCs w:val="14"/>
                <w:color w:val="auto"/>
              </w:rPr>
            </w:pPr>
          </w:p>
        </w:tc>
        <w:tc>
          <w:tcPr>
            <w:tcW w:w="160" w:type="dxa"/>
            <w:vAlign w:val="bottom"/>
          </w:tcPr>
          <w:p>
            <w:pPr>
              <w:jc w:val="right"/>
              <w:ind w:right="3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4"/>
              </w:rPr>
              <w:t>Additional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Accumulated</w:t>
            </w:r>
          </w:p>
        </w:tc>
        <w:tc>
          <w:tcPr>
            <w:tcW w:w="4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Noncontrolling</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Earnings</w:t>
            </w:r>
          </w:p>
        </w:tc>
        <w:tc>
          <w:tcPr>
            <w:tcW w:w="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Interests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2024</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5,435,387</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(2,759)</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(193,030)</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444,076</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69"/>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5,683,674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line="129" w:lineRule="exact"/>
              <w:rPr>
                <w:sz w:val="20"/>
                <w:szCs w:val="20"/>
                <w:color w:val="auto"/>
              </w:rPr>
            </w:pPr>
            <w:r>
              <w:rPr>
                <w:rFonts w:ascii="Arial" w:cs="Arial" w:eastAsia="Arial" w:hAnsi="Arial"/>
                <w:sz w:val="13"/>
                <w:szCs w:val="13"/>
                <w:color w:val="auto"/>
              </w:rPr>
              <w:t>Non-cash, stock-based compensation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4,648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4,648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(loss) and other</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Wireless Spectrum License Exchange, net of deferred taxes of $50,456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(267,561)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(267,465)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(189,529)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(189,529)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March 31, 2025</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5,171,783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(2,775)</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(382,559)</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444,206</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69"/>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5,230,655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tcPr>
          <w:p>
            <w:pPr>
              <w:spacing w:after="0" w:line="129" w:lineRule="exact"/>
              <w:rPr>
                <w:sz w:val="20"/>
                <w:szCs w:val="20"/>
                <w:color w:val="auto"/>
              </w:rPr>
            </w:pPr>
            <w:r>
              <w:rPr>
                <w:rFonts w:ascii="Arial" w:cs="Arial" w:eastAsia="Arial" w:hAnsi="Arial"/>
                <w:sz w:val="13"/>
                <w:szCs w:val="13"/>
                <w:color w:val="auto"/>
              </w:rPr>
              <w:t>Non-cash, stock-based compensation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5,361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5,361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(273,125)</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(273,125)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June 30, 2025</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5,177,144</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(2,846)</w:t>
            </w: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(655,684)</w:t>
            </w:r>
          </w:p>
        </w:tc>
        <w:tc>
          <w:tcPr>
            <w:tcW w:w="4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444,230</w:t>
            </w: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4,962,844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ind w:right="-19"/>
        <w:spacing w:after="0" w:line="232" w:lineRule="auto"/>
        <w:rPr>
          <w:sz w:val="20"/>
          <w:szCs w:val="20"/>
          <w:color w:val="auto"/>
        </w:rPr>
      </w:pPr>
      <w:r>
        <w:rPr>
          <w:rFonts w:ascii="Arial" w:cs="Arial" w:eastAsia="Arial" w:hAnsi="Arial"/>
          <w:sz w:val="17"/>
          <w:szCs w:val="17"/>
          <w:color w:val="auto"/>
        </w:rPr>
        <w:t>(In thousands)</w:t>
      </w:r>
    </w:p>
    <w:p>
      <w:pPr>
        <w:jc w:val="center"/>
        <w:ind w:right="-19"/>
        <w:spacing w:after="0"/>
        <w:rPr>
          <w:sz w:val="20"/>
          <w:szCs w:val="20"/>
          <w:color w:val="auto"/>
        </w:rPr>
      </w:pPr>
      <w:r>
        <w:rPr>
          <w:rFonts w:ascii="Arial" w:cs="Arial" w:eastAsia="Arial" w:hAnsi="Arial"/>
          <w:sz w:val="17"/>
          <w:szCs w:val="17"/>
          <w:color w:val="auto"/>
        </w:rPr>
        <w:t>(Unaudited)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180"/>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160"/>
        </w:trPr>
        <w:tc>
          <w:tcPr>
            <w:tcW w:w="70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June 30,</w:t>
            </w: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0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97"/>
              <w:spacing w:after="0" w:line="135" w:lineRule="exact"/>
              <w:rPr>
                <w:sz w:val="20"/>
                <w:szCs w:val="20"/>
                <w:color w:val="auto"/>
              </w:rPr>
            </w:pPr>
            <w:r>
              <w:rPr>
                <w:rFonts w:ascii="Arial" w:cs="Arial" w:eastAsia="Arial" w:hAnsi="Arial"/>
                <w:sz w:val="13"/>
                <w:szCs w:val="13"/>
                <w:b w:val="1"/>
                <w:bCs w:val="1"/>
                <w:color w:val="auto"/>
              </w:rPr>
              <w:t>2025</w:t>
            </w: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57"/>
              <w:spacing w:after="0" w:line="135"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(462,596)</w:t>
            </w:r>
          </w:p>
        </w:tc>
        <w:tc>
          <w:tcPr>
            <w:tcW w:w="280" w:type="dxa"/>
            <w:vAlign w:val="bottom"/>
          </w:tcPr>
          <w:p>
            <w:pPr>
              <w:jc w:val="right"/>
              <w:ind w:right="137"/>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(222,055)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Adjustments to reconcile net income (loss) to net cash flows from operating activities: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772,466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758,184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Realized and unrealized losses (gains) on investments, impairments and other</w:t>
            </w: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(25,493)</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ind w:left="100"/>
              <w:spacing w:after="0" w:line="135" w:lineRule="exact"/>
              <w:rPr>
                <w:sz w:val="20"/>
                <w:szCs w:val="20"/>
                <w:color w:val="auto"/>
              </w:rPr>
            </w:pPr>
            <w:r>
              <w:rPr>
                <w:rFonts w:ascii="Arial" w:cs="Arial" w:eastAsia="Arial" w:hAnsi="Arial"/>
                <w:sz w:val="13"/>
                <w:szCs w:val="13"/>
                <w:color w:val="auto"/>
              </w:rPr>
              <w:t>Realized losses (gains) on Sale of Assets to EchoStar</w:t>
            </w:r>
          </w:p>
        </w:tc>
        <w:tc>
          <w:tcPr>
            <w:tcW w:w="26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(128,788)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Non-cash, stock-based compensation</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10,009</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ind w:left="100"/>
              <w:spacing w:after="0" w:line="135" w:lineRule="exact"/>
              <w:rPr>
                <w:sz w:val="20"/>
                <w:szCs w:val="20"/>
                <w:color w:val="auto"/>
              </w:rPr>
            </w:pPr>
            <w:r>
              <w:rPr>
                <w:rFonts w:ascii="Arial" w:cs="Arial" w:eastAsia="Arial" w:hAnsi="Arial"/>
                <w:sz w:val="13"/>
                <w:szCs w:val="13"/>
                <w:color w:val="auto"/>
              </w:rPr>
              <w:t>Deferred tax expense (benefit)</w:t>
            </w:r>
          </w:p>
        </w:tc>
        <w:tc>
          <w:tcPr>
            <w:tcW w:w="26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(171,635)</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(45,666)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Changes in allowance for credit losses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14,823</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29,544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ind w:left="100"/>
              <w:spacing w:after="0" w:line="135" w:lineRule="exact"/>
              <w:rPr>
                <w:sz w:val="20"/>
                <w:szCs w:val="20"/>
                <w:color w:val="auto"/>
              </w:rPr>
            </w:pPr>
            <w:r>
              <w:rPr>
                <w:rFonts w:ascii="Arial" w:cs="Arial" w:eastAsia="Arial" w:hAnsi="Arial"/>
                <w:sz w:val="13"/>
                <w:szCs w:val="13"/>
                <w:color w:val="auto"/>
              </w:rPr>
              <w:t>Change in long-term deferred revenue and other long-term liabilities</w:t>
            </w:r>
          </w:p>
        </w:tc>
        <w:tc>
          <w:tcPr>
            <w:tcW w:w="2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110,827</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74,388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net</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7,678</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93,306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ind w:left="100"/>
              <w:spacing w:after="0" w:line="135" w:lineRule="exact"/>
              <w:rPr>
                <w:sz w:val="20"/>
                <w:szCs w:val="20"/>
                <w:color w:val="auto"/>
              </w:rPr>
            </w:pPr>
            <w:r>
              <w:rPr>
                <w:rFonts w:ascii="Arial" w:cs="Arial" w:eastAsia="Arial" w:hAnsi="Arial"/>
                <w:sz w:val="13"/>
                <w:szCs w:val="13"/>
                <w:color w:val="auto"/>
              </w:rPr>
              <w:t>Changes in operating assets and operating liabilities, net</w:t>
            </w:r>
          </w:p>
        </w:tc>
        <w:tc>
          <w:tcPr>
            <w:tcW w:w="26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(175,564)</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130,846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cash flows from operating activities</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80,515</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703,711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3"/>
                <w:szCs w:val="13"/>
                <w:color w:val="auto"/>
              </w:rPr>
              <w:t>Purchases of marketable investment securities</w:t>
            </w:r>
          </w:p>
        </w:tc>
        <w:tc>
          <w:tcPr>
            <w:tcW w:w="26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(54,517)</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(10,730)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Sales and maturities of marketable investment securities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26,894</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3"/>
                <w:szCs w:val="13"/>
                <w:color w:val="auto"/>
              </w:rPr>
              <w:t>Purchases of property and equipment (Note 6)</w:t>
            </w:r>
          </w:p>
        </w:tc>
        <w:tc>
          <w:tcPr>
            <w:tcW w:w="26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(476,379)</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(692,352)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Capitalized interest related to regulatory authorizations (Note 2)</w:t>
            </w: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(450,924)</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(398,824)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3"/>
                <w:szCs w:val="13"/>
                <w:color w:val="auto"/>
              </w:rPr>
              <w:t>Purchases of regulatory authorizations, including deposits</w:t>
            </w:r>
          </w:p>
        </w:tc>
        <w:tc>
          <w:tcPr>
            <w:tcW w:w="26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 of Assets to EchoStar (Note 12)</w:t>
            </w: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3"/>
                <w:szCs w:val="13"/>
                <w:color w:val="auto"/>
              </w:rPr>
              <w:t>700 MHz Spectrum Sale to EchoStar (Note 12)</w:t>
            </w:r>
          </w:p>
        </w:tc>
        <w:tc>
          <w:tcPr>
            <w:tcW w:w="26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1,024,857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 of Fiber business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47,207</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Other, net</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1,824</w:t>
            </w: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(37,733)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cash flows from investing activities</w:t>
            </w: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(905,895)</w:t>
            </w:r>
          </w:p>
        </w:tc>
        <w:tc>
          <w:tcPr>
            <w:tcW w:w="14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161,532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3"/>
                <w:szCs w:val="13"/>
                <w:color w:val="auto"/>
              </w:rPr>
              <w:t>Repayment of long-term debt, finance lease and other obligations</w:t>
            </w:r>
          </w:p>
        </w:tc>
        <w:tc>
          <w:tcPr>
            <w:tcW w:w="26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(36,301)</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(49,652)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Redemption and repurchases of term loans, convertible and senior notes</w:t>
            </w: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(333,333)</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(951,170)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3"/>
                <w:szCs w:val="13"/>
                <w:color w:val="auto"/>
              </w:rPr>
              <w:t>Proceeds from EchoStar 2024 Intercompany Loan (Note 8)</w:t>
            </w:r>
          </w:p>
        </w:tc>
        <w:tc>
          <w:tcPr>
            <w:tcW w:w="2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1,556,895</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net</w:t>
            </w: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cash flows from financing activities</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1,187,289</w:t>
            </w: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(1,000,883)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3"/>
                <w:szCs w:val="13"/>
                <w:b w:val="1"/>
                <w:bCs w:val="1"/>
                <w:color w:val="auto"/>
              </w:rPr>
              <w:t>Net increase (decrease) in cash, cash equivalents, restricted cash and cash equivalents</w:t>
            </w:r>
          </w:p>
        </w:tc>
        <w:tc>
          <w:tcPr>
            <w:tcW w:w="2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361,909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(135,640)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cash equivalents, restricted cash and cash equivalents, beginning of period (Note 4)</w:t>
            </w: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730,789</w:t>
            </w:r>
          </w:p>
        </w:tc>
        <w:tc>
          <w:tcPr>
            <w:tcW w:w="14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462,748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40" w:type="dxa"/>
            <w:vAlign w:val="bottom"/>
          </w:tcPr>
          <w:p>
            <w:pPr>
              <w:spacing w:after="0" w:line="129" w:lineRule="exact"/>
              <w:rPr>
                <w:sz w:val="20"/>
                <w:szCs w:val="20"/>
                <w:color w:val="auto"/>
              </w:rPr>
            </w:pPr>
            <w:r>
              <w:rPr>
                <w:rFonts w:ascii="Arial" w:cs="Arial" w:eastAsia="Arial" w:hAnsi="Arial"/>
                <w:sz w:val="13"/>
                <w:szCs w:val="13"/>
                <w:color w:val="auto"/>
              </w:rPr>
              <w:t>Cash, cash equivalents, restricted cash and cash equivalents, end of period (Note 4)</w:t>
            </w: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1,092,698</w:t>
            </w:r>
          </w:p>
        </w:tc>
        <w:tc>
          <w:tcPr>
            <w:tcW w:w="14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327,108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219" w:hanging="10"/>
        <w:spacing w:after="0" w:line="469" w:lineRule="auto"/>
        <w:tabs>
          <w:tab w:leader="none" w:pos="70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 Principal Business</w:t>
      </w:r>
    </w:p>
    <w:p>
      <w:pPr>
        <w:spacing w:after="0" w:line="1"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DISH Network Corporation is a holding company. Its subsidiaries (which together with DISH Network Corporation are referred to as “DISH Network,” the “Company,” “we,” “us” and/or “our,” unless otherwise required by the context) currently operate two primary business segments. DISH Network is a wholly-owned subsidiary of EchoStar Corporation (“EchoStar”), a publicly traded company listed on the NASDAQ Global Select Market (“NASDAQ”) under the symbol “SATS.”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 xml:space="preserve">EchoStar </w:t>
      </w:r>
      <w:r>
        <w:rPr>
          <w:rFonts w:ascii="Arial" w:cs="Arial" w:eastAsia="Arial" w:hAnsi="Arial"/>
          <w:sz w:val="17"/>
          <w:szCs w:val="17"/>
          <w:color w:val="222222"/>
        </w:rPr>
        <w:t>received a letter from the Federal Communications Commission (the “FCC”) on May 9, 2025, indicating</w:t>
      </w:r>
      <w:r>
        <w:rPr>
          <w:rFonts w:ascii="Arial" w:cs="Arial" w:eastAsia="Arial" w:hAnsi="Arial"/>
          <w:sz w:val="17"/>
          <w:szCs w:val="17"/>
          <w:color w:val="auto"/>
        </w:rPr>
        <w:t xml:space="preserve"> </w:t>
      </w:r>
      <w:r>
        <w:rPr>
          <w:rFonts w:ascii="Arial" w:cs="Arial" w:eastAsia="Arial" w:hAnsi="Arial"/>
          <w:sz w:val="17"/>
          <w:szCs w:val="17"/>
          <w:color w:val="222222"/>
        </w:rPr>
        <w:t xml:space="preserve">that the FCC was beginning a review of EchoStar’s and our compliance with certain obligations to provide 5G broadband service and raising certain questions regarding the September 2024 build-out extension granted by the FCC and mobile-satellite service (“MSS”) utilization in the 2 GHz band (the “Letter”). We collectively responded to the FCC’s subsequent public notices with filings on May 27, 2025 and June 6, 2025. </w:t>
      </w:r>
      <w:r>
        <w:rPr>
          <w:rFonts w:ascii="Arial" w:cs="Arial" w:eastAsia="Arial" w:hAnsi="Arial"/>
          <w:sz w:val="17"/>
          <w:szCs w:val="17"/>
          <w:color w:val="000000"/>
        </w:rPr>
        <w:t>On June 11, 2025, our</w:t>
      </w:r>
      <w:r>
        <w:rPr>
          <w:rFonts w:ascii="Arial" w:cs="Arial" w:eastAsia="Arial" w:hAnsi="Arial"/>
          <w:sz w:val="17"/>
          <w:szCs w:val="17"/>
          <w:color w:val="222222"/>
        </w:rPr>
        <w:t xml:space="preserve"> </w:t>
      </w:r>
      <w:r>
        <w:rPr>
          <w:rFonts w:ascii="Arial" w:cs="Arial" w:eastAsia="Arial" w:hAnsi="Arial"/>
          <w:sz w:val="17"/>
          <w:szCs w:val="17"/>
          <w:color w:val="000000"/>
        </w:rPr>
        <w:t>Chairman met with the FCC; during this meeting we explained that any reconsideration of the September 2024 grant of our construction deadline extensions, any after-the-fact change to the criteria upon which our build-out is judged, or any decision to upend the 2 GHz band’s sharing rules would threaten the viability of our current operations and future plans. While no resolution has been achieved yet, and it is possible that no such resolution will ultimately be achieved, we continue to explore an acceptable resolution of the FCC’s stated concerns in a manner that minimizes disruption to our businesses and lifts the regulatory uncertainty created by the inquiries. The FCC review has introduced the possibility of reversing prior FCC grants of authority to us and EchoStar. This uncertainty over our spectrum rights has effectively frozen our ability to make decisions regarding our 5G network build-out, has materially adversely impacted our ability to implement and adjust our overall business plan and has required us to re-evaluate the deployment of our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 See Note 8 for further details. We remain focused on resolving the FCC’s stated concerns. We continue to progress wide-ranging efforts to explore alternative or complementary pathways that could, if successfully implemented, resolve the FCC’s stated concerns in a manner acceptable to us.</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left="60" w:right="219" w:hanging="7"/>
        <w:spacing w:after="0" w:line="253" w:lineRule="auto"/>
        <w:rPr>
          <w:sz w:val="20"/>
          <w:szCs w:val="20"/>
          <w:color w:val="auto"/>
        </w:rPr>
      </w:pPr>
      <w:r>
        <w:rPr>
          <w:rFonts w:ascii="Arial" w:cs="Arial" w:eastAsia="Arial" w:hAnsi="Arial"/>
          <w:sz w:val="18"/>
          <w:szCs w:val="18"/>
          <w:color w:val="auto"/>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55" w:lineRule="exact"/>
        <w:rPr>
          <w:sz w:val="20"/>
          <w:szCs w:val="20"/>
          <w:color w:val="auto"/>
        </w:rPr>
      </w:pPr>
    </w:p>
    <w:p>
      <w:pPr>
        <w:ind w:left="60" w:right="119" w:hanging="7"/>
        <w:spacing w:after="0" w:line="257" w:lineRule="auto"/>
        <w:rPr>
          <w:sz w:val="20"/>
          <w:szCs w:val="20"/>
          <w:color w:val="auto"/>
        </w:rPr>
      </w:pPr>
      <w:r>
        <w:rPr>
          <w:rFonts w:ascii="Arial" w:cs="Arial" w:eastAsia="Arial" w:hAnsi="Arial"/>
          <w:sz w:val="17"/>
          <w:szCs w:val="17"/>
          <w:color w:val="auto"/>
        </w:rPr>
        <w:t xml:space="preserve">Our cash and cash equivalents and marketable investment securities totaled $830 million as of June 30, 2025 (“Cash on Hand”). As reflected in the condensed consolidated financial statements as of June 30, 2025, we have $2.0 billion of debt maturing in July 2026. In addition, the re-auction of certain AWS-3 licenses previously awarded to Northstar Wireless and SNR Wireless has been designated as Auction 113 and the FCC is required to initiate Auction 113 by June 23, 2026. We cannot predict with any degree of certainty the outcome of Auction 113, however, we may be required to make a maximum payment up to approximately $2.921 billion for the Northstar Re-Auction Payment and SNR Re-Auction Payment. See Note 9 </w:t>
      </w:r>
      <w:r>
        <w:rPr>
          <w:rFonts w:ascii="Arial" w:cs="Arial" w:eastAsia="Arial" w:hAnsi="Arial"/>
          <w:sz w:val="17"/>
          <w:szCs w:val="17"/>
          <w:color w:val="0A0A0A"/>
        </w:rPr>
        <w:t>for definitions and further details.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99" w:hanging="7"/>
        <w:spacing w:after="0" w:line="242" w:lineRule="auto"/>
        <w:rPr>
          <w:sz w:val="20"/>
          <w:szCs w:val="20"/>
          <w:color w:val="auto"/>
        </w:rPr>
      </w:pPr>
      <w:r>
        <w:rPr>
          <w:rFonts w:ascii="Arial" w:cs="Arial" w:eastAsia="Arial" w:hAnsi="Arial"/>
          <w:sz w:val="18"/>
          <w:szCs w:val="18"/>
          <w:color w:val="auto"/>
        </w:rPr>
        <w:t xml:space="preserve">Because we do not currently have </w:t>
      </w:r>
      <w:r>
        <w:rPr>
          <w:rFonts w:ascii="Arial" w:cs="Arial" w:eastAsia="Arial" w:hAnsi="Arial"/>
          <w:sz w:val="18"/>
          <w:szCs w:val="18"/>
          <w:color w:val="222222"/>
        </w:rPr>
        <w:t>the necessary Cash on Hand and/or projected future cash flows or</w:t>
      </w:r>
      <w:r>
        <w:rPr>
          <w:rFonts w:ascii="Arial" w:cs="Arial" w:eastAsia="Arial" w:hAnsi="Arial"/>
          <w:sz w:val="18"/>
          <w:szCs w:val="18"/>
          <w:color w:val="auto"/>
        </w:rPr>
        <w:t xml:space="preserve"> committed financing to fund our obligations for at least twelve months from the issuance of these condensed consolidated financial statements, substantial doubt exists about our ability to continue as a going concern. To address our capital needs, we are in active discussions with funding sources to raise additional capital </w:t>
      </w:r>
      <w:r>
        <w:rPr>
          <w:rFonts w:ascii="Arial" w:cs="Arial" w:eastAsia="Arial" w:hAnsi="Arial"/>
          <w:sz w:val="18"/>
          <w:szCs w:val="18"/>
          <w:color w:val="222222"/>
        </w:rPr>
        <w:t>and/or restructure our</w:t>
      </w:r>
      <w:r>
        <w:rPr>
          <w:rFonts w:ascii="Arial" w:cs="Arial" w:eastAsia="Arial" w:hAnsi="Arial"/>
          <w:sz w:val="18"/>
          <w:szCs w:val="18"/>
          <w:color w:val="auto"/>
        </w:rPr>
        <w:t xml:space="preserve"> </w:t>
      </w:r>
      <w:r>
        <w:rPr>
          <w:rFonts w:ascii="Arial" w:cs="Arial" w:eastAsia="Arial" w:hAnsi="Arial"/>
          <w:sz w:val="18"/>
          <w:szCs w:val="18"/>
          <w:color w:val="222222"/>
        </w:rPr>
        <w:t>outstanding debt</w:t>
      </w:r>
      <w:r>
        <w:rPr>
          <w:rFonts w:ascii="Arial" w:cs="Arial" w:eastAsia="Arial" w:hAnsi="Arial"/>
          <w:sz w:val="18"/>
          <w:szCs w:val="18"/>
          <w:color w:val="000000"/>
        </w:rPr>
        <w:t>.</w:t>
      </w:r>
      <w:r>
        <w:rPr>
          <w:rFonts w:ascii="Arial" w:cs="Arial" w:eastAsia="Arial" w:hAnsi="Arial"/>
          <w:sz w:val="18"/>
          <w:szCs w:val="18"/>
          <w:color w:val="222222"/>
        </w:rPr>
        <w:t xml:space="preserve"> We cannot provide assurances that we will be successful in obtaining such new financing and/or restructuring the existing debt obligations necessary for us to have sufficient liquidity.</w:t>
      </w:r>
    </w:p>
    <w:p>
      <w:pPr>
        <w:spacing w:after="0" w:line="165"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222222"/>
        </w:rPr>
        <w:t xml:space="preserve">In addition, </w:t>
      </w:r>
      <w:r>
        <w:rPr>
          <w:rFonts w:ascii="Arial" w:cs="Arial" w:eastAsia="Arial" w:hAnsi="Arial"/>
          <w:sz w:val="18"/>
          <w:szCs w:val="18"/>
          <w:color w:val="000000"/>
        </w:rPr>
        <w:t>our parent, EchoStar, may not be able to provide additional liquidity in the future as substantial</w:t>
      </w:r>
      <w:r>
        <w:rPr>
          <w:rFonts w:ascii="Arial" w:cs="Arial" w:eastAsia="Arial" w:hAnsi="Arial"/>
          <w:sz w:val="18"/>
          <w:szCs w:val="18"/>
          <w:color w:val="222222"/>
        </w:rPr>
        <w:t xml:space="preserve"> </w:t>
      </w:r>
      <w:r>
        <w:rPr>
          <w:rFonts w:ascii="Arial" w:cs="Arial" w:eastAsia="Arial" w:hAnsi="Arial"/>
          <w:sz w:val="18"/>
          <w:szCs w:val="18"/>
          <w:color w:val="000000"/>
        </w:rPr>
        <w:t>doubt exists about their ability to continue as a going concern.</w:t>
      </w:r>
    </w:p>
    <w:p>
      <w:pPr>
        <w:spacing w:after="0" w:line="140" w:lineRule="exact"/>
        <w:rPr>
          <w:sz w:val="20"/>
          <w:szCs w:val="20"/>
          <w:color w:val="auto"/>
        </w:rPr>
      </w:pPr>
    </w:p>
    <w:p>
      <w:pPr>
        <w:ind w:left="60" w:right="719"/>
        <w:spacing w:after="0" w:line="301" w:lineRule="auto"/>
        <w:rPr>
          <w:sz w:val="20"/>
          <w:szCs w:val="20"/>
          <w:color w:val="auto"/>
        </w:rPr>
      </w:pPr>
      <w:r>
        <w:rPr>
          <w:rFonts w:ascii="Arial" w:cs="Arial" w:eastAsia="Arial" w:hAnsi="Arial"/>
          <w:sz w:val="17"/>
          <w:szCs w:val="17"/>
          <w:color w:val="auto"/>
        </w:rPr>
        <w:t>The condensed consolidated financial statements do not include any adjustments to the amount and classification of assets and liabilities that may be necessary should we not continue as a going concern.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currently operate two primary business segments: (1) Pay-TV; and (2) Wireless.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June 30, 2025, we had 7.108 million Pay-TV subscribers in the United States, including 5.323 million DISH TV subscribers and 1.785 million SLING TV subscribers.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w:t>
      </w:r>
    </w:p>
    <w:p>
      <w:pPr>
        <w:spacing w:after="0" w:line="196"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Our Wireless segment provides wireless communication services (“Wireless” services) and products. We currently offer our Wireless services for 5G voice over new radio (“5G VoNR”) to over 223 million Americans and for 5G broadband service to over 269 million Americans, as well as a competitive portfolio of wireless devices. We offer nationwide Wireless services to subscribers primarily under our Boost Mobile® and Gen Mobile® brands.</w:t>
      </w:r>
    </w:p>
    <w:p>
      <w:pPr>
        <w:spacing w:after="0" w:line="14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currently operating primarily as a mobile virtual network operator (“MVNO”) as we continue to commercialize our Wireless spectrum licenses through the completion of the nation’s first cloud-native, Open Radio Access Network (“O-RAN”) based 5G VoNR and broadband network (our “5G Network”) and grow customer traffic on our 5G Network. We are transitioning to a mobile network operator (“MNO”) as our 5G Network has become commercially available and we grow customer traffic on our 5G Network. We are currently activating Boost Mobile subscribers with compatible devices onto our 5G Network in markets where we have reached 5G VoNR. We currently offer a broad range of premium wireless devices on our 5G Network, including the Apple iPhone 15 and newer generation iPhones, as well as a wide selection of Samsung, Motorola and other premium devices. We have deployed 5G VoNR covering over 223 million Americans.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Within our MVNO operations, today we depend in part on T-Mobile and AT&amp;T to provide us with network services under the amended Master Network Services Agreement (“MNSA”) and Network Services Agreement (the “NSA”), respectively. As of June 30, 2025, we had 7.357 million Wireless subscribers.</w:t>
      </w:r>
    </w:p>
    <w:p>
      <w:pPr>
        <w:spacing w:after="0" w:line="15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Wireless Spectrum License Exchange and the Sale and Transfer of Assets to EchoStar. We currently have $24 billion of investments related to Wireless spectrum licenses, which does not include $7 billion of capitalized interest related to the carrying value of such licenses. See Note 2, Note 9 and Note 12 for further information. We continue to commercialize our Wireless spectrum licenses through the completion of our 5G Network. We have committed to the FCC to deploy a facilities-based 5G broadband network capable of serving increasingly larger portions of the U.S. population at different deadlines.</w:t>
      </w:r>
    </w:p>
    <w:p>
      <w:pPr>
        <w:spacing w:after="0" w:line="171"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9 for further information.</w:t>
      </w:r>
    </w:p>
    <w:p>
      <w:pPr>
        <w:spacing w:after="0" w:line="165"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In September 2024, the FCC conditionally granted our requests to extend the 5G deployment deadlines for certain of our Wireless spectrum licenses based on several commitments and in a January 10, 2025 filing to the FCC, we certified to meeting the accelerated build-out (Commitments #2 and #3 of the Extension Request) and the nationwide 80% coverage obligations (Commitment #1 of the Extension Request) due by December 31, 2024. Thus, pursuant to the Extension Request, the final deployment deadlines for the licenses subject to the Extension Request (listed in Appendix G) shall be extended to December 14, 2026. 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as long as we satisfy the remaining Extension Request commitments. See Note 9 </w:t>
      </w:r>
      <w:r>
        <w:rPr>
          <w:rFonts w:ascii="Arial" w:cs="Arial" w:eastAsia="Arial" w:hAnsi="Arial"/>
          <w:sz w:val="18"/>
          <w:szCs w:val="18"/>
          <w:color w:val="0A0A0A"/>
        </w:rPr>
        <w:t>for definitions and further details.</w:t>
      </w:r>
      <w:r>
        <w:rPr>
          <w:rFonts w:ascii="Arial" w:cs="Arial" w:eastAsia="Arial" w:hAnsi="Arial"/>
          <w:sz w:val="18"/>
          <w:szCs w:val="18"/>
          <w:color w:val="auto"/>
        </w:rPr>
        <w:t xml:space="preserve"> </w:t>
      </w:r>
      <w:r>
        <w:rPr>
          <w:rFonts w:ascii="Arial" w:cs="Arial" w:eastAsia="Arial" w:hAnsi="Arial"/>
          <w:sz w:val="18"/>
          <w:szCs w:val="18"/>
          <w:color w:val="0A0A0A"/>
        </w:rPr>
        <w:t xml:space="preserve">Also </w:t>
      </w:r>
      <w:r>
        <w:rPr>
          <w:rFonts w:ascii="Arial" w:cs="Arial" w:eastAsia="Arial" w:hAnsi="Arial"/>
          <w:sz w:val="18"/>
          <w:szCs w:val="18"/>
          <w:color w:val="000000"/>
        </w:rPr>
        <w:t>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 additional information.</w:t>
      </w:r>
    </w:p>
    <w:p>
      <w:pPr>
        <w:spacing w:after="0" w:line="169" w:lineRule="exact"/>
        <w:rPr>
          <w:sz w:val="20"/>
          <w:szCs w:val="20"/>
          <w:color w:val="auto"/>
        </w:rPr>
      </w:pPr>
    </w:p>
    <w:p>
      <w:pPr>
        <w:ind w:left="60" w:right="99" w:hanging="7"/>
        <w:spacing w:after="0" w:line="254" w:lineRule="auto"/>
        <w:rPr>
          <w:sz w:val="20"/>
          <w:szCs w:val="20"/>
          <w:color w:val="auto"/>
        </w:rPr>
      </w:pPr>
      <w:r>
        <w:rPr>
          <w:rFonts w:ascii="Arial" w:cs="Arial" w:eastAsia="Arial" w:hAnsi="Arial"/>
          <w:sz w:val="17"/>
          <w:szCs w:val="17"/>
          <w:color w:val="auto"/>
        </w:rPr>
        <w:t>We will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will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700" w:hanging="650"/>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2024. Certain prior period amounts have been reclassified to conform to the current period presentation.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variable interest entities (“VIEs”) where we have been determined to be the primary beneficiary. The portion of equity in a subsidiary not attributable, directly or indirectly, to us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96"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 xml:space="preserve">SNR Wireless. </w:t>
      </w:r>
      <w:r>
        <w:rPr>
          <w:rFonts w:ascii="Arial" w:cs="Arial" w:eastAsia="Arial" w:hAnsi="Arial"/>
          <w:sz w:val="18"/>
          <w:szCs w:val="18"/>
          <w:color w:val="auto"/>
        </w:rPr>
        <w:t>SNR Wireless LicenseCo, LLC (“SNR Wireless”) is a wholly-owned subsidiary of SNR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HoldCo, LLC (“SNR HoldCo”), which is an entity owned by us and our parent’s direct wholly-owned subsidiary, EchoStar SNR Holdco L.L.C. and, prior to February 16, 2024, by us and SNR Wireless Management, LLC (“SNR Management”). On February 16, 2024, the FCC consented to the sale of SNR Management’s ownership interests in SNR HoldCo, which was purchased by EchoStar SNR HoldCo L.L.C. for a total of approximately $442 million. This purchase resulted in the conversion of our outstanding redeemable noncontrolling interest as it related to SNR HoldCo to noncontrolling interest, which is now held by our parent, EchoStar, as of the purchase date and we continue to consolidate the SNR Entities into our financial statements.</w:t>
      </w:r>
    </w:p>
    <w:p>
      <w:pPr>
        <w:spacing w:after="0" w:line="167"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fair value of options granted under EchoStar’s stock-based compensation plans, fair value of assets and liabilities acquired in business combinations,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9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substantially all activities related to the project are suspended.</w:t>
      </w:r>
    </w:p>
    <w:p>
      <w:pPr>
        <w:spacing w:after="0" w:line="163"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color w:val="auto"/>
        </w:rPr>
        <w:t>We are currently commercializing our 5G Network. As a result, the interest expense is being capitalized based on the carrying amount of the 5G Network qualifying assets and the capitalization rate applied to those assets. As the qualifying assets, including markets within certain bands of wireless spectrum licenses, have been placed into service with the deployment of our 5G Network, we no longer capitalize interest on those assets.</w:t>
      </w:r>
    </w:p>
    <w:p>
      <w:pPr>
        <w:spacing w:after="0" w:line="160" w:lineRule="exact"/>
        <w:rPr>
          <w:sz w:val="20"/>
          <w:szCs w:val="20"/>
          <w:color w:val="auto"/>
        </w:rPr>
      </w:pPr>
    </w:p>
    <w:p>
      <w:pPr>
        <w:ind w:left="60" w:right="279" w:hanging="7"/>
        <w:spacing w:after="0"/>
        <w:rPr>
          <w:sz w:val="20"/>
          <w:szCs w:val="20"/>
          <w:color w:val="auto"/>
        </w:rPr>
      </w:pPr>
      <w:r>
        <w:rPr>
          <w:rFonts w:ascii="Arial" w:cs="Arial" w:eastAsia="Arial" w:hAnsi="Arial"/>
          <w:sz w:val="18"/>
          <w:szCs w:val="18"/>
          <w:color w:val="auto"/>
        </w:rPr>
        <w:t xml:space="preserve">Capitalized interest totaled $245 million and $230 million for the three months ended June 30, 2025 and 2024, respectively, and $513 million and $452 million for the six months ended </w:t>
      </w:r>
      <w:r>
        <w:rPr>
          <w:rFonts w:ascii="Arial" w:cs="Arial" w:eastAsia="Arial" w:hAnsi="Arial"/>
          <w:sz w:val="18"/>
          <w:szCs w:val="18"/>
          <w:color w:val="222222"/>
        </w:rPr>
        <w:t>June 30, 2025</w:t>
      </w:r>
      <w:r>
        <w:rPr>
          <w:rFonts w:ascii="Arial" w:cs="Arial" w:eastAsia="Arial" w:hAnsi="Arial"/>
          <w:sz w:val="18"/>
          <w:szCs w:val="18"/>
          <w:color w:val="auto"/>
        </w:rPr>
        <w:t xml:space="preserve"> and 2024, respectively, which reduced “Interest expense, net of amounts capitalized” on our Condensed Consolidated Statements of Operations and Comprehensive Income (Loss). The carrying amount of the 5G Network qualifying assets remained consistent during the three and six months ended June 30, 2025 and 2024. The change in capitalized interest primarily resulted from the increase in the capitalization rate as a result of our financing transactions during the third and fourth quarters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720" w:right="359" w:hanging="319"/>
        <w:spacing w:after="0" w:line="234"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720" w:right="239" w:hanging="319"/>
        <w:spacing w:after="0" w:line="242"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65"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As of June 30, 2025 and December 31, 2024,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spacing w:after="0" w:line="160"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4 for the fair value of our marketable investment securities and derivative instruments.</w:t>
      </w:r>
    </w:p>
    <w:p>
      <w:pPr>
        <w:spacing w:after="0" w:line="15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Furthermore, for any sale of a financial asset in a transaction among entities under common control the difference between the net carrying value and the fair value of the assets sold, if any, is recorded as a gain or loss on the sale of the financial asset in “Other, net” within “Other Income (Expense)” on our Condensed Consolidated Statements of Operations and Comprehensive Income (Loss).</w:t>
      </w:r>
    </w:p>
    <w:p>
      <w:pPr>
        <w:spacing w:after="0" w:line="16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8 for the fair value of our debt.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196"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 xml:space="preserve">We recognize advertising expense when incurred as a component of “Selling, general and administrative expenses” on our Condensed Consolidated Statements of Operations and Comprehensive Income (Loss). Advertising expenses totaled $183 million and $126 million for the three months ended June 30, 2025 and 2024, respectively. Advertising expenses totaled $356 million and $249 million for the six months ended </w:t>
      </w:r>
      <w:r>
        <w:rPr>
          <w:rFonts w:ascii="Arial" w:cs="Arial" w:eastAsia="Arial" w:hAnsi="Arial"/>
          <w:sz w:val="18"/>
          <w:szCs w:val="18"/>
          <w:color w:val="222222"/>
        </w:rPr>
        <w:t>June 30, 2025</w:t>
      </w:r>
      <w:r>
        <w:rPr>
          <w:rFonts w:ascii="Arial" w:cs="Arial" w:eastAsia="Arial" w:hAnsi="Arial"/>
          <w:sz w:val="18"/>
          <w:szCs w:val="18"/>
          <w:color w:val="auto"/>
        </w:rPr>
        <w:t xml:space="preserve"> and 2024,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 xml:space="preserve">Research and development costs, not incurred in connection with customer requirements, are expensed as incurred and are included as a component of “Selling, general and administrative expenses” on our Condensed Consolidated Statements of Operations and Comprehensive Income (Loss). Research and development costs totaled $6 million and $7 million for the three months ended June 30, 2025 and 2024, respectively. Research and development costs totaled $13 million and $14 million for the six months ended </w:t>
      </w:r>
      <w:r>
        <w:rPr>
          <w:rFonts w:ascii="Arial" w:cs="Arial" w:eastAsia="Arial" w:hAnsi="Arial"/>
          <w:sz w:val="18"/>
          <w:szCs w:val="18"/>
          <w:color w:val="222222"/>
        </w:rPr>
        <w:t>June 30, 2025</w:t>
      </w:r>
      <w:r>
        <w:rPr>
          <w:rFonts w:ascii="Arial" w:cs="Arial" w:eastAsia="Arial" w:hAnsi="Arial"/>
          <w:sz w:val="18"/>
          <w:szCs w:val="18"/>
          <w:color w:val="auto"/>
        </w:rPr>
        <w:t xml:space="preserve"> and 2024,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196"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On December 14, 2023, the FASB issued ASU 2023-9,</w:t>
      </w:r>
      <w:r>
        <w:rPr>
          <w:rFonts w:ascii="Arial" w:cs="Arial" w:eastAsia="Arial" w:hAnsi="Arial"/>
          <w:sz w:val="17"/>
          <w:szCs w:val="17"/>
          <w:i w:val="1"/>
          <w:iCs w:val="1"/>
          <w:color w:val="auto"/>
        </w:rPr>
        <w:t xml:space="preserve"> Income Taxes (Topic 740)</w:t>
      </w:r>
      <w:r>
        <w:rPr>
          <w:rFonts w:ascii="Arial" w:cs="Arial" w:eastAsia="Arial" w:hAnsi="Arial"/>
          <w:sz w:val="17"/>
          <w:szCs w:val="17"/>
          <w:color w:val="auto"/>
        </w:rPr>
        <w:t>:</w:t>
      </w:r>
      <w:r>
        <w:rPr>
          <w:rFonts w:ascii="Arial" w:cs="Arial" w:eastAsia="Arial" w:hAnsi="Arial"/>
          <w:sz w:val="17"/>
          <w:szCs w:val="17"/>
          <w:i w:val="1"/>
          <w:iCs w:val="1"/>
          <w:color w:val="auto"/>
        </w:rPr>
        <w:t xml:space="preserve"> Improvements to Income Tax Disclosures </w:t>
      </w:r>
      <w:r>
        <w:rPr>
          <w:rFonts w:ascii="Arial" w:cs="Arial" w:eastAsia="Arial" w:hAnsi="Arial"/>
          <w:sz w:val="17"/>
          <w:szCs w:val="17"/>
          <w:color w:val="auto"/>
        </w:rPr>
        <w:t>(“ASU 2023-09”), which will enhance income tax disclosures. ASU 2023-09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items disaggregated information in a reporting entity’s rate reconciliation table, clarification on uncertain tax positions and the related financial statement impact as well as information on income taxes paid on a disaggregated basis. This standard is effective for fiscal years beginning after December 15, 2024. We plan to adopt the standard when it becomes effective for us beginning in our fiscal year 2025 annual financial statements, and the adoption of the standard will impact certain of our income tax disclosures.</w:t>
      </w:r>
    </w:p>
    <w:p>
      <w:pPr>
        <w:spacing w:after="0" w:line="155"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On November 5, 2024, the FASB issued ASU 2024-03,</w:t>
      </w:r>
      <w:r>
        <w:rPr>
          <w:rFonts w:ascii="Arial" w:cs="Arial" w:eastAsia="Arial" w:hAnsi="Arial"/>
          <w:sz w:val="18"/>
          <w:szCs w:val="18"/>
          <w:i w:val="1"/>
          <w:iCs w:val="1"/>
          <w:color w:val="auto"/>
        </w:rPr>
        <w:t xml:space="preserve"> Income Statement – Reporting Comprehensive Income – Expense Disaggregation Disclosures (Subtopic 220-40) </w:t>
      </w:r>
      <w:r>
        <w:rPr>
          <w:rFonts w:ascii="Arial" w:cs="Arial" w:eastAsia="Arial" w:hAnsi="Arial"/>
          <w:sz w:val="18"/>
          <w:szCs w:val="18"/>
          <w:color w:val="auto"/>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Data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Statements of Cash Flows</w:t>
      </w:r>
    </w:p>
    <w:p>
      <w:pPr>
        <w:spacing w:after="0" w:line="198" w:lineRule="exact"/>
        <w:rPr>
          <w:sz w:val="20"/>
          <w:szCs w:val="20"/>
          <w:color w:val="auto"/>
        </w:rPr>
      </w:pPr>
    </w:p>
    <w:p>
      <w:pPr>
        <w:ind w:left="60" w:right="1079"/>
        <w:spacing w:after="0" w:line="254" w:lineRule="auto"/>
        <w:rPr>
          <w:sz w:val="20"/>
          <w:szCs w:val="20"/>
          <w:color w:val="auto"/>
        </w:rPr>
      </w:pPr>
      <w:r>
        <w:rPr>
          <w:rFonts w:ascii="Arial" w:cs="Arial" w:eastAsia="Arial" w:hAnsi="Arial"/>
          <w:sz w:val="18"/>
          <w:szCs w:val="18"/>
          <w:color w:val="auto"/>
        </w:rPr>
        <w:t>The following table presents certain supplemental cash flow and other non-cash data. See Note 7 for supplemental cash flow and non-cash data related to leases.</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For the Six Months Ended</w:t>
      </w:r>
    </w:p>
    <w:p>
      <w:pPr>
        <w:spacing w:after="0" w:line="5" w:lineRule="exact"/>
        <w:rPr>
          <w:sz w:val="20"/>
          <w:szCs w:val="20"/>
          <w:color w:val="auto"/>
        </w:rPr>
      </w:pPr>
    </w:p>
    <w:p>
      <w:pPr>
        <w:jc w:val="center"/>
        <w:ind w:left="634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169"/>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659"/>
              <w:spacing w:after="0" w:line="169"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 (including capitalized interest)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641,535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629,947</w:t>
            </w:r>
          </w:p>
        </w:tc>
        <w:tc>
          <w:tcPr>
            <w:tcW w:w="20" w:type="dxa"/>
            <w:vAlign w:val="bottom"/>
          </w:tcPr>
          <w:p>
            <w:pPr>
              <w:spacing w:after="0"/>
              <w:rPr>
                <w:sz w:val="16"/>
                <w:szCs w:val="16"/>
                <w:color w:val="auto"/>
              </w:rPr>
            </w:pPr>
          </w:p>
        </w:tc>
      </w:tr>
      <w:tr>
        <w:trPr>
          <w:trHeight w:val="189"/>
        </w:trPr>
        <w:tc>
          <w:tcPr>
            <w:tcW w:w="6360" w:type="dxa"/>
            <w:vAlign w:val="bottom"/>
          </w:tcPr>
          <w:p>
            <w:pPr>
              <w:ind w:left="20"/>
              <w:spacing w:after="0"/>
              <w:rPr>
                <w:sz w:val="20"/>
                <w:szCs w:val="20"/>
                <w:color w:val="auto"/>
              </w:rPr>
            </w:pPr>
            <w:r>
              <w:rPr>
                <w:rFonts w:ascii="Arial" w:cs="Arial" w:eastAsia="Arial" w:hAnsi="Arial"/>
                <w:sz w:val="16"/>
                <w:szCs w:val="16"/>
                <w:color w:val="auto"/>
              </w:rPr>
              <w:t>Cash paid for interest on the DISH 2021 Intercompany Loan 2026 Tranche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131,100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64,582</w:t>
            </w:r>
          </w:p>
        </w:tc>
        <w:tc>
          <w:tcPr>
            <w:tcW w:w="20" w:type="dxa"/>
            <w:vAlign w:val="bottom"/>
          </w:tcPr>
          <w:p>
            <w:pPr>
              <w:spacing w:after="0"/>
              <w:rPr>
                <w:sz w:val="16"/>
                <w:szCs w:val="16"/>
                <w:color w:val="auto"/>
              </w:rPr>
            </w:pP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(26,520)</w:t>
            </w:r>
          </w:p>
        </w:tc>
        <w:tc>
          <w:tcPr>
            <w:tcW w:w="20" w:type="dxa"/>
            <w:vAlign w:val="bottom"/>
          </w:tcPr>
          <w:p>
            <w:pPr>
              <w:spacing w:after="0"/>
              <w:rPr>
                <w:sz w:val="16"/>
                <w:szCs w:val="16"/>
                <w:color w:val="auto"/>
              </w:rPr>
            </w:pPr>
          </w:p>
        </w:tc>
      </w:tr>
      <w:tr>
        <w:trPr>
          <w:trHeight w:val="189"/>
        </w:trPr>
        <w:tc>
          <w:tcPr>
            <w:tcW w:w="6360" w:type="dxa"/>
            <w:vAlign w:val="bottom"/>
          </w:tcPr>
          <w:p>
            <w:pPr>
              <w:ind w:left="20"/>
              <w:spacing w:after="0"/>
              <w:rPr>
                <w:sz w:val="20"/>
                <w:szCs w:val="20"/>
                <w:color w:val="auto"/>
              </w:rPr>
            </w:pPr>
            <w:r>
              <w:rPr>
                <w:rFonts w:ascii="Arial" w:cs="Arial" w:eastAsia="Arial" w:hAnsi="Arial"/>
                <w:sz w:val="16"/>
                <w:szCs w:val="16"/>
                <w:color w:val="auto"/>
              </w:rPr>
              <w:t>Total capitalized interest (1)</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512,851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451,887</w:t>
            </w:r>
          </w:p>
        </w:tc>
        <w:tc>
          <w:tcPr>
            <w:tcW w:w="20" w:type="dxa"/>
            <w:vAlign w:val="bottom"/>
          </w:tcPr>
          <w:p>
            <w:pPr>
              <w:spacing w:after="0"/>
              <w:rPr>
                <w:sz w:val="16"/>
                <w:szCs w:val="16"/>
                <w:color w:val="auto"/>
              </w:rPr>
            </w:pP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capital expenditures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109,719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142,568</w:t>
            </w:r>
          </w:p>
        </w:tc>
        <w:tc>
          <w:tcPr>
            <w:tcW w:w="20" w:type="dxa"/>
            <w:vAlign w:val="bottom"/>
          </w:tcPr>
          <w:p>
            <w:pPr>
              <w:spacing w:after="0"/>
              <w:rPr>
                <w:sz w:val="16"/>
                <w:szCs w:val="16"/>
                <w:color w:val="auto"/>
              </w:rPr>
            </w:pPr>
          </w:p>
        </w:tc>
      </w:tr>
      <w:tr>
        <w:trPr>
          <w:trHeight w:val="189"/>
        </w:trPr>
        <w:tc>
          <w:tcPr>
            <w:tcW w:w="6360" w:type="dxa"/>
            <w:vAlign w:val="bottom"/>
          </w:tcPr>
          <w:p>
            <w:pPr>
              <w:ind w:left="20"/>
              <w:spacing w:after="0"/>
              <w:rPr>
                <w:sz w:val="20"/>
                <w:szCs w:val="20"/>
                <w:color w:val="auto"/>
              </w:rPr>
            </w:pPr>
            <w:r>
              <w:rPr>
                <w:rFonts w:ascii="Arial" w:cs="Arial" w:eastAsia="Arial" w:hAnsi="Arial"/>
                <w:sz w:val="16"/>
                <w:szCs w:val="16"/>
                <w:color w:val="auto"/>
              </w:rPr>
              <w:t>Asset retirement obligation</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8,959</w:t>
            </w:r>
          </w:p>
        </w:tc>
        <w:tc>
          <w:tcPr>
            <w:tcW w:w="20" w:type="dxa"/>
            <w:vAlign w:val="bottom"/>
          </w:tcPr>
          <w:p>
            <w:pPr>
              <w:spacing w:after="0"/>
              <w:rPr>
                <w:sz w:val="16"/>
                <w:szCs w:val="16"/>
                <w:color w:val="auto"/>
              </w:rPr>
            </w:pP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 Spectrum License Exchange, net of deferred taxes of $50,456 (2)</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267,465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89"/>
        </w:trPr>
        <w:tc>
          <w:tcPr>
            <w:tcW w:w="6360" w:type="dxa"/>
            <w:vAlign w:val="bottom"/>
          </w:tcPr>
          <w:p>
            <w:pPr>
              <w:ind w:left="20"/>
              <w:spacing w:after="0"/>
              <w:rPr>
                <w:sz w:val="20"/>
                <w:szCs w:val="20"/>
                <w:color w:val="auto"/>
              </w:rPr>
            </w:pPr>
            <w:r>
              <w:rPr>
                <w:rFonts w:ascii="Arial" w:cs="Arial" w:eastAsia="Arial" w:hAnsi="Arial"/>
                <w:sz w:val="16"/>
                <w:szCs w:val="16"/>
                <w:color w:val="auto"/>
              </w:rPr>
              <w:t>Asset Transfer to EchoStar, including deferred taxes of $3,775,370</w:t>
            </w:r>
          </w:p>
        </w:tc>
        <w:tc>
          <w:tcPr>
            <w:tcW w:w="26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15,778,363</w:t>
            </w:r>
          </w:p>
        </w:tc>
        <w:tc>
          <w:tcPr>
            <w:tcW w:w="20" w:type="dxa"/>
            <w:vAlign w:val="bottom"/>
          </w:tcPr>
          <w:p>
            <w:pPr>
              <w:spacing w:after="0"/>
              <w:rPr>
                <w:sz w:val="16"/>
                <w:szCs w:val="16"/>
                <w:color w:val="auto"/>
              </w:rPr>
            </w:pPr>
          </w:p>
        </w:tc>
      </w:tr>
      <w:tr>
        <w:trPr>
          <w:trHeight w:val="175"/>
        </w:trPr>
        <w:tc>
          <w:tcPr>
            <w:tcW w:w="63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Conversion of outstanding redeemable noncontrolling interest in SNR HoldCo to</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441,998</w:t>
            </w:r>
          </w:p>
        </w:tc>
        <w:tc>
          <w:tcPr>
            <w:tcW w:w="20" w:type="dxa"/>
            <w:vAlign w:val="bottom"/>
          </w:tcPr>
          <w:p>
            <w:pPr>
              <w:spacing w:after="0"/>
              <w:rPr>
                <w:sz w:val="17"/>
                <w:szCs w:val="17"/>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Orbital II Transfer from EchoStar</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140,510</w:t>
            </w:r>
          </w:p>
        </w:tc>
        <w:tc>
          <w:tcPr>
            <w:tcW w:w="20" w:type="dxa"/>
            <w:vAlign w:val="bottom"/>
          </w:tcPr>
          <w:p>
            <w:pPr>
              <w:spacing w:after="0"/>
              <w:rPr>
                <w:sz w:val="18"/>
                <w:szCs w:val="18"/>
                <w:color w:val="auto"/>
              </w:rPr>
            </w:pPr>
          </w:p>
        </w:tc>
      </w:tr>
    </w:tbl>
    <w:p>
      <w:pPr>
        <w:spacing w:after="0" w:line="158"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9 for further information.</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Beginning in 2024, DISH Network and its domestic subsidiaries join with EchoStar in filing U.S. consolidated federal income tax returns and, in some states, combined or consolidated returns. The income taxes of domestic and foreign subsidiaries not included in the United States tax group are presented in our consolidated financial statements on a separate return basis for each tax paying entity. The federal and state income tax provisions or benefits recorded by DISH Network are generally those that would have been recorded if DISH Network and its domestic subsidiaries had filed returns as a consolidated group independent of EchoStar. Cash is due and paid to EchoStar based on amounts that would be payable based on DISH Network consolidated or combined group filings. During the three and six months ended June 30, 2025 and 2024, no payments were made to EchoStar for income taxes.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700" w:hanging="650"/>
        <w:spacing w:after="0"/>
        <w:tabs>
          <w:tab w:leader="none" w:pos="7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Investment Securities, Restricted Cash and Cash Equivalents, and Other Investments</w:t>
      </w:r>
    </w:p>
    <w:p>
      <w:pPr>
        <w:spacing w:after="0" w:line="210"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As of</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right"/>
              <w:ind w:right="879"/>
              <w:spacing w:after="0" w:line="169"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Marketable investment securities:</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Current marketable investment securities: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Strategic - available-for-sale</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tcPr>
          <w:p>
            <w:pPr>
              <w:ind w:left="160"/>
              <w:spacing w:after="0"/>
              <w:rPr>
                <w:sz w:val="20"/>
                <w:szCs w:val="20"/>
                <w:color w:val="auto"/>
              </w:rPr>
            </w:pPr>
            <w:r>
              <w:rPr>
                <w:rFonts w:ascii="Arial" w:cs="Arial" w:eastAsia="Arial" w:hAnsi="Arial"/>
                <w:sz w:val="16"/>
                <w:szCs w:val="16"/>
                <w:color w:val="auto"/>
              </w:rPr>
              <w:t>Strategic - trading/equity</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83"/>
        </w:trPr>
        <w:tc>
          <w:tcPr>
            <w:tcW w:w="546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61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Restricted marketable investment securities (1)</w:t>
            </w:r>
          </w:p>
        </w:tc>
        <w:tc>
          <w:tcPr>
            <w:tcW w:w="5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52,375</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52,436</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24,168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b w:val="1"/>
                <w:bCs w:val="1"/>
                <w:color w:val="auto"/>
              </w:rPr>
              <w:t>Restricted cash and cash equivalents (1)</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262,377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254,714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b w:val="1"/>
                <w:bCs w:val="1"/>
                <w:color w:val="auto"/>
              </w:rPr>
              <w:t>Other investments, net:</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investments</w:t>
            </w:r>
          </w:p>
        </w:tc>
        <w:tc>
          <w:tcPr>
            <w:tcW w:w="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3,087</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other investments, net</w:t>
            </w:r>
          </w:p>
        </w:tc>
        <w:tc>
          <w:tcPr>
            <w:tcW w:w="5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23,102</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35,483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4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337,915</w:t>
            </w:r>
          </w:p>
        </w:tc>
        <w:tc>
          <w:tcPr>
            <w:tcW w:w="3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314,365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equivalents, and other investments, net</w:t>
            </w:r>
          </w:p>
        </w:tc>
        <w:tc>
          <w:tcPr>
            <w:tcW w:w="720" w:type="dxa"/>
            <w:vAlign w:val="bottom"/>
            <w:gridSpan w:val="2"/>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right="119" w:hanging="330"/>
        <w:spacing w:after="0" w:line="24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“Current restricted cash, cash equivalents and marketable investment securities” and “Restricted cash, cash equivalents and marketable investment securities” on our Condensed Consolidated Balance Sheets and discussed below.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w:t>
      </w:r>
    </w:p>
    <w:p>
      <w:pPr>
        <w:spacing w:after="0" w:line="160" w:lineRule="exact"/>
        <w:rPr>
          <w:sz w:val="20"/>
          <w:szCs w:val="20"/>
          <w:color w:val="auto"/>
        </w:rPr>
      </w:pPr>
    </w:p>
    <w:p>
      <w:pPr>
        <w:ind w:left="60" w:right="219" w:hanging="7"/>
        <w:spacing w:after="0" w:line="259" w:lineRule="auto"/>
        <w:rPr>
          <w:sz w:val="20"/>
          <w:szCs w:val="20"/>
          <w:color w:val="auto"/>
        </w:rPr>
      </w:pPr>
      <w:r>
        <w:rPr>
          <w:rFonts w:ascii="Arial" w:cs="Arial" w:eastAsia="Arial" w:hAnsi="Arial"/>
          <w:sz w:val="17"/>
          <w:szCs w:val="17"/>
          <w:color w:val="auto"/>
        </w:rPr>
        <w:t>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Current Marketable Investment Securities </w:t>
      </w:r>
      <w:r>
        <w:rPr>
          <w:rFonts w:ascii="Arial" w:cs="Arial" w:eastAsia="Arial" w:hAnsi="Arial"/>
          <w:sz w:val="18"/>
          <w:szCs w:val="18"/>
          <w:color w:val="auto"/>
        </w:rPr>
        <w:t>–</w:t>
      </w:r>
      <w:r>
        <w:rPr>
          <w:rFonts w:ascii="Arial" w:cs="Arial" w:eastAsia="Arial" w:hAnsi="Arial"/>
          <w:sz w:val="18"/>
          <w:szCs w:val="18"/>
          <w:i w:val="1"/>
          <w:iCs w:val="1"/>
          <w:color w:val="auto"/>
        </w:rPr>
        <w:t xml:space="preserve"> Strategic</w:t>
      </w:r>
    </w:p>
    <w:p>
      <w:pPr>
        <w:spacing w:after="0" w:line="198"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June 30, 2025,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w:t>
      </w:r>
    </w:p>
    <w:p>
      <w:pPr>
        <w:spacing w:after="0" w:line="15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As of June 30, 2025 and December 31, 2024, our restricted marketable investment securities, together with our restricted cash and cash equivalents, included amounts required as collateral for our letters of credit, surety bonds and trusts.</w:t>
      </w:r>
    </w:p>
    <w:p>
      <w:pPr>
        <w:spacing w:after="0" w:line="155" w:lineRule="exact"/>
        <w:rPr>
          <w:sz w:val="20"/>
          <w:szCs w:val="20"/>
          <w:color w:val="auto"/>
        </w:rPr>
      </w:pPr>
    </w:p>
    <w:p>
      <w:pPr>
        <w:ind w:left="60" w:right="259"/>
        <w:spacing w:after="0"/>
        <w:rPr>
          <w:sz w:val="20"/>
          <w:szCs w:val="20"/>
          <w:color w:val="auto"/>
        </w:rPr>
      </w:pPr>
      <w:r>
        <w:rPr>
          <w:rFonts w:ascii="Arial" w:cs="Arial" w:eastAsia="Arial" w:hAnsi="Arial"/>
          <w:sz w:val="18"/>
          <w:szCs w:val="18"/>
          <w:i w:val="1"/>
          <w:iCs w:val="1"/>
          <w:color w:val="auto"/>
        </w:rPr>
        <w:t xml:space="preserve">Current restricted cash, cash equivalents and marketable investment securities. </w:t>
      </w:r>
      <w:r>
        <w:rPr>
          <w:rFonts w:ascii="Arial" w:cs="Arial" w:eastAsia="Arial" w:hAnsi="Arial"/>
          <w:sz w:val="18"/>
          <w:szCs w:val="18"/>
          <w:color w:val="auto"/>
        </w:rPr>
        <w:t>As of June 30, 2025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we had $184 million and $151 million, respectively, included in “Current restricted cash, cash equivalents and marketable investment securities” on our Condensed Consolidated Balance Sheets that primarily consists of funds received by our subsidiary, DISH DBS Issuer LLC (“DBS SubscriberCo”), from subscriber payments and certain other revenue, which are required to be restricted per the terms of the debt issued by DBS SubscriberCo. DBS SubscriberCo holds certain DISH TV subscribers and their related subscription and equipment agreements which collateralizes certain debt obligations.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60" w:right="419"/>
        <w:spacing w:after="0" w:line="259" w:lineRule="auto"/>
        <w:rPr>
          <w:sz w:val="20"/>
          <w:szCs w:val="20"/>
          <w:color w:val="auto"/>
        </w:rPr>
      </w:pPr>
      <w:r>
        <w:rPr>
          <w:rFonts w:ascii="Arial" w:cs="Arial" w:eastAsia="Arial" w:hAnsi="Arial"/>
          <w:sz w:val="17"/>
          <w:szCs w:val="17"/>
          <w:color w:val="auto"/>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52"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We own a 35% interest in Invidi Technologies Corporation (“Invidi”), an entity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spacing w:after="0" w:line="163"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38"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As of</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3"/>
                <w:szCs w:val="13"/>
                <w:b w:val="1"/>
                <w:bCs w:val="1"/>
                <w:color w:val="auto"/>
              </w:rPr>
              <w:t>June 30, 2025</w:t>
            </w: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ind w:right="77"/>
              <w:spacing w:after="0" w:line="135" w:lineRule="exact"/>
              <w:rPr>
                <w:sz w:val="20"/>
                <w:szCs w:val="20"/>
                <w:color w:val="auto"/>
              </w:rPr>
            </w:pPr>
            <w:r>
              <w:rPr>
                <w:rFonts w:ascii="Arial" w:cs="Arial" w:eastAsia="Arial" w:hAnsi="Arial"/>
                <w:sz w:val="13"/>
                <w:szCs w:val="13"/>
                <w:b w:val="1"/>
                <w:bCs w:val="1"/>
                <w:color w:val="auto"/>
                <w:w w:val="97"/>
              </w:rPr>
              <w:t>December 31, 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9"/>
              </w:rPr>
              <w:t>Level 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9"/>
              </w:rPr>
              <w:t>Level 1</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and cash equivalents (including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4"/>
          </w:tcPr>
          <w:p>
            <w:pPr>
              <w:jc w:val="right"/>
              <w:ind w:right="377"/>
              <w:spacing w:after="0"/>
              <w:rPr>
                <w:sz w:val="20"/>
                <w:szCs w:val="20"/>
                <w:color w:val="auto"/>
              </w:rPr>
            </w:pPr>
            <w:r>
              <w:rPr>
                <w:rFonts w:ascii="Arial" w:cs="Arial" w:eastAsia="Arial" w:hAnsi="Arial"/>
                <w:sz w:val="13"/>
                <w:szCs w:val="13"/>
                <w:color w:val="auto"/>
              </w:rPr>
              <w:t>(In thousands)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440" w:type="dxa"/>
            <w:vAlign w:val="bottom"/>
            <w:gridSpan w:val="2"/>
          </w:tcPr>
          <w:p>
            <w:pPr>
              <w:spacing w:after="0"/>
              <w:rPr>
                <w:sz w:val="20"/>
                <w:szCs w:val="20"/>
                <w:color w:val="auto"/>
              </w:rPr>
            </w:pPr>
            <w:r>
              <w:rPr>
                <w:rFonts w:ascii="Arial" w:cs="Arial" w:eastAsia="Arial" w:hAnsi="Arial"/>
                <w:sz w:val="13"/>
                <w:szCs w:val="13"/>
                <w:b w:val="1"/>
                <w:bCs w:val="1"/>
                <w:color w:val="auto"/>
              </w:rPr>
              <w:t>restricted):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Cash</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445,874</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84"/>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445,874</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468,799</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468,799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3"/>
                <w:szCs w:val="13"/>
                <w:color w:val="auto"/>
              </w:rPr>
              <w:t>Cash equivalents</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175,768</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471,056</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646,824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221,083</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40,907</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7"/>
              </w:rPr>
              <w:t>261,990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621,642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471,056</w:t>
            </w: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1,092,698</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689,882</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40,907</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730,789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Debt securities (including restricted):</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80"/>
              <w:spacing w:after="0" w:line="135" w:lineRule="exact"/>
              <w:rPr>
                <w:sz w:val="20"/>
                <w:szCs w:val="20"/>
                <w:color w:val="auto"/>
              </w:rPr>
            </w:pPr>
            <w:r>
              <w:rPr>
                <w:rFonts w:ascii="Arial" w:cs="Arial" w:eastAsia="Arial" w:hAnsi="Arial"/>
                <w:sz w:val="13"/>
                <w:szCs w:val="13"/>
                <w:color w:val="auto"/>
              </w:rPr>
              <w:t>U.S. Treasury and agency securities</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10,466</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84"/>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10,466</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8,163</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8,163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Commercial paper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15,237</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15,237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80"/>
              <w:spacing w:after="0" w:line="135" w:lineRule="exact"/>
              <w:rPr>
                <w:sz w:val="20"/>
                <w:szCs w:val="20"/>
                <w:color w:val="auto"/>
              </w:rPr>
            </w:pPr>
            <w:r>
              <w:rPr>
                <w:rFonts w:ascii="Arial" w:cs="Arial" w:eastAsia="Arial" w:hAnsi="Arial"/>
                <w:sz w:val="13"/>
                <w:szCs w:val="13"/>
                <w:color w:val="auto"/>
              </w:rPr>
              <w:t>Corporate securities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26,189</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26,189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15,719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15,719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483</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b w:val="1"/>
                <w:bCs w:val="1"/>
                <w:color w:val="auto"/>
              </w:rPr>
              <w:t>Equity securities</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10,476</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41,909</w:t>
            </w: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52,436</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8,173</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15,944</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of June 30, 2025, restricted and non-restricted marketable investment securities included debt securities of $31 million with contractual maturities within one year and $21 million with contractual maturities extending longer than one year through and including five years. Actual maturities may differ from contractual maturities as a result of our ability to sell these securities prior to maturity.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5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“Other, net” within “Other Income (Expense)” included on our Condensed Consolidated Statements of Operations and Comprehensive Income (Loss) is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20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Other, net: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4"/>
          </w:tcPr>
          <w:p>
            <w:pPr>
              <w:jc w:val="right"/>
              <w:ind w:right="51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Marketable and non-marketable investment securities -</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realized and unrealized gains (losses) and impairments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(11,953)</w:t>
            </w:r>
          </w:p>
        </w:tc>
        <w:tc>
          <w:tcPr>
            <w:tcW w:w="4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(11,948)</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Sale of Assets to EchoStar - realized gains (losses)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128,788</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(losses) of affiliates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(64,912)</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Sale of Fiber business gains (losses)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37,441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37,441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3"/>
        </w:trPr>
        <w:tc>
          <w:tcPr>
            <w:tcW w:w="420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25,698</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(64,477)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25,218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62,865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3560" w:type="dxa"/>
            <w:vAlign w:val="bottom"/>
          </w:tcPr>
          <w:p>
            <w:pPr>
              <w:ind w:left="260"/>
              <w:spacing w:after="0"/>
              <w:rPr>
                <w:sz w:val="20"/>
                <w:szCs w:val="20"/>
                <w:color w:val="auto"/>
              </w:rPr>
            </w:pPr>
            <w:r>
              <w:rPr>
                <w:rFonts w:ascii="Arial" w:cs="Arial" w:eastAsia="Arial" w:hAnsi="Arial"/>
                <w:sz w:val="18"/>
                <w:szCs w:val="18"/>
                <w:b w:val="1"/>
                <w:bCs w:val="1"/>
                <w:color w:val="auto"/>
              </w:rPr>
              <w:t>Inventory</w:t>
            </w: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357"/>
        </w:trPr>
        <w:tc>
          <w:tcPr>
            <w:tcW w:w="3940" w:type="dxa"/>
            <w:vAlign w:val="bottom"/>
            <w:gridSpan w:val="2"/>
          </w:tcPr>
          <w:p>
            <w:pPr>
              <w:spacing w:after="0"/>
              <w:rPr>
                <w:sz w:val="20"/>
                <w:szCs w:val="20"/>
                <w:color w:val="auto"/>
              </w:rPr>
            </w:pPr>
            <w:r>
              <w:rPr>
                <w:rFonts w:ascii="Arial" w:cs="Arial" w:eastAsia="Arial" w:hAnsi="Arial"/>
                <w:sz w:val="18"/>
                <w:szCs w:val="18"/>
                <w:color w:val="auto"/>
              </w:rPr>
              <w:t>Inventory consisted of the following:</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81"/>
        </w:trPr>
        <w:tc>
          <w:tcPr>
            <w:tcW w:w="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ind w:right="499"/>
              <w:spacing w:after="0" w:line="175" w:lineRule="exact"/>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r>
      <w:tr>
        <w:trPr>
          <w:trHeight w:val="169"/>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80" w:type="dxa"/>
            <w:vAlign w:val="bottom"/>
            <w:gridSpan w:val="4"/>
          </w:tcPr>
          <w:p>
            <w:pPr>
              <w:jc w:val="right"/>
              <w:ind w:right="1319"/>
              <w:spacing w:after="0" w:line="169" w:lineRule="exact"/>
              <w:rPr>
                <w:sz w:val="20"/>
                <w:szCs w:val="20"/>
                <w:color w:val="auto"/>
              </w:rPr>
            </w:pPr>
            <w:r>
              <w:rPr>
                <w:rFonts w:ascii="Arial" w:cs="Arial" w:eastAsia="Arial" w:hAnsi="Arial"/>
                <w:sz w:val="16"/>
                <w:szCs w:val="16"/>
                <w:color w:val="auto"/>
              </w:rPr>
              <w:t>(In thousands)</w:t>
            </w:r>
          </w:p>
        </w:tc>
      </w:tr>
      <w:tr>
        <w:trPr>
          <w:trHeight w:val="189"/>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48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165,439</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262,722</w:t>
            </w:r>
          </w:p>
        </w:tc>
      </w:tr>
      <w:tr>
        <w:trPr>
          <w:trHeight w:val="189"/>
        </w:trPr>
        <w:tc>
          <w:tcPr>
            <w:tcW w:w="3940" w:type="dxa"/>
            <w:vAlign w:val="bottom"/>
            <w:gridSpan w:val="2"/>
          </w:tcPr>
          <w:p>
            <w:pPr>
              <w:spacing w:after="0"/>
              <w:rPr>
                <w:sz w:val="20"/>
                <w:szCs w:val="20"/>
                <w:color w:val="auto"/>
              </w:rPr>
            </w:pPr>
            <w:r>
              <w:rPr>
                <w:rFonts w:ascii="Arial" w:cs="Arial" w:eastAsia="Arial" w:hAnsi="Arial"/>
                <w:sz w:val="16"/>
                <w:szCs w:val="16"/>
                <w:color w:val="auto"/>
              </w:rPr>
              <w:t>Work-in-process and service repairs</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24,416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27,432</w:t>
            </w:r>
          </w:p>
        </w:tc>
      </w:tr>
      <w:tr>
        <w:trPr>
          <w:trHeight w:val="189"/>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Consignment</w:t>
            </w: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w:t>
            </w:r>
          </w:p>
        </w:tc>
      </w:tr>
      <w:tr>
        <w:trPr>
          <w:trHeight w:val="189"/>
        </w:trPr>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Raw materials</w:t>
            </w:r>
          </w:p>
        </w:tc>
        <w:tc>
          <w:tcPr>
            <w:tcW w:w="1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3,064</w:t>
            </w:r>
          </w:p>
        </w:tc>
      </w:tr>
      <w:tr>
        <w:trPr>
          <w:trHeight w:val="183"/>
        </w:trPr>
        <w:tc>
          <w:tcPr>
            <w:tcW w:w="394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1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196,320</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303,328</w:t>
            </w:r>
          </w:p>
        </w:tc>
      </w:tr>
      <w:tr>
        <w:trPr>
          <w:trHeight w:val="20"/>
        </w:trPr>
        <w:tc>
          <w:tcPr>
            <w:tcW w:w="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700" w:hanging="650"/>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Intangible Assets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consisted of the following:</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Depreciable</w:t>
            </w:r>
          </w:p>
        </w:tc>
        <w:tc>
          <w:tcPr>
            <w:tcW w:w="200" w:type="dxa"/>
            <w:vAlign w:val="bottom"/>
          </w:tcPr>
          <w:p>
            <w:pPr>
              <w:spacing w:after="0"/>
              <w:rPr>
                <w:sz w:val="18"/>
                <w:szCs w:val="18"/>
                <w:color w:val="auto"/>
              </w:rPr>
            </w:pPr>
          </w:p>
        </w:tc>
        <w:tc>
          <w:tcPr>
            <w:tcW w:w="2500" w:type="dxa"/>
            <w:vAlign w:val="bottom"/>
            <w:gridSpan w:val="5"/>
          </w:tcPr>
          <w:p>
            <w:pPr>
              <w:ind w:left="940"/>
              <w:spacing w:after="0"/>
              <w:rPr>
                <w:sz w:val="20"/>
                <w:szCs w:val="20"/>
                <w:color w:val="auto"/>
              </w:rPr>
            </w:pPr>
            <w:r>
              <w:rPr>
                <w:rFonts w:ascii="Arial" w:cs="Arial" w:eastAsia="Arial" w:hAnsi="Arial"/>
                <w:sz w:val="16"/>
                <w:szCs w:val="16"/>
                <w:b w:val="1"/>
                <w:bCs w:val="1"/>
                <w:color w:val="auto"/>
              </w:rPr>
              <w:t>As of</w:t>
            </w:r>
          </w:p>
        </w:tc>
      </w:tr>
      <w:tr>
        <w:trPr>
          <w:trHeight w:val="175"/>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Life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ind w:right="480"/>
              <w:spacing w:after="0" w:line="175" w:lineRule="exact"/>
              <w:rPr>
                <w:sz w:val="20"/>
                <w:szCs w:val="20"/>
                <w:color w:val="auto"/>
              </w:rPr>
            </w:pPr>
            <w:r>
              <w:rPr>
                <w:rFonts w:ascii="Arial" w:cs="Arial" w:eastAsia="Arial" w:hAnsi="Arial"/>
                <w:sz w:val="16"/>
                <w:szCs w:val="16"/>
                <w:b w:val="1"/>
                <w:bCs w:val="1"/>
                <w:color w:val="auto"/>
              </w:rPr>
              <w:t>June 30,</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9"/>
              <w:spacing w:after="0" w:line="175" w:lineRule="exact"/>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15"/>
                <w:szCs w:val="15"/>
                <w:color w:val="auto"/>
              </w:rPr>
            </w:pPr>
          </w:p>
        </w:tc>
      </w:tr>
      <w:tr>
        <w:trPr>
          <w:trHeight w:val="203"/>
        </w:trPr>
        <w:tc>
          <w:tcPr>
            <w:tcW w:w="5020" w:type="dxa"/>
            <w:vAlign w:val="bottom"/>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169"/>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tcPr>
          <w:p>
            <w:pPr>
              <w:jc w:val="right"/>
              <w:ind w:right="739"/>
              <w:spacing w:after="0" w:line="169"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941,313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1,005,750</w:t>
            </w:r>
          </w:p>
        </w:tc>
        <w:tc>
          <w:tcPr>
            <w:tcW w:w="20" w:type="dxa"/>
            <w:vAlign w:val="bottom"/>
          </w:tcPr>
          <w:p>
            <w:pPr>
              <w:spacing w:after="0"/>
              <w:rPr>
                <w:sz w:val="16"/>
                <w:szCs w:val="16"/>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Satellites</w:t>
            </w:r>
          </w:p>
        </w:tc>
        <w:tc>
          <w:tcPr>
            <w:tcW w:w="280" w:type="dxa"/>
            <w:vAlign w:val="bottom"/>
          </w:tcPr>
          <w:p>
            <w:pPr>
              <w:jc w:val="right"/>
              <w:spacing w:after="0"/>
              <w:rPr>
                <w:sz w:val="20"/>
                <w:szCs w:val="20"/>
                <w:color w:val="auto"/>
              </w:rPr>
            </w:pPr>
            <w:r>
              <w:rPr>
                <w:rFonts w:ascii="Arial" w:cs="Arial" w:eastAsia="Arial" w:hAnsi="Arial"/>
                <w:sz w:val="16"/>
                <w:szCs w:val="16"/>
                <w:color w:val="auto"/>
              </w:rPr>
              <w:t>9</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1,718,865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1,718,865</w:t>
            </w:r>
          </w:p>
        </w:tc>
        <w:tc>
          <w:tcPr>
            <w:tcW w:w="20" w:type="dxa"/>
            <w:vAlign w:val="bottom"/>
          </w:tcPr>
          <w:p>
            <w:pPr>
              <w:spacing w:after="0"/>
              <w:rPr>
                <w:sz w:val="16"/>
                <w:szCs w:val="16"/>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fixtures, equipment and other</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783,119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801,650</w:t>
            </w:r>
          </w:p>
        </w:tc>
        <w:tc>
          <w:tcPr>
            <w:tcW w:w="20" w:type="dxa"/>
            <w:vAlign w:val="bottom"/>
          </w:tcPr>
          <w:p>
            <w:pPr>
              <w:spacing w:after="0"/>
              <w:rPr>
                <w:sz w:val="16"/>
                <w:szCs w:val="16"/>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5G Network equipment (1)</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5,672,959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5,382,706</w:t>
            </w:r>
          </w:p>
        </w:tc>
        <w:tc>
          <w:tcPr>
            <w:tcW w:w="20" w:type="dxa"/>
            <w:vAlign w:val="bottom"/>
          </w:tcPr>
          <w:p>
            <w:pPr>
              <w:spacing w:after="0"/>
              <w:rPr>
                <w:sz w:val="16"/>
                <w:szCs w:val="16"/>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computer equipment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1,980,215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1,816,749</w:t>
            </w:r>
          </w:p>
        </w:tc>
        <w:tc>
          <w:tcPr>
            <w:tcW w:w="20" w:type="dxa"/>
            <w:vAlign w:val="bottom"/>
          </w:tcPr>
          <w:p>
            <w:pPr>
              <w:spacing w:after="0"/>
              <w:rPr>
                <w:sz w:val="16"/>
                <w:szCs w:val="16"/>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335,995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334,213</w:t>
            </w:r>
          </w:p>
        </w:tc>
        <w:tc>
          <w:tcPr>
            <w:tcW w:w="20" w:type="dxa"/>
            <w:vAlign w:val="bottom"/>
          </w:tcPr>
          <w:p>
            <w:pPr>
              <w:spacing w:after="0"/>
              <w:rPr>
                <w:sz w:val="16"/>
                <w:szCs w:val="16"/>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12,041</w:t>
            </w:r>
          </w:p>
        </w:tc>
        <w:tc>
          <w:tcPr>
            <w:tcW w:w="20" w:type="dxa"/>
            <w:vAlign w:val="bottom"/>
          </w:tcPr>
          <w:p>
            <w:pPr>
              <w:spacing w:after="0"/>
              <w:rPr>
                <w:sz w:val="16"/>
                <w:szCs w:val="16"/>
                <w:color w:val="auto"/>
              </w:rPr>
            </w:pPr>
          </w:p>
        </w:tc>
      </w:tr>
      <w:tr>
        <w:trPr>
          <w:trHeight w:val="18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2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1,498,158</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1,544,726</w:t>
            </w:r>
          </w:p>
        </w:tc>
        <w:tc>
          <w:tcPr>
            <w:tcW w:w="20" w:type="dxa"/>
            <w:vAlign w:val="bottom"/>
          </w:tcPr>
          <w:p>
            <w:pPr>
              <w:spacing w:after="0"/>
              <w:rPr>
                <w:sz w:val="16"/>
                <w:szCs w:val="16"/>
                <w:color w:val="auto"/>
              </w:rPr>
            </w:pPr>
          </w:p>
        </w:tc>
      </w:tr>
      <w:tr>
        <w:trPr>
          <w:trHeight w:val="183"/>
        </w:trPr>
        <w:tc>
          <w:tcPr>
            <w:tcW w:w="50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12,942,665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12,616,700</w:t>
            </w:r>
          </w:p>
        </w:tc>
        <w:tc>
          <w:tcPr>
            <w:tcW w:w="20" w:type="dxa"/>
            <w:vAlign w:val="bottom"/>
          </w:tcPr>
          <w:p>
            <w:pPr>
              <w:spacing w:after="0"/>
              <w:rPr>
                <w:sz w:val="15"/>
                <w:szCs w:val="15"/>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(6,011,239)</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(5,387,611)</w:t>
            </w:r>
          </w:p>
        </w:tc>
        <w:tc>
          <w:tcPr>
            <w:tcW w:w="20" w:type="dxa"/>
            <w:vAlign w:val="bottom"/>
          </w:tcPr>
          <w:p>
            <w:pPr>
              <w:spacing w:after="0"/>
              <w:rPr>
                <w:sz w:val="16"/>
                <w:szCs w:val="16"/>
                <w:color w:val="auto"/>
              </w:rPr>
            </w:pPr>
          </w:p>
        </w:tc>
      </w:tr>
      <w:tr>
        <w:trPr>
          <w:trHeight w:val="183"/>
        </w:trPr>
        <w:tc>
          <w:tcPr>
            <w:tcW w:w="50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Property and equipment, net (2)</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6,931,426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7,229,089</w:t>
            </w:r>
          </w:p>
        </w:tc>
        <w:tc>
          <w:tcPr>
            <w:tcW w:w="20" w:type="dxa"/>
            <w:vAlign w:val="bottom"/>
          </w:tcPr>
          <w:p>
            <w:pPr>
              <w:spacing w:after="0"/>
              <w:rPr>
                <w:sz w:val="15"/>
                <w:szCs w:val="15"/>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5G Network assets acquired under finance lease agreements.</w:t>
      </w:r>
    </w:p>
    <w:p>
      <w:pPr>
        <w:spacing w:after="0" w:line="13" w:lineRule="exact"/>
        <w:rPr>
          <w:rFonts w:ascii="Arial" w:cs="Arial" w:eastAsia="Arial" w:hAnsi="Arial"/>
          <w:sz w:val="18"/>
          <w:szCs w:val="18"/>
          <w:color w:val="auto"/>
        </w:rPr>
      </w:pPr>
    </w:p>
    <w:p>
      <w:pPr>
        <w:ind w:left="380" w:right="439" w:hanging="330"/>
        <w:spacing w:after="0" w:line="250"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June 30, 2025 and December 31, 2024, there were no refunds and other receipts of purchases of property and equipment.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For the 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r>
      <w:tr>
        <w:trPr>
          <w:trHeight w:val="189"/>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169"/>
        </w:trPr>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4"/>
          </w:tcPr>
          <w:p>
            <w:pPr>
              <w:jc w:val="right"/>
              <w:ind w:right="639"/>
              <w:spacing w:after="0" w:line="169"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Equipment leased to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27,217</w:t>
            </w:r>
          </w:p>
        </w:tc>
        <w:tc>
          <w:tcPr>
            <w:tcW w:w="4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59,942</w:t>
            </w:r>
          </w:p>
        </w:tc>
        <w:tc>
          <w:tcPr>
            <w:tcW w:w="4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71,573</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Satellites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25,190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52,126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65,911</w:t>
            </w: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Buildings, furniture, fixtures, equipment and other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15,190</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21,127</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5G Network equipment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216,782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179,473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424,914</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346,294</w:t>
            </w: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Software and computer equipment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100,970</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87,845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201,978</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168,514</w:t>
            </w:r>
          </w:p>
        </w:tc>
      </w:tr>
      <w:tr>
        <w:trPr>
          <w:trHeight w:val="189"/>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Intangible assets and other amortization expense</w:t>
            </w:r>
          </w:p>
        </w:tc>
        <w:tc>
          <w:tcPr>
            <w:tcW w:w="2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40,110</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6,923</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84,765</w:t>
            </w:r>
          </w:p>
        </w:tc>
      </w:tr>
      <w:tr>
        <w:trPr>
          <w:trHeight w:val="183"/>
        </w:trPr>
        <w:tc>
          <w:tcPr>
            <w:tcW w:w="37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388,785</w:t>
            </w: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391,110</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772,466</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758,184</w:t>
            </w:r>
          </w:p>
        </w:tc>
      </w:tr>
      <w:tr>
        <w:trPr>
          <w:trHeight w:val="20"/>
        </w:trPr>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679"/>
        <w:spacing w:after="0" w:line="275" w:lineRule="auto"/>
        <w:rPr>
          <w:sz w:val="20"/>
          <w:szCs w:val="20"/>
          <w:color w:val="auto"/>
        </w:rPr>
      </w:pPr>
      <w:r>
        <w:rPr>
          <w:rFonts w:ascii="Arial" w:cs="Arial" w:eastAsia="Arial" w:hAnsi="Arial"/>
          <w:sz w:val="17"/>
          <w:szCs w:val="17"/>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equipment and software.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Activity relating to our asset retirement obligations, included in “Long-term deferred revenue and other long-term liabilities” on our Condensed Consolidated Balance Sheets, was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2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4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r>
      <w:tr>
        <w:trPr>
          <w:trHeight w:val="189"/>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169"/>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4"/>
          </w:tcPr>
          <w:p>
            <w:pPr>
              <w:jc w:val="right"/>
              <w:ind w:right="57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beginning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338,506</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289,059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327,031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278,287</w:t>
            </w:r>
          </w:p>
        </w:tc>
      </w:tr>
      <w:tr>
        <w:trPr>
          <w:trHeight w:val="189"/>
        </w:trPr>
        <w:tc>
          <w:tcPr>
            <w:tcW w:w="4000" w:type="dxa"/>
            <w:vAlign w:val="bottom"/>
          </w:tcPr>
          <w:p>
            <w:pPr>
              <w:ind w:left="20"/>
              <w:spacing w:after="0"/>
              <w:rPr>
                <w:sz w:val="20"/>
                <w:szCs w:val="20"/>
                <w:color w:val="auto"/>
              </w:rPr>
            </w:pPr>
            <w:r>
              <w:rPr>
                <w:rFonts w:ascii="Arial" w:cs="Arial" w:eastAsia="Arial" w:hAnsi="Arial"/>
                <w:sz w:val="16"/>
                <w:szCs w:val="16"/>
                <w:color w:val="auto"/>
              </w:rPr>
              <w:t>Liabilities incurred</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4,651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4,885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8,959</w:t>
            </w: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6,765</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15,804</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13,229</w:t>
            </w:r>
          </w:p>
        </w:tc>
      </w:tr>
      <w:tr>
        <w:trPr>
          <w:trHeight w:val="183"/>
        </w:trPr>
        <w:tc>
          <w:tcPr>
            <w:tcW w:w="40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end of period</w:t>
            </w: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347,720</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300,475</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347,720</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300,475</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 corresponding assets, net of accumulated depreciation, related to asset retirement obligations were $209 million and $216 million as of June 30, 2025 and December 31, 2024, respectively.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w:t>
      </w:r>
    </w:p>
    <w:p>
      <w:pPr>
        <w:spacing w:after="0" w:line="196" w:lineRule="exact"/>
        <w:rPr>
          <w:sz w:val="20"/>
          <w:szCs w:val="20"/>
          <w:color w:val="auto"/>
        </w:rPr>
      </w:pPr>
    </w:p>
    <w:p>
      <w:pPr>
        <w:jc w:val="both"/>
        <w:ind w:left="60" w:right="219"/>
        <w:spacing w:after="0" w:line="275" w:lineRule="auto"/>
        <w:rPr>
          <w:sz w:val="20"/>
          <w:szCs w:val="20"/>
          <w:color w:val="auto"/>
        </w:rPr>
      </w:pPr>
      <w:r>
        <w:rPr>
          <w:rFonts w:ascii="Arial" w:cs="Arial" w:eastAsia="Arial" w:hAnsi="Arial"/>
          <w:sz w:val="17"/>
          <w:szCs w:val="17"/>
          <w:b w:val="1"/>
          <w:bCs w:val="1"/>
          <w:i w:val="1"/>
          <w:iCs w:val="1"/>
          <w:color w:val="auto"/>
        </w:rPr>
        <w:t>Pay-TV Segment</w:t>
      </w:r>
      <w:r>
        <w:rPr>
          <w:rFonts w:ascii="Arial" w:cs="Arial" w:eastAsia="Arial" w:hAnsi="Arial"/>
          <w:sz w:val="17"/>
          <w:szCs w:val="17"/>
          <w:color w:val="auto"/>
        </w:rPr>
        <w:t>. Our Pay-TV segment currently utilizes eight satellites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22222"/>
        </w:rPr>
        <w:t>geosynchronous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orbit approximately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22,300 miles above the equator, seven of which we own and depreciate over their estimated useful life. We also lease one satellite from a third party, Nimiq 5, which is accounted for as an operating lease.</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2025, our Pay-TV segment satellite fleet consisted of the following:</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Degree</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Launch</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Orbital</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8"/>
              </w:rPr>
              <w:t>Termination</w:t>
            </w:r>
          </w:p>
        </w:tc>
      </w:tr>
      <w:tr>
        <w:trPr>
          <w:trHeight w:val="203"/>
        </w:trPr>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rPr>
              <w:t>Satellites</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Date</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Location</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304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0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February 2006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XI</w:t>
            </w: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color w:val="auto"/>
              </w:rPr>
              <w:t>July 2008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XIV</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March 2010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119</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XV (1)</w:t>
            </w: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color w:val="auto"/>
              </w:rPr>
              <w:t>July 2010</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119</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XVI</w:t>
            </w:r>
          </w:p>
        </w:tc>
        <w:tc>
          <w:tcPr>
            <w:tcW w:w="22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November 2012</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61.5</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XVIII</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color w:val="auto"/>
              </w:rPr>
              <w:t>June 2016</w:t>
            </w:r>
          </w:p>
        </w:tc>
        <w:tc>
          <w:tcPr>
            <w:tcW w:w="1020" w:type="dxa"/>
            <w:vAlign w:val="bottom"/>
          </w:tcPr>
          <w:p>
            <w:pPr>
              <w:jc w:val="center"/>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XXIII</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March 2017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Under Construction:</w:t>
            </w: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XXV</w:t>
            </w:r>
          </w:p>
        </w:tc>
        <w:tc>
          <w:tcPr>
            <w:tcW w:w="2040" w:type="dxa"/>
            <w:vAlign w:val="bottom"/>
          </w:tcPr>
          <w:p>
            <w:pPr>
              <w:jc w:val="center"/>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XXVI</w:t>
            </w: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2028</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119</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Nimiq 5</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color w:val="auto"/>
              </w:rPr>
              <w:t>September 2009</w:t>
            </w:r>
          </w:p>
        </w:tc>
        <w:tc>
          <w:tcPr>
            <w:tcW w:w="1020" w:type="dxa"/>
            <w:vAlign w:val="bottom"/>
          </w:tcPr>
          <w:p>
            <w:pPr>
              <w:jc w:val="center"/>
              <w:spacing w:after="0"/>
              <w:rPr>
                <w:sz w:val="20"/>
                <w:szCs w:val="20"/>
                <w:color w:val="auto"/>
              </w:rPr>
            </w:pPr>
            <w:r>
              <w:rPr>
                <w:rFonts w:ascii="Arial" w:cs="Arial" w:eastAsia="Arial" w:hAnsi="Arial"/>
                <w:sz w:val="16"/>
                <w:szCs w:val="16"/>
                <w:color w:val="auto"/>
              </w:rPr>
              <w:t>72.7</w:t>
            </w:r>
          </w:p>
        </w:tc>
        <w:tc>
          <w:tcPr>
            <w:tcW w:w="2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October 2029</w:t>
            </w:r>
          </w:p>
        </w:tc>
      </w:tr>
    </w:tbl>
    <w:p>
      <w:pPr>
        <w:spacing w:after="0" w:line="185" w:lineRule="exact"/>
        <w:rPr>
          <w:sz w:val="20"/>
          <w:szCs w:val="20"/>
          <w:color w:val="auto"/>
        </w:rPr>
      </w:pPr>
    </w:p>
    <w:p>
      <w:pPr>
        <w:ind w:left="380" w:right="339" w:hanging="330"/>
        <w:spacing w:after="0" w:line="271"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April 2025, the EchoStar XV satellite began the process of relocating from the 61.5 degree orbital location to the 119 degree orbital location. The relocation process was completed in July 2025.</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April 2025, we no longer lease the Anik F3 satellite.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Satellites Under Construction</w:t>
      </w:r>
    </w:p>
    <w:p>
      <w:pPr>
        <w:spacing w:after="0" w:line="21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i w:val="1"/>
          <w:iCs w:val="1"/>
          <w:color w:val="auto"/>
        </w:rPr>
        <w:t>EchoStar XXV</w:t>
      </w:r>
      <w:r>
        <w:rPr>
          <w:rFonts w:ascii="Arial" w:cs="Arial" w:eastAsia="Arial" w:hAnsi="Arial"/>
          <w:sz w:val="18"/>
          <w:szCs w:val="18"/>
          <w:color w:val="auto"/>
        </w:rPr>
        <w:t>. On March 20, 2023, we entered into a contract with Maxar Space LLC 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 The EchoStar XXV contract was included in the Sale and Transfer of Assets to EchoStar on January 10, 2024. Subsequently, on May 2, 2024, the EchoStar XXV contract was included in the Orbital II Transfer from EchoStar and is recorded in “Property and equipment, net” on our Condensed Consolidated Balance Sheets. For the six months ended June 30, 2024, capital expenditures for EchoStar XXV totaled $ 66 million, which includes $19 million for capital expenditures incurred after May 2, 2024, which is included in “Purchases of property and equipment,” and $47 million for capital expenditures incurred between the Sale and Transfer of Assets to EchoStar on January 10, 2024 and May 2, 2024, which is included in “Other, net” within “Net cash flows from investing activities” on our Condensed Consolidated Statements of Cash Flows. See Note 12 for further information.</w:t>
      </w:r>
    </w:p>
    <w:p>
      <w:pPr>
        <w:spacing w:after="0" w:line="167" w:lineRule="exact"/>
        <w:rPr>
          <w:sz w:val="20"/>
          <w:szCs w:val="20"/>
          <w:color w:val="auto"/>
        </w:rPr>
      </w:pPr>
    </w:p>
    <w:p>
      <w:pPr>
        <w:ind w:left="60" w:right="299" w:hanging="7"/>
        <w:spacing w:after="0" w:line="253" w:lineRule="auto"/>
        <w:rPr>
          <w:sz w:val="20"/>
          <w:szCs w:val="20"/>
          <w:color w:val="auto"/>
        </w:rPr>
      </w:pPr>
      <w:r>
        <w:rPr>
          <w:rFonts w:ascii="Arial" w:cs="Arial" w:eastAsia="Arial" w:hAnsi="Arial"/>
          <w:sz w:val="18"/>
          <w:szCs w:val="18"/>
          <w:i w:val="1"/>
          <w:iCs w:val="1"/>
          <w:color w:val="auto"/>
        </w:rPr>
        <w:t xml:space="preserve">EchoStar XXVI. </w:t>
      </w:r>
      <w:r>
        <w:rPr>
          <w:rFonts w:ascii="Arial" w:cs="Arial" w:eastAsia="Arial" w:hAnsi="Arial"/>
          <w:sz w:val="18"/>
          <w:szCs w:val="18"/>
          <w:color w:val="auto"/>
        </w:rPr>
        <w:t>On May 15, 2025, we entered into a contract with Maxar Space LLC 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XXVI, a DBS satellite that is capable of providing service to the CONUS and is intended to be used at the 119 degree orbital location. EchoStar XXVI is expected to be launched during 2028.</w:t>
      </w:r>
    </w:p>
    <w:p>
      <w:pPr>
        <w:spacing w:after="0" w:line="155" w:lineRule="exact"/>
        <w:rPr>
          <w:sz w:val="20"/>
          <w:szCs w:val="20"/>
          <w:color w:val="auto"/>
        </w:rPr>
      </w:pPr>
    </w:p>
    <w:p>
      <w:pPr>
        <w:ind w:left="700" w:hanging="650"/>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 13 years, with a weighted average remaining lease term of 1.3 to 9.4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71"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Through the third quarter of 2024, our Nimiq 5 satellite was accounted for as finance lease within our Pay-TV segment. However, during October 2024, we extended the Nimiq 5 lease and as a result it is currently accounted for as an operating lease. In addition, through the first quarter of 2025, our Anik F3 satellite was accounted for as an operating lease within our Pay-TV segment and as of April 2025 we no longer lease this satellite. Substantially all of our remaining leases are accounted for as operating leases.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6"/>
                <w:szCs w:val="16"/>
                <w:color w:val="auto"/>
              </w:rPr>
            </w:pPr>
          </w:p>
        </w:tc>
        <w:tc>
          <w:tcPr>
            <w:tcW w:w="25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189"/>
        </w:trPr>
        <w:tc>
          <w:tcPr>
            <w:tcW w:w="3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169"/>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4"/>
          </w:tcPr>
          <w:p>
            <w:pPr>
              <w:jc w:val="center"/>
              <w:ind w:right="259"/>
              <w:spacing w:after="0" w:line="169"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160,246</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150,330</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321,468</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311,124</w:t>
            </w:r>
          </w:p>
        </w:tc>
      </w:tr>
      <w:tr>
        <w:trPr>
          <w:trHeight w:val="189"/>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 (1)</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12,151</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w:t>
            </w:r>
          </w:p>
        </w:tc>
      </w:tr>
      <w:tr>
        <w:trPr>
          <w:trHeight w:val="189"/>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3280" w:type="dxa"/>
            <w:vAlign w:val="bottom"/>
          </w:tcPr>
          <w:p>
            <w:pPr>
              <w:ind w:left="240"/>
              <w:spacing w:after="0"/>
              <w:rPr>
                <w:sz w:val="20"/>
                <w:szCs w:val="20"/>
                <w:color w:val="auto"/>
              </w:rPr>
            </w:pPr>
            <w:r>
              <w:rPr>
                <w:rFonts w:ascii="Arial" w:cs="Arial" w:eastAsia="Arial" w:hAnsi="Arial"/>
                <w:sz w:val="16"/>
                <w:szCs w:val="16"/>
                <w:color w:val="auto"/>
              </w:rPr>
              <w:t>Amortization of right-of-use assets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7,358</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13,419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14,757</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27,364</w:t>
            </w:r>
          </w:p>
        </w:tc>
      </w:tr>
      <w:tr>
        <w:trPr>
          <w:trHeight w:val="189"/>
        </w:trPr>
        <w:tc>
          <w:tcPr>
            <w:tcW w:w="3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on lease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4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w:t>
            </w:r>
          </w:p>
        </w:tc>
        <w:tc>
          <w:tcPr>
            <w:tcW w:w="4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5,189</w:t>
            </w:r>
          </w:p>
        </w:tc>
      </w:tr>
      <w:tr>
        <w:trPr>
          <w:trHeight w:val="183"/>
        </w:trPr>
        <w:tc>
          <w:tcPr>
            <w:tcW w:w="328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finance lease cost</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8,700</w:t>
            </w: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15,816</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17,601</w:t>
            </w: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32,553</w:t>
            </w:r>
          </w:p>
        </w:tc>
      </w:tr>
      <w:tr>
        <w:trPr>
          <w:trHeight w:val="183"/>
        </w:trPr>
        <w:tc>
          <w:tcPr>
            <w:tcW w:w="32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costs</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173,902</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169,080</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center"/>
              <w:ind w:right="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351,220</w:t>
            </w:r>
          </w:p>
        </w:tc>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349,539</w:t>
            </w: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Leases that have terms of 12 months or less.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6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Borders>
              <w:bottom w:val="single" w:sz="8" w:color="auto"/>
            </w:tcBorders>
          </w:tcPr>
          <w:p>
            <w:pPr>
              <w:spacing w:after="0"/>
              <w:rPr>
                <w:sz w:val="18"/>
                <w:szCs w:val="18"/>
                <w:color w:val="auto"/>
              </w:rPr>
            </w:pPr>
          </w:p>
        </w:tc>
      </w:tr>
      <w:tr>
        <w:trPr>
          <w:trHeight w:val="189"/>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r>
      <w:tr>
        <w:trPr>
          <w:trHeight w:val="169"/>
        </w:trPr>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center"/>
              <w:ind w:left="519"/>
              <w:spacing w:after="0" w:line="169" w:lineRule="exact"/>
              <w:rPr>
                <w:sz w:val="20"/>
                <w:szCs w:val="20"/>
                <w:color w:val="auto"/>
              </w:rPr>
            </w:pPr>
            <w:r>
              <w:rPr>
                <w:rFonts w:ascii="Arial" w:cs="Arial" w:eastAsia="Arial" w:hAnsi="Arial"/>
                <w:sz w:val="16"/>
                <w:szCs w:val="16"/>
                <w:color w:val="auto"/>
              </w:rPr>
              <w:t>(In thousands)</w:t>
            </w:r>
          </w:p>
        </w:tc>
        <w:tc>
          <w:tcPr>
            <w:tcW w:w="780" w:type="dxa"/>
            <w:vAlign w:val="bottom"/>
          </w:tcPr>
          <w:p>
            <w:pPr>
              <w:spacing w:after="0"/>
              <w:rPr>
                <w:sz w:val="14"/>
                <w:szCs w:val="14"/>
                <w:color w:val="auto"/>
              </w:rPr>
            </w:pP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624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272,204</w:t>
            </w:r>
          </w:p>
        </w:tc>
        <w:tc>
          <w:tcPr>
            <w:tcW w:w="40" w:type="dxa"/>
            <w:vAlign w:val="bottom"/>
          </w:tcPr>
          <w:p>
            <w:pPr>
              <w:spacing w:after="0"/>
              <w:rPr>
                <w:sz w:val="16"/>
                <w:szCs w:val="16"/>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220,891</w:t>
            </w:r>
          </w:p>
        </w:tc>
      </w:tr>
      <w:tr>
        <w:trPr>
          <w:trHeight w:val="189"/>
        </w:trPr>
        <w:tc>
          <w:tcPr>
            <w:tcW w:w="6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w:t>
            </w:r>
          </w:p>
        </w:tc>
      </w:tr>
      <w:tr>
        <w:trPr>
          <w:trHeight w:val="189"/>
        </w:trPr>
        <w:tc>
          <w:tcPr>
            <w:tcW w:w="624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11,406</w:t>
            </w:r>
          </w:p>
        </w:tc>
        <w:tc>
          <w:tcPr>
            <w:tcW w:w="40" w:type="dxa"/>
            <w:vAlign w:val="bottom"/>
          </w:tcPr>
          <w:p>
            <w:pPr>
              <w:spacing w:after="0"/>
              <w:rPr>
                <w:sz w:val="16"/>
                <w:szCs w:val="16"/>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29,627</w:t>
            </w:r>
          </w:p>
        </w:tc>
      </w:tr>
      <w:tr>
        <w:trPr>
          <w:trHeight w:val="189"/>
        </w:trPr>
        <w:tc>
          <w:tcPr>
            <w:tcW w:w="6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624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6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109,394</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313,628</w:t>
            </w:r>
          </w:p>
        </w:tc>
      </w:tr>
      <w:tr>
        <w:trPr>
          <w:trHeight w:val="215"/>
        </w:trPr>
        <w:tc>
          <w:tcPr>
            <w:tcW w:w="6240" w:type="dxa"/>
            <w:vAlign w:val="bottom"/>
          </w:tcPr>
          <w:p>
            <w:pPr>
              <w:ind w:left="240"/>
              <w:spacing w:after="0"/>
              <w:rPr>
                <w:sz w:val="20"/>
                <w:szCs w:val="20"/>
                <w:color w:val="auto"/>
              </w:rPr>
            </w:pPr>
            <w:r>
              <w:rPr>
                <w:rFonts w:ascii="Arial" w:cs="Arial" w:eastAsia="Arial" w:hAnsi="Arial"/>
                <w:sz w:val="16"/>
                <w:szCs w:val="16"/>
                <w:color w:val="auto"/>
              </w:rPr>
              <w:t>Finance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gridSpan w:val="3"/>
          </w:tcPr>
          <w:p>
            <w:pPr>
              <w:jc w:val="right"/>
              <w:ind w:right="224"/>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6"/>
                <w:szCs w:val="16"/>
                <w:b w:val="1"/>
                <w:bCs w:val="1"/>
                <w:color w:val="auto"/>
              </w:rPr>
              <w:t>As of</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5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right"/>
              <w:ind w:right="459"/>
              <w:spacing w:after="0" w:line="175" w:lineRule="exact"/>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right"/>
              <w:ind w:right="299"/>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r>
      <w:tr>
        <w:trPr>
          <w:trHeight w:val="203"/>
        </w:trPr>
        <w:tc>
          <w:tcPr>
            <w:tcW w:w="5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169"/>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5"/>
          </w:tcPr>
          <w:p>
            <w:pPr>
              <w:jc w:val="right"/>
              <w:ind w:right="80"/>
              <w:spacing w:after="0" w:line="169" w:lineRule="exact"/>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3,097,445</w:t>
            </w:r>
          </w:p>
        </w:tc>
        <w:tc>
          <w:tcPr>
            <w:tcW w:w="600" w:type="dxa"/>
            <w:vAlign w:val="bottom"/>
            <w:gridSpan w:val="3"/>
          </w:tcPr>
          <w:p>
            <w:pPr>
              <w:jc w:val="right"/>
              <w:ind w:right="34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3,134,938</w:t>
            </w:r>
          </w:p>
        </w:tc>
        <w:tc>
          <w:tcPr>
            <w:tcW w:w="20" w:type="dxa"/>
            <w:vAlign w:val="bottom"/>
          </w:tcPr>
          <w:p>
            <w:pPr>
              <w:spacing w:after="0"/>
              <w:rPr>
                <w:sz w:val="19"/>
                <w:szCs w:val="19"/>
                <w:color w:val="auto"/>
              </w:rPr>
            </w:pPr>
          </w:p>
        </w:tc>
      </w:tr>
      <w:tr>
        <w:trPr>
          <w:trHeight w:val="169"/>
        </w:trPr>
        <w:tc>
          <w:tcPr>
            <w:tcW w:w="50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549,878</w:t>
            </w:r>
          </w:p>
        </w:tc>
        <w:tc>
          <w:tcPr>
            <w:tcW w:w="600" w:type="dxa"/>
            <w:vAlign w:val="bottom"/>
            <w:gridSpan w:val="3"/>
          </w:tcPr>
          <w:p>
            <w:pPr>
              <w:jc w:val="right"/>
              <w:ind w:right="34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510,697</w:t>
            </w:r>
          </w:p>
        </w:tc>
        <w:tc>
          <w:tcPr>
            <w:tcW w:w="20" w:type="dxa"/>
            <w:vAlign w:val="bottom"/>
          </w:tcPr>
          <w:p>
            <w:pPr>
              <w:spacing w:after="0"/>
              <w:rPr>
                <w:sz w:val="16"/>
                <w:szCs w:val="16"/>
                <w:color w:val="auto"/>
              </w:rPr>
            </w:pPr>
          </w:p>
        </w:tc>
      </w:tr>
      <w:tr>
        <w:trPr>
          <w:trHeight w:val="18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3,060,585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3,089,950</w:t>
            </w:r>
          </w:p>
        </w:tc>
        <w:tc>
          <w:tcPr>
            <w:tcW w:w="20" w:type="dxa"/>
            <w:vAlign w:val="bottom"/>
          </w:tcPr>
          <w:p>
            <w:pPr>
              <w:spacing w:after="0"/>
              <w:rPr>
                <w:sz w:val="16"/>
                <w:szCs w:val="16"/>
                <w:color w:val="auto"/>
              </w:rPr>
            </w:pPr>
          </w:p>
        </w:tc>
      </w:tr>
      <w:tr>
        <w:trPr>
          <w:trHeight w:val="223"/>
        </w:trPr>
        <w:tc>
          <w:tcPr>
            <w:tcW w:w="51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3,610,463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3,600,647</w:t>
            </w:r>
          </w:p>
        </w:tc>
        <w:tc>
          <w:tcPr>
            <w:tcW w:w="20" w:type="dxa"/>
            <w:vAlign w:val="bottom"/>
          </w:tcPr>
          <w:p>
            <w:pPr>
              <w:spacing w:after="0"/>
              <w:rPr>
                <w:sz w:val="19"/>
                <w:szCs w:val="19"/>
                <w:color w:val="auto"/>
              </w:rPr>
            </w:pPr>
          </w:p>
        </w:tc>
      </w:tr>
      <w:tr>
        <w:trPr>
          <w:trHeight w:val="170"/>
        </w:trPr>
        <w:tc>
          <w:tcPr>
            <w:tcW w:w="5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Finance Leases: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121,102</w:t>
            </w:r>
          </w:p>
        </w:tc>
        <w:tc>
          <w:tcPr>
            <w:tcW w:w="600" w:type="dxa"/>
            <w:vAlign w:val="bottom"/>
            <w:gridSpan w:val="3"/>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121,102</w:t>
            </w:r>
          </w:p>
        </w:tc>
        <w:tc>
          <w:tcPr>
            <w:tcW w:w="20" w:type="dxa"/>
            <w:vAlign w:val="bottom"/>
          </w:tcPr>
          <w:p>
            <w:pPr>
              <w:spacing w:after="0"/>
              <w:rPr>
                <w:sz w:val="16"/>
                <w:szCs w:val="16"/>
                <w:color w:val="auto"/>
              </w:rPr>
            </w:pPr>
          </w:p>
        </w:tc>
      </w:tr>
      <w:tr>
        <w:trPr>
          <w:trHeight w:val="189"/>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Accumulated depreciation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(88,176)</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(73,419)</w:t>
            </w:r>
          </w:p>
        </w:tc>
        <w:tc>
          <w:tcPr>
            <w:tcW w:w="20" w:type="dxa"/>
            <w:vAlign w:val="bottom"/>
          </w:tcPr>
          <w:p>
            <w:pPr>
              <w:spacing w:after="0"/>
              <w:rPr>
                <w:sz w:val="16"/>
                <w:szCs w:val="16"/>
                <w:color w:val="auto"/>
              </w:rPr>
            </w:pPr>
          </w:p>
        </w:tc>
      </w:tr>
      <w:tr>
        <w:trPr>
          <w:trHeight w:val="183"/>
        </w:trPr>
        <w:tc>
          <w:tcPr>
            <w:tcW w:w="512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32,926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47,683</w:t>
            </w:r>
          </w:p>
        </w:tc>
        <w:tc>
          <w:tcPr>
            <w:tcW w:w="20" w:type="dxa"/>
            <w:vAlign w:val="bottom"/>
          </w:tcPr>
          <w:p>
            <w:pPr>
              <w:spacing w:after="0"/>
              <w:rPr>
                <w:sz w:val="15"/>
                <w:szCs w:val="15"/>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34,088</w:t>
            </w:r>
          </w:p>
        </w:tc>
        <w:tc>
          <w:tcPr>
            <w:tcW w:w="600" w:type="dxa"/>
            <w:vAlign w:val="bottom"/>
            <w:gridSpan w:val="3"/>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30,381</w:t>
            </w:r>
          </w:p>
        </w:tc>
        <w:tc>
          <w:tcPr>
            <w:tcW w:w="20" w:type="dxa"/>
            <w:vAlign w:val="bottom"/>
          </w:tcPr>
          <w:p>
            <w:pPr>
              <w:spacing w:after="0"/>
              <w:rPr>
                <w:sz w:val="16"/>
                <w:szCs w:val="16"/>
                <w:color w:val="auto"/>
              </w:rPr>
            </w:pPr>
          </w:p>
        </w:tc>
      </w:tr>
      <w:tr>
        <w:trPr>
          <w:trHeight w:val="189"/>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36,818</w:t>
            </w:r>
          </w:p>
        </w:tc>
        <w:tc>
          <w:tcPr>
            <w:tcW w:w="20" w:type="dxa"/>
            <w:vAlign w:val="bottom"/>
          </w:tcPr>
          <w:p>
            <w:pPr>
              <w:spacing w:after="0"/>
              <w:rPr>
                <w:sz w:val="16"/>
                <w:szCs w:val="16"/>
                <w:color w:val="auto"/>
              </w:rPr>
            </w:pPr>
          </w:p>
        </w:tc>
      </w:tr>
      <w:tr>
        <w:trPr>
          <w:trHeight w:val="183"/>
        </w:trPr>
        <w:tc>
          <w:tcPr>
            <w:tcW w:w="512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55,793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67,199</w:t>
            </w:r>
          </w:p>
        </w:tc>
        <w:tc>
          <w:tcPr>
            <w:tcW w:w="20" w:type="dxa"/>
            <w:vAlign w:val="bottom"/>
          </w:tcPr>
          <w:p>
            <w:pPr>
              <w:spacing w:after="0"/>
              <w:rPr>
                <w:sz w:val="15"/>
                <w:szCs w:val="15"/>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12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9.4 years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 years</w:t>
            </w:r>
          </w:p>
        </w:tc>
        <w:tc>
          <w:tcPr>
            <w:tcW w:w="20" w:type="dxa"/>
            <w:vAlign w:val="bottom"/>
          </w:tcPr>
          <w:p>
            <w:pPr>
              <w:spacing w:after="0"/>
              <w:rPr>
                <w:sz w:val="16"/>
                <w:szCs w:val="16"/>
                <w:color w:val="auto"/>
              </w:rPr>
            </w:pPr>
          </w:p>
        </w:tc>
      </w:tr>
      <w:tr>
        <w:trPr>
          <w:trHeight w:val="189"/>
        </w:trPr>
        <w:tc>
          <w:tcPr>
            <w:tcW w:w="51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 years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years</w:t>
            </w:r>
          </w:p>
        </w:tc>
        <w:tc>
          <w:tcPr>
            <w:tcW w:w="20" w:type="dxa"/>
            <w:vAlign w:val="bottom"/>
          </w:tcPr>
          <w:p>
            <w:pPr>
              <w:spacing w:after="0"/>
              <w:rPr>
                <w:sz w:val="16"/>
                <w:szCs w:val="16"/>
                <w:color w:val="auto"/>
              </w:rPr>
            </w:pPr>
          </w:p>
        </w:tc>
      </w:tr>
      <w:tr>
        <w:trPr>
          <w:trHeight w:val="189"/>
        </w:trPr>
        <w:tc>
          <w:tcPr>
            <w:tcW w:w="5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12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6"/>
                <w:szCs w:val="16"/>
                <w:color w:val="auto"/>
              </w:rPr>
            </w:pPr>
          </w:p>
        </w:tc>
      </w:tr>
      <w:tr>
        <w:trPr>
          <w:trHeight w:val="189"/>
        </w:trPr>
        <w:tc>
          <w:tcPr>
            <w:tcW w:w="51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6"/>
                <w:szCs w:val="16"/>
                <w:color w:val="auto"/>
              </w:rPr>
            </w:pPr>
          </w:p>
        </w:tc>
      </w:tr>
      <w:tr>
        <w:trPr>
          <w:trHeight w:val="409"/>
        </w:trPr>
        <w:tc>
          <w:tcPr>
            <w:tcW w:w="5120" w:type="dxa"/>
            <w:vAlign w:val="bottom"/>
            <w:gridSpan w:val="2"/>
          </w:tcPr>
          <w:p>
            <w:pPr>
              <w:ind w:left="20"/>
              <w:spacing w:after="0"/>
              <w:rPr>
                <w:sz w:val="20"/>
                <w:szCs w:val="20"/>
                <w:color w:val="auto"/>
              </w:rPr>
            </w:pPr>
            <w:r>
              <w:rPr>
                <w:rFonts w:ascii="Arial" w:cs="Arial" w:eastAsia="Arial" w:hAnsi="Arial"/>
                <w:sz w:val="18"/>
                <w:szCs w:val="18"/>
                <w:color w:val="auto"/>
                <w:w w:val="98"/>
              </w:rPr>
              <w:t>Maturities of lease liabilities as of June 30, 2025 were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0"/>
          </w:tcPr>
          <w:p>
            <w:pPr>
              <w:jc w:val="center"/>
              <w:ind w:right="240"/>
              <w:spacing w:after="0"/>
              <w:rPr>
                <w:sz w:val="20"/>
                <w:szCs w:val="20"/>
                <w:color w:val="auto"/>
              </w:rPr>
            </w:pPr>
            <w:r>
              <w:rPr>
                <w:rFonts w:ascii="Arial" w:cs="Arial" w:eastAsia="Arial" w:hAnsi="Arial"/>
                <w:sz w:val="16"/>
                <w:szCs w:val="16"/>
                <w:b w:val="1"/>
                <w:bCs w:val="1"/>
                <w:color w:val="auto"/>
              </w:rPr>
              <w:t>Maturities of Lease Liabilities</w:t>
            </w:r>
          </w:p>
        </w:tc>
      </w:tr>
      <w:tr>
        <w:trPr>
          <w:trHeight w:val="175"/>
        </w:trPr>
        <w:tc>
          <w:tcPr>
            <w:tcW w:w="5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280"/>
              <w:spacing w:after="0" w:line="175" w:lineRule="exact"/>
              <w:rPr>
                <w:sz w:val="20"/>
                <w:szCs w:val="20"/>
                <w:color w:val="auto"/>
              </w:rPr>
            </w:pPr>
            <w:r>
              <w:rPr>
                <w:rFonts w:ascii="Arial" w:cs="Arial" w:eastAsia="Arial" w:hAnsi="Arial"/>
                <w:sz w:val="16"/>
                <w:szCs w:val="16"/>
                <w:b w:val="1"/>
                <w:bCs w:val="1"/>
                <w:color w:val="auto"/>
                <w:w w:val="97"/>
              </w:rPr>
              <w:t>Operating</w:t>
            </w:r>
          </w:p>
        </w:tc>
        <w:tc>
          <w:tcPr>
            <w:tcW w:w="1280" w:type="dxa"/>
            <w:vAlign w:val="bottom"/>
            <w:tcBorders>
              <w:top w:val="single" w:sz="8" w:color="auto"/>
            </w:tcBorders>
            <w:gridSpan w:val="5"/>
          </w:tcPr>
          <w:p>
            <w:pPr>
              <w:jc w:val="center"/>
              <w:ind w:right="40"/>
              <w:spacing w:after="0" w:line="175" w:lineRule="exact"/>
              <w:rPr>
                <w:sz w:val="20"/>
                <w:szCs w:val="20"/>
                <w:color w:val="auto"/>
              </w:rPr>
            </w:pPr>
            <w:r>
              <w:rPr>
                <w:rFonts w:ascii="Arial" w:cs="Arial" w:eastAsia="Arial" w:hAnsi="Arial"/>
                <w:sz w:val="16"/>
                <w:szCs w:val="16"/>
                <w:b w:val="1"/>
                <w:bCs w:val="1"/>
                <w:color w:val="auto"/>
                <w:w w:val="99"/>
              </w:rPr>
              <w:t>Finance</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Leases</w:t>
            </w:r>
          </w:p>
        </w:tc>
        <w:tc>
          <w:tcPr>
            <w:tcW w:w="128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Leases</w:t>
            </w:r>
          </w:p>
        </w:tc>
        <w:tc>
          <w:tcPr>
            <w:tcW w:w="120" w:type="dxa"/>
            <w:vAlign w:val="bottom"/>
          </w:tcPr>
          <w:p>
            <w:pPr>
              <w:spacing w:after="0"/>
              <w:rPr>
                <w:sz w:val="17"/>
                <w:szCs w:val="17"/>
                <w:color w:val="auto"/>
              </w:rPr>
            </w:pPr>
          </w:p>
        </w:tc>
        <w:tc>
          <w:tcPr>
            <w:tcW w:w="114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183"/>
        </w:trPr>
        <w:tc>
          <w:tcPr>
            <w:tcW w:w="5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Borders>
              <w:top w:val="single" w:sz="8" w:color="auto"/>
            </w:tcBorders>
            <w:gridSpan w:val="4"/>
          </w:tcPr>
          <w:p>
            <w:pPr>
              <w:jc w:val="center"/>
              <w:spacing w:after="0" w:line="183" w:lineRule="exact"/>
              <w:rPr>
                <w:sz w:val="20"/>
                <w:szCs w:val="20"/>
                <w:color w:val="auto"/>
              </w:rPr>
            </w:pPr>
            <w:r>
              <w:rPr>
                <w:rFonts w:ascii="Arial" w:cs="Arial" w:eastAsia="Arial" w:hAnsi="Arial"/>
                <w:sz w:val="16"/>
                <w:szCs w:val="16"/>
                <w:color w:val="auto"/>
                <w:w w:val="99"/>
              </w:rPr>
              <w:t>(In thousands)</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 (remaining six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287,950</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21,672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309,622</w:t>
            </w:r>
          </w:p>
        </w:tc>
        <w:tc>
          <w:tcPr>
            <w:tcW w:w="20" w:type="dxa"/>
            <w:vAlign w:val="bottom"/>
          </w:tcPr>
          <w:p>
            <w:pPr>
              <w:spacing w:after="0"/>
              <w:rPr>
                <w:sz w:val="16"/>
                <w:szCs w:val="16"/>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6"/>
                <w:szCs w:val="16"/>
                <w:color w:val="auto"/>
              </w:rPr>
              <w:t>2026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593,302</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36,588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629,890</w:t>
            </w:r>
          </w:p>
        </w:tc>
        <w:tc>
          <w:tcPr>
            <w:tcW w:w="20" w:type="dxa"/>
            <w:vAlign w:val="bottom"/>
          </w:tcPr>
          <w:p>
            <w:pPr>
              <w:spacing w:after="0"/>
              <w:rPr>
                <w:sz w:val="16"/>
                <w:szCs w:val="16"/>
                <w:color w:val="auto"/>
              </w:rPr>
            </w:pP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596,420</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598,994</w:t>
            </w:r>
          </w:p>
        </w:tc>
        <w:tc>
          <w:tcPr>
            <w:tcW w:w="20" w:type="dxa"/>
            <w:vAlign w:val="bottom"/>
          </w:tcPr>
          <w:p>
            <w:pPr>
              <w:spacing w:after="0"/>
              <w:rPr>
                <w:sz w:val="16"/>
                <w:szCs w:val="16"/>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6"/>
                <w:szCs w:val="16"/>
                <w:color w:val="auto"/>
              </w:rPr>
              <w:t>2028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557,434</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557,434</w:t>
            </w:r>
          </w:p>
        </w:tc>
        <w:tc>
          <w:tcPr>
            <w:tcW w:w="20" w:type="dxa"/>
            <w:vAlign w:val="bottom"/>
          </w:tcPr>
          <w:p>
            <w:pPr>
              <w:spacing w:after="0"/>
              <w:rPr>
                <w:sz w:val="16"/>
                <w:szCs w:val="16"/>
                <w:color w:val="auto"/>
              </w:rPr>
            </w:pP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539,296</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539,296</w:t>
            </w:r>
          </w:p>
        </w:tc>
        <w:tc>
          <w:tcPr>
            <w:tcW w:w="20" w:type="dxa"/>
            <w:vAlign w:val="bottom"/>
          </w:tcPr>
          <w:p>
            <w:pPr>
              <w:spacing w:after="0"/>
              <w:rPr>
                <w:sz w:val="16"/>
                <w:szCs w:val="16"/>
                <w:color w:val="auto"/>
              </w:rPr>
            </w:pPr>
          </w:p>
        </w:tc>
      </w:tr>
      <w:tr>
        <w:trPr>
          <w:trHeight w:val="189"/>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3,018,333</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3,018,333</w:t>
            </w:r>
          </w:p>
        </w:tc>
        <w:tc>
          <w:tcPr>
            <w:tcW w:w="20" w:type="dxa"/>
            <w:vAlign w:val="bottom"/>
          </w:tcPr>
          <w:p>
            <w:pPr>
              <w:spacing w:after="0"/>
              <w:rPr>
                <w:sz w:val="16"/>
                <w:szCs w:val="16"/>
                <w:color w:val="auto"/>
              </w:rPr>
            </w:pPr>
          </w:p>
        </w:tc>
      </w:tr>
      <w:tr>
        <w:trPr>
          <w:trHeight w:val="183"/>
        </w:trPr>
        <w:tc>
          <w:tcPr>
            <w:tcW w:w="51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5,592,735</w:t>
            </w:r>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60,834</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5,653,569</w:t>
            </w:r>
          </w:p>
        </w:tc>
        <w:tc>
          <w:tcPr>
            <w:tcW w:w="20" w:type="dxa"/>
            <w:vAlign w:val="bottom"/>
          </w:tcPr>
          <w:p>
            <w:pPr>
              <w:spacing w:after="0"/>
              <w:rPr>
                <w:sz w:val="15"/>
                <w:szCs w:val="15"/>
                <w:color w:val="auto"/>
              </w:rPr>
            </w:pPr>
          </w:p>
        </w:tc>
      </w:tr>
      <w:tr>
        <w:trPr>
          <w:trHeight w:val="189"/>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Less: Imputed interest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(1,982,272)</w:t>
            </w:r>
          </w:p>
        </w:tc>
        <w:tc>
          <w:tcPr>
            <w:tcW w:w="620" w:type="dxa"/>
            <w:vAlign w:val="bottom"/>
          </w:tcPr>
          <w:p>
            <w:pPr>
              <w:spacing w:after="0"/>
              <w:rPr>
                <w:sz w:val="16"/>
                <w:szCs w:val="16"/>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(5,041)</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(1,987,313)</w:t>
            </w:r>
          </w:p>
        </w:tc>
        <w:tc>
          <w:tcPr>
            <w:tcW w:w="20" w:type="dxa"/>
            <w:vAlign w:val="bottom"/>
          </w:tcPr>
          <w:p>
            <w:pPr>
              <w:spacing w:after="0"/>
              <w:rPr>
                <w:sz w:val="16"/>
                <w:szCs w:val="16"/>
                <w:color w:val="auto"/>
              </w:rPr>
            </w:pPr>
          </w:p>
        </w:tc>
      </w:tr>
      <w:tr>
        <w:trPr>
          <w:trHeight w:val="183"/>
        </w:trPr>
        <w:tc>
          <w:tcPr>
            <w:tcW w:w="51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3,610,463</w:t>
            </w:r>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55,793</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3,666,256</w:t>
            </w:r>
          </w:p>
        </w:tc>
        <w:tc>
          <w:tcPr>
            <w:tcW w:w="20" w:type="dxa"/>
            <w:vAlign w:val="bottom"/>
          </w:tcPr>
          <w:p>
            <w:pPr>
              <w:spacing w:after="0"/>
              <w:rPr>
                <w:sz w:val="15"/>
                <w:szCs w:val="15"/>
                <w:color w:val="auto"/>
              </w:rPr>
            </w:pPr>
          </w:p>
        </w:tc>
      </w:tr>
      <w:tr>
        <w:trPr>
          <w:trHeight w:val="189"/>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(549,878)</w:t>
            </w:r>
          </w:p>
        </w:tc>
        <w:tc>
          <w:tcPr>
            <w:tcW w:w="620" w:type="dxa"/>
            <w:vAlign w:val="bottom"/>
          </w:tcPr>
          <w:p>
            <w:pPr>
              <w:spacing w:after="0"/>
              <w:rPr>
                <w:sz w:val="16"/>
                <w:szCs w:val="16"/>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(34,088)</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(583,966)</w:t>
            </w:r>
          </w:p>
        </w:tc>
        <w:tc>
          <w:tcPr>
            <w:tcW w:w="20" w:type="dxa"/>
            <w:vAlign w:val="bottom"/>
          </w:tcPr>
          <w:p>
            <w:pPr>
              <w:spacing w:after="0"/>
              <w:rPr>
                <w:sz w:val="16"/>
                <w:szCs w:val="16"/>
                <w:color w:val="auto"/>
              </w:rPr>
            </w:pPr>
          </w:p>
        </w:tc>
      </w:tr>
      <w:tr>
        <w:trPr>
          <w:trHeight w:val="183"/>
        </w:trPr>
        <w:tc>
          <w:tcPr>
            <w:tcW w:w="512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Long-term portion of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3,060,585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21,705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3,082,290</w:t>
            </w:r>
          </w:p>
        </w:tc>
        <w:tc>
          <w:tcPr>
            <w:tcW w:w="20" w:type="dxa"/>
            <w:vAlign w:val="bottom"/>
          </w:tcPr>
          <w:p>
            <w:pPr>
              <w:spacing w:after="0"/>
              <w:rPr>
                <w:sz w:val="15"/>
                <w:szCs w:val="15"/>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Debt and Finance Lease Obligations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Debt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carrying amount and fair value of our debt facilities as of June 30, 2025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2024:</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As of</w:t>
            </w: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4"/>
          </w:tcPr>
          <w:p>
            <w:pPr>
              <w:jc w:val="right"/>
              <w:ind w:right="597"/>
              <w:spacing w:after="0" w:line="135" w:lineRule="exact"/>
              <w:rPr>
                <w:sz w:val="20"/>
                <w:szCs w:val="20"/>
                <w:color w:val="auto"/>
              </w:rPr>
            </w:pPr>
            <w:r>
              <w:rPr>
                <w:rFonts w:ascii="Arial" w:cs="Arial" w:eastAsia="Arial" w:hAnsi="Arial"/>
                <w:sz w:val="13"/>
                <w:szCs w:val="13"/>
                <w:b w:val="1"/>
                <w:bCs w:val="1"/>
                <w:color w:val="auto"/>
              </w:rPr>
              <w:t>June 30, 2025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ind w:right="377"/>
              <w:spacing w:after="0" w:line="135" w:lineRule="exact"/>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Issuer</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ind w:right="237"/>
              <w:spacing w:after="0" w:line="111" w:lineRule="exact"/>
              <w:rPr>
                <w:sz w:val="20"/>
                <w:szCs w:val="20"/>
                <w:color w:val="auto"/>
              </w:rPr>
            </w:pPr>
            <w:r>
              <w:rPr>
                <w:rFonts w:ascii="Arial" w:cs="Arial" w:eastAsia="Arial" w:hAnsi="Arial"/>
                <w:sz w:val="12"/>
                <w:szCs w:val="12"/>
                <w:b w:val="1"/>
                <w:bCs w:val="1"/>
                <w:color w:val="auto"/>
              </w:rPr>
              <w:t>Carrying</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9"/>
              </w:rPr>
              <w:t>Fair Value</w:t>
            </w:r>
          </w:p>
        </w:tc>
        <w:tc>
          <w:tcPr>
            <w:tcW w:w="14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ind w:right="157"/>
              <w:spacing w:after="0" w:line="111" w:lineRule="exact"/>
              <w:rPr>
                <w:sz w:val="20"/>
                <w:szCs w:val="20"/>
                <w:color w:val="auto"/>
              </w:rPr>
            </w:pPr>
            <w:r>
              <w:rPr>
                <w:rFonts w:ascii="Arial" w:cs="Arial" w:eastAsia="Arial" w:hAnsi="Arial"/>
                <w:sz w:val="12"/>
                <w:szCs w:val="12"/>
                <w:b w:val="1"/>
                <w:bCs w:val="1"/>
                <w:color w:val="auto"/>
              </w:rPr>
              <w:t>Carrying</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5"/>
          </w:tcPr>
          <w:p>
            <w:pPr>
              <w:jc w:val="right"/>
              <w:ind w:right="637"/>
              <w:spacing w:after="0" w:line="115" w:lineRule="exact"/>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0% Convertible Notes due 2025</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DISH</w:t>
            </w:r>
          </w:p>
        </w:tc>
        <w:tc>
          <w:tcPr>
            <w:tcW w:w="3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138,403</w:t>
            </w:r>
          </w:p>
        </w:tc>
        <w:tc>
          <w:tcPr>
            <w:tcW w:w="26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125,717</w:t>
            </w:r>
          </w:p>
        </w:tc>
        <w:tc>
          <w:tcPr>
            <w:tcW w:w="1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138,403</w:t>
            </w:r>
          </w:p>
        </w:tc>
        <w:tc>
          <w:tcPr>
            <w:tcW w:w="26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124,916</w:t>
            </w: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line="135" w:lineRule="exact"/>
              <w:rPr>
                <w:sz w:val="20"/>
                <w:szCs w:val="20"/>
                <w:color w:val="auto"/>
              </w:rPr>
            </w:pPr>
            <w:r>
              <w:rPr>
                <w:rFonts w:ascii="Arial" w:cs="Arial" w:eastAsia="Arial" w:hAnsi="Arial"/>
                <w:sz w:val="13"/>
                <w:szCs w:val="13"/>
                <w:color w:val="auto"/>
              </w:rPr>
              <w:t>Term Loan due 2025 (1)</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7"/>
              </w:rPr>
              <w:t>DBS SubscriberCo</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166,667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166,667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35"/>
        </w:trPr>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7</w:t>
            </w:r>
          </w:p>
        </w:tc>
        <w:tc>
          <w:tcPr>
            <w:tcW w:w="3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3/4% Senior Notes due 2026</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1,779,660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1,678,640</w:t>
            </w:r>
          </w:p>
        </w:tc>
        <w:tc>
          <w:tcPr>
            <w:tcW w:w="0" w:type="dxa"/>
            <w:vAlign w:val="bottom"/>
          </w:tcPr>
          <w:p>
            <w:pPr>
              <w:spacing w:after="0"/>
              <w:rPr>
                <w:sz w:val="1"/>
                <w:szCs w:val="1"/>
                <w:color w:val="auto"/>
              </w:rPr>
            </w:pPr>
          </w:p>
        </w:tc>
      </w:tr>
      <w:tr>
        <w:trPr>
          <w:trHeight w:val="135"/>
        </w:trPr>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3</w:t>
            </w:r>
          </w:p>
        </w:tc>
        <w:tc>
          <w:tcPr>
            <w:tcW w:w="3100" w:type="dxa"/>
            <w:vAlign w:val="bottom"/>
          </w:tcPr>
          <w:p>
            <w:pPr>
              <w:ind w:left="20"/>
              <w:spacing w:after="0" w:line="135" w:lineRule="exact"/>
              <w:rPr>
                <w:sz w:val="20"/>
                <w:szCs w:val="20"/>
                <w:color w:val="auto"/>
              </w:rPr>
            </w:pPr>
            <w:r>
              <w:rPr>
                <w:rFonts w:ascii="Arial" w:cs="Arial" w:eastAsia="Arial" w:hAnsi="Arial"/>
                <w:sz w:val="13"/>
                <w:szCs w:val="13"/>
                <w:color w:val="auto"/>
              </w:rPr>
              <w:t>3/8% Convertible Notes due 2026</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6"/>
              </w:rPr>
              <w:t>DISH</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45,209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37,987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45,209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38,495</w:t>
            </w:r>
          </w:p>
        </w:tc>
        <w:tc>
          <w:tcPr>
            <w:tcW w:w="0" w:type="dxa"/>
            <w:vAlign w:val="bottom"/>
          </w:tcPr>
          <w:p>
            <w:pPr>
              <w:spacing w:after="0"/>
              <w:rPr>
                <w:sz w:val="1"/>
                <w:szCs w:val="1"/>
                <w:color w:val="auto"/>
              </w:rPr>
            </w:pPr>
          </w:p>
        </w:tc>
      </w:tr>
      <w:tr>
        <w:trPr>
          <w:trHeight w:val="135"/>
        </w:trPr>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5</w:t>
            </w:r>
          </w:p>
        </w:tc>
        <w:tc>
          <w:tcPr>
            <w:tcW w:w="3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1/4% Senior Secured Notes due 2026</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2,502,500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2,507,780</w:t>
            </w: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line="135" w:lineRule="exact"/>
              <w:rPr>
                <w:sz w:val="20"/>
                <w:szCs w:val="20"/>
                <w:color w:val="auto"/>
              </w:rPr>
            </w:pPr>
            <w:r>
              <w:rPr>
                <w:rFonts w:ascii="Arial" w:cs="Arial" w:eastAsia="Arial" w:hAnsi="Arial"/>
                <w:sz w:val="13"/>
                <w:szCs w:val="13"/>
                <w:color w:val="auto"/>
              </w:rPr>
              <w:t>11 3/4% Senior Secured Notes due 2027</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6"/>
              </w:rPr>
              <w:t>DISH</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3,605,000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3,708,460</w:t>
            </w:r>
          </w:p>
        </w:tc>
        <w:tc>
          <w:tcPr>
            <w:tcW w:w="0" w:type="dxa"/>
            <w:vAlign w:val="bottom"/>
          </w:tcPr>
          <w:p>
            <w:pPr>
              <w:spacing w:after="0"/>
              <w:rPr>
                <w:sz w:val="1"/>
                <w:szCs w:val="1"/>
                <w:color w:val="auto"/>
              </w:rPr>
            </w:pPr>
          </w:p>
        </w:tc>
      </w:tr>
      <w:tr>
        <w:trPr>
          <w:trHeight w:val="135"/>
        </w:trPr>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7</w:t>
            </w:r>
          </w:p>
        </w:tc>
        <w:tc>
          <w:tcPr>
            <w:tcW w:w="3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3/8% Senior Notes due 2028</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722,500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715,680</w:t>
            </w:r>
          </w:p>
        </w:tc>
        <w:tc>
          <w:tcPr>
            <w:tcW w:w="0" w:type="dxa"/>
            <w:vAlign w:val="bottom"/>
          </w:tcPr>
          <w:p>
            <w:pPr>
              <w:spacing w:after="0"/>
              <w:rPr>
                <w:sz w:val="1"/>
                <w:szCs w:val="1"/>
                <w:color w:val="auto"/>
              </w:rPr>
            </w:pPr>
          </w:p>
        </w:tc>
      </w:tr>
      <w:tr>
        <w:trPr>
          <w:trHeight w:val="135"/>
        </w:trPr>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5</w:t>
            </w:r>
          </w:p>
        </w:tc>
        <w:tc>
          <w:tcPr>
            <w:tcW w:w="3100" w:type="dxa"/>
            <w:vAlign w:val="bottom"/>
          </w:tcPr>
          <w:p>
            <w:pPr>
              <w:ind w:left="20"/>
              <w:spacing w:after="0" w:line="135" w:lineRule="exact"/>
              <w:rPr>
                <w:sz w:val="20"/>
                <w:szCs w:val="20"/>
                <w:color w:val="auto"/>
              </w:rPr>
            </w:pPr>
            <w:r>
              <w:rPr>
                <w:rFonts w:ascii="Arial" w:cs="Arial" w:eastAsia="Arial" w:hAnsi="Arial"/>
                <w:sz w:val="13"/>
                <w:szCs w:val="13"/>
                <w:color w:val="auto"/>
              </w:rPr>
              <w:t>3/4% Senior Secured Notes due 2028</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2,175,000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2,143,350</w:t>
            </w:r>
          </w:p>
        </w:tc>
        <w:tc>
          <w:tcPr>
            <w:tcW w:w="0" w:type="dxa"/>
            <w:vAlign w:val="bottom"/>
          </w:tcPr>
          <w:p>
            <w:pPr>
              <w:spacing w:after="0"/>
              <w:rPr>
                <w:sz w:val="1"/>
                <w:szCs w:val="1"/>
                <w:color w:val="auto"/>
              </w:rPr>
            </w:pPr>
          </w:p>
        </w:tc>
      </w:tr>
      <w:tr>
        <w:trPr>
          <w:trHeight w:val="135"/>
        </w:trPr>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5</w:t>
            </w:r>
          </w:p>
        </w:tc>
        <w:tc>
          <w:tcPr>
            <w:tcW w:w="3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1/8% Senior Notes due 2029</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987,480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959,610</w:t>
            </w: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line="135" w:lineRule="exact"/>
              <w:rPr>
                <w:sz w:val="20"/>
                <w:szCs w:val="20"/>
                <w:color w:val="auto"/>
              </w:rPr>
            </w:pPr>
            <w:r>
              <w:rPr>
                <w:rFonts w:ascii="Arial" w:cs="Arial" w:eastAsia="Arial" w:hAnsi="Arial"/>
                <w:sz w:val="13"/>
                <w:szCs w:val="13"/>
                <w:color w:val="auto"/>
              </w:rPr>
              <w:t>Term Loan due 2029 (2)</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7"/>
              </w:rPr>
              <w:t>DBS SubscriberCo</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1,800,000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1,761,313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1,800,000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1,800,000</w:t>
            </w:r>
          </w:p>
        </w:tc>
        <w:tc>
          <w:tcPr>
            <w:tcW w:w="0" w:type="dxa"/>
            <w:vAlign w:val="bottom"/>
          </w:tcPr>
          <w:p>
            <w:pPr>
              <w:spacing w:after="0"/>
              <w:rPr>
                <w:sz w:val="1"/>
                <w:szCs w:val="1"/>
                <w:color w:val="auto"/>
              </w:rPr>
            </w:pPr>
          </w:p>
        </w:tc>
      </w:tr>
      <w:tr>
        <w:trPr>
          <w:trHeight w:val="117"/>
        </w:trPr>
        <w:tc>
          <w:tcPr>
            <w:tcW w:w="31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w w:val="97"/>
              </w:rPr>
              <w:t>Mandatorily Redeemable Preferred Shares due 2029 (2)</w:t>
            </w:r>
          </w:p>
        </w:tc>
        <w:tc>
          <w:tcPr>
            <w:tcW w:w="1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DBS SubscriberCo</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193,519</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35"/>
        </w:trPr>
        <w:tc>
          <w:tcPr>
            <w:tcW w:w="3180" w:type="dxa"/>
            <w:vAlign w:val="bottom"/>
            <w:gridSpan w:val="2"/>
          </w:tcPr>
          <w:p>
            <w:pPr>
              <w:spacing w:after="0" w:line="135" w:lineRule="exact"/>
              <w:rPr>
                <w:sz w:val="20"/>
                <w:szCs w:val="20"/>
                <w:color w:val="auto"/>
              </w:rPr>
            </w:pPr>
            <w:r>
              <w:rPr>
                <w:rFonts w:ascii="Arial" w:cs="Arial" w:eastAsia="Arial" w:hAnsi="Arial"/>
                <w:sz w:val="13"/>
                <w:szCs w:val="13"/>
                <w:color w:val="auto"/>
              </w:rPr>
              <w:t>DISH 2021 Intercompany Loan 2026 Tranche (3)</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6"/>
              </w:rPr>
              <w:t>Intercompany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4,767,289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4,767,289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4,767,289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4,767,289</w:t>
            </w: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EchoStar 2024 Intercompany Loan (4)</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Intercompany</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2,666,444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2,625,370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1,014,522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1,014,522</w:t>
            </w:r>
          </w:p>
        </w:tc>
        <w:tc>
          <w:tcPr>
            <w:tcW w:w="0" w:type="dxa"/>
            <w:vAlign w:val="bottom"/>
          </w:tcPr>
          <w:p>
            <w:pPr>
              <w:spacing w:after="0"/>
              <w:rPr>
                <w:sz w:val="1"/>
                <w:szCs w:val="1"/>
                <w:color w:val="auto"/>
              </w:rPr>
            </w:pPr>
          </w:p>
        </w:tc>
      </w:tr>
      <w:tr>
        <w:trPr>
          <w:trHeight w:val="135"/>
        </w:trPr>
        <w:tc>
          <w:tcPr>
            <w:tcW w:w="318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Other notes payable</w:t>
            </w:r>
          </w:p>
        </w:tc>
        <w:tc>
          <w:tcPr>
            <w:tcW w:w="12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38,402</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38,402</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63,297</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63,297</w:t>
            </w:r>
          </w:p>
        </w:tc>
        <w:tc>
          <w:tcPr>
            <w:tcW w:w="0" w:type="dxa"/>
            <w:vAlign w:val="bottom"/>
          </w:tcPr>
          <w:p>
            <w:pPr>
              <w:spacing w:after="0"/>
              <w:rPr>
                <w:sz w:val="1"/>
                <w:szCs w:val="1"/>
                <w:color w:val="auto"/>
              </w:rPr>
            </w:pPr>
          </w:p>
        </w:tc>
      </w:tr>
      <w:tr>
        <w:trPr>
          <w:trHeight w:val="129"/>
        </w:trPr>
        <w:tc>
          <w:tcPr>
            <w:tcW w:w="318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Subtotal</w:t>
            </w:r>
          </w:p>
        </w:tc>
        <w:tc>
          <w:tcPr>
            <w:tcW w:w="12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23,072,414</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21,488,404</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21,778,720</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20,222,039</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line="111" w:lineRule="exact"/>
              <w:rPr>
                <w:sz w:val="20"/>
                <w:szCs w:val="20"/>
                <w:color w:val="auto"/>
              </w:rPr>
            </w:pPr>
            <w:r>
              <w:rPr>
                <w:rFonts w:ascii="Arial" w:cs="Arial" w:eastAsia="Arial" w:hAnsi="Arial"/>
                <w:sz w:val="12"/>
                <w:szCs w:val="12"/>
                <w:color w:val="auto"/>
              </w:rPr>
              <w:t>Unamortized deferred financing costs and other debt</w:t>
            </w: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318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180" w:type="dxa"/>
            <w:vAlign w:val="bottom"/>
            <w:gridSpan w:val="2"/>
          </w:tcPr>
          <w:p>
            <w:pPr>
              <w:spacing w:after="0"/>
              <w:rPr>
                <w:sz w:val="20"/>
                <w:szCs w:val="20"/>
                <w:color w:val="auto"/>
              </w:rPr>
            </w:pPr>
            <w:r>
              <w:rPr>
                <w:rFonts w:ascii="Arial" w:cs="Arial" w:eastAsia="Arial" w:hAnsi="Arial"/>
                <w:sz w:val="13"/>
                <w:szCs w:val="13"/>
                <w:color w:val="auto"/>
              </w:rPr>
              <w:t>discounts, net</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(106,442)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(157,662)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Finance lease obligations (6)</w:t>
            </w: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55,793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67,199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w:t>
            </w: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23,021,765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21,688,257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Less: current portion (2)</w:t>
            </w: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(1,042,012)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(933,481)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180" w:type="dxa"/>
            <w:vAlign w:val="bottom"/>
            <w:gridSpan w:val="2"/>
          </w:tcPr>
          <w:p>
            <w:pPr>
              <w:spacing w:after="0" w:line="97" w:lineRule="exact"/>
              <w:rPr>
                <w:sz w:val="20"/>
                <w:szCs w:val="20"/>
                <w:color w:val="auto"/>
              </w:rPr>
            </w:pPr>
            <w:r>
              <w:rPr>
                <w:rFonts w:ascii="Arial" w:cs="Arial" w:eastAsia="Arial" w:hAnsi="Arial"/>
                <w:sz w:val="10"/>
                <w:szCs w:val="10"/>
                <w:b w:val="1"/>
                <w:bCs w:val="1"/>
                <w:color w:val="auto"/>
              </w:rPr>
              <w:t>Total debt, finance lease and other obligations, net of</w:t>
            </w:r>
          </w:p>
        </w:tc>
        <w:tc>
          <w:tcPr>
            <w:tcW w:w="1260" w:type="dxa"/>
            <w:vAlign w:val="bottom"/>
          </w:tcPr>
          <w:p>
            <w:pPr>
              <w:spacing w:after="0"/>
              <w:rPr>
                <w:sz w:val="8"/>
                <w:szCs w:val="8"/>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21,979,753</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20,754,776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1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current portion</w:t>
            </w:r>
          </w:p>
        </w:tc>
        <w:tc>
          <w:tcPr>
            <w:tcW w:w="126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right="159" w:hanging="330"/>
        <w:spacing w:after="0" w:line="241"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three and six months ended June 30, 2025, we redeemed approximately $166 million and $333 million, respectively, of our Term Loan due 2025. The remaining balance of approximately $167 million is paid monthly and the final payment is due September 30, 2025.</w:t>
      </w:r>
    </w:p>
    <w:p>
      <w:pPr>
        <w:spacing w:after="0" w:line="1" w:lineRule="exact"/>
        <w:rPr>
          <w:rFonts w:ascii="Arial" w:cs="Arial" w:eastAsia="Arial" w:hAnsi="Arial"/>
          <w:sz w:val="18"/>
          <w:szCs w:val="18"/>
          <w:color w:val="auto"/>
        </w:rPr>
      </w:pPr>
    </w:p>
    <w:p>
      <w:pPr>
        <w:ind w:left="380" w:right="279" w:hanging="330"/>
        <w:spacing w:after="0" w:line="234"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portion of the principal balance of these instruments is classified as “Current portion of debt, finance lease and other obligations” due to payment terms upon which </w:t>
      </w:r>
      <w:r>
        <w:rPr>
          <w:rFonts w:ascii="Arial" w:cs="Arial" w:eastAsia="Arial" w:hAnsi="Arial"/>
          <w:sz w:val="18"/>
          <w:szCs w:val="18"/>
          <w:color w:val="222222"/>
        </w:rPr>
        <w:t>we will pay a portion of</w:t>
      </w:r>
      <w:r>
        <w:rPr>
          <w:rFonts w:ascii="Arial" w:cs="Arial" w:eastAsia="Arial" w:hAnsi="Arial"/>
          <w:sz w:val="18"/>
          <w:szCs w:val="18"/>
          <w:color w:val="auto"/>
        </w:rPr>
        <w:t xml:space="preserve"> principal balance based on the </w:t>
      </w:r>
      <w:r>
        <w:rPr>
          <w:rFonts w:ascii="Arial" w:cs="Arial" w:eastAsia="Arial" w:hAnsi="Arial"/>
          <w:sz w:val="18"/>
          <w:szCs w:val="18"/>
          <w:color w:val="222222"/>
        </w:rPr>
        <w:t>variable cash flows for certain Pay-TV business metrics which are an estimate and could change</w:t>
      </w:r>
      <w:r>
        <w:rPr>
          <w:rFonts w:ascii="Arial" w:cs="Arial" w:eastAsia="Arial" w:hAnsi="Arial"/>
          <w:sz w:val="18"/>
          <w:szCs w:val="18"/>
          <w:color w:val="auto"/>
        </w:rPr>
        <w:t xml:space="preserve"> </w:t>
      </w:r>
      <w:r>
        <w:rPr>
          <w:rFonts w:ascii="Arial" w:cs="Arial" w:eastAsia="Arial" w:hAnsi="Arial"/>
          <w:sz w:val="18"/>
          <w:szCs w:val="18"/>
          <w:color w:val="222222"/>
        </w:rPr>
        <w:t>significantly based on actual performance.</w:t>
      </w:r>
    </w:p>
    <w:p>
      <w:pPr>
        <w:spacing w:after="0" w:line="2" w:lineRule="exact"/>
        <w:rPr>
          <w:rFonts w:ascii="Arial" w:cs="Arial" w:eastAsia="Arial" w:hAnsi="Arial"/>
          <w:sz w:val="18"/>
          <w:szCs w:val="18"/>
          <w:color w:val="auto"/>
        </w:rPr>
      </w:pPr>
    </w:p>
    <w:p>
      <w:pPr>
        <w:ind w:left="380" w:right="399" w:hanging="330"/>
        <w:spacing w:after="0" w:line="234"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DISH 2021 Intercompany Loan 2026 Tranche is not publicly traded and the estimated fair value of the assets associated with the underlying collateral are greater than or equal to carrying value, therefore the carrying value is deemed to be the fair value.</w:t>
      </w:r>
    </w:p>
    <w:p>
      <w:pPr>
        <w:spacing w:after="0" w:line="2" w:lineRule="exact"/>
        <w:rPr>
          <w:rFonts w:ascii="Arial" w:cs="Arial" w:eastAsia="Arial" w:hAnsi="Arial"/>
          <w:sz w:val="18"/>
          <w:szCs w:val="18"/>
          <w:color w:val="auto"/>
        </w:rPr>
      </w:pPr>
    </w:p>
    <w:p>
      <w:pPr>
        <w:ind w:left="380" w:right="139" w:hanging="330"/>
        <w:spacing w:after="0" w:line="234"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three and six months ended June 30, 2025, we borrowed an addition principal amount of $847 million and $1.557 billion, respectively, under the EchoStar 2024 Intercompany Loan. In addition, during the three and six months ended June 30, 2025, we made interest payments in kind of $59 million and $95 million, respectively.</w:t>
      </w:r>
    </w:p>
    <w:p>
      <w:pPr>
        <w:spacing w:after="0" w:line="2" w:lineRule="exact"/>
        <w:rPr>
          <w:rFonts w:ascii="Arial" w:cs="Arial" w:eastAsia="Arial" w:hAnsi="Arial"/>
          <w:sz w:val="18"/>
          <w:szCs w:val="18"/>
          <w:color w:val="auto"/>
        </w:rPr>
      </w:pPr>
    </w:p>
    <w:p>
      <w:pPr>
        <w:ind w:left="380" w:hanging="330"/>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Due to the June 30, 2029 mandatory redemption feature of this instrument, it is considered a debt instrument.</w:t>
      </w:r>
    </w:p>
    <w:p>
      <w:pPr>
        <w:spacing w:after="0" w:line="7" w:lineRule="exact"/>
        <w:rPr>
          <w:rFonts w:ascii="Arial" w:cs="Arial" w:eastAsia="Arial" w:hAnsi="Arial"/>
          <w:sz w:val="17"/>
          <w:szCs w:val="17"/>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80"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 We estimated the fair value of our non-publicly traded debt based on, among other things, available trade information and/or valuations performed by a third-party (Level 3).</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Notes and Convertible Notes</w:t>
      </w:r>
    </w:p>
    <w:p>
      <w:pPr>
        <w:spacing w:after="0" w:line="196"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The below summaries are not complete and are qualified in entirety by reference to the full and complete text of the applicable indentures.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Existing DISH Convertible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0% Convertible Notes due 2025</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December 21, 2020, we issued $2.0 billion aggregate principal amount of the Convertible Notes due December 15, 2025 in a private placement. A portion of these notes were extinguished and an aggregate principal amount of $138 million remains outstanding. These notes will not bear interest, and the principal amount of the Notes will not increase over time.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2025 are:</w:t>
      </w:r>
    </w:p>
    <w:p>
      <w:pPr>
        <w:spacing w:after="0" w:line="198"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459" w:hanging="319"/>
        <w:spacing w:after="0" w:line="234"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2025;</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6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2025 may be converted at an initial conversion rate of 8.566 shares of EchoStar’s Class A common stock per $1,000 principal amount of the Convertible Notes due 2025 (equivalent to an initial conversion price of approximately $116.74 per share of EchoStar’s Class A common stock) (the “Initial Conversion Rate”), at any time on or after July 15, 2025 through the second scheduled trading day preceding the maturity date. Holders of the Convertible Notes due 2025 also had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EchoStar will settle its conversion obligation in cash, shares of EchoStar’s Class A common stock or a combination of cash and shares of EchoStar’s Class A common stock, at its election.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3/8% Convertible Notes due 2026</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August 8, 2016, we issued $3.0 billion aggregate principal amount of the Convertible Notes due August 15, 2026 in a private offering. A portion of these notes were extinguished and an aggregate principal amount of $45 million remains outstanding. Interest accrues at an annual rate of 3 3/8% and is payable semi-annually in cash, in arrears on February 15 and August 15 of each year.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2026 are:</w:t>
      </w:r>
    </w:p>
    <w:p>
      <w:pPr>
        <w:spacing w:after="0" w:line="185"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45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2026;</w:t>
      </w: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79"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6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2026 may be converted at an initial conversion rate of 5.383 shares of EchoStar’s Class A common stock per $1,000 principal amount of Convertible Notes due 2026 (equivalent to an initial conversion price of approximately $185.76 per share of EchoStar’s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EchoStar will settle its conversion obligation in cash, shares of EchoStar’s Class A common stock or a combination of cash and shares of EchoStar’s Class A common stock, at its election.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DBS Unsecured Senior Notes</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 3/4% Senior Notes due 2026</w:t>
      </w:r>
    </w:p>
    <w:p>
      <w:pPr>
        <w:spacing w:after="0" w:line="196"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 xml:space="preserve">On June 13, 2016, we issued $2.0 billion aggregate principal amount of our ten-year 7 3/4% Senior Notes due July 1, 2026. Interest accrues at an annual rate of 7 3/4% and is payable semi-annually in cash, in arrears on January 1 and July 1 of each year. </w:t>
      </w:r>
      <w:r>
        <w:rPr>
          <w:rFonts w:ascii="Arial" w:cs="Arial" w:eastAsia="Arial" w:hAnsi="Arial"/>
          <w:sz w:val="18"/>
          <w:szCs w:val="18"/>
          <w:color w:val="222222"/>
        </w:rPr>
        <w:t>We elected not to make the approximately $78 million cash interest payment</w:t>
      </w:r>
      <w:r>
        <w:rPr>
          <w:rFonts w:ascii="Arial" w:cs="Arial" w:eastAsia="Arial" w:hAnsi="Arial"/>
          <w:sz w:val="18"/>
          <w:szCs w:val="18"/>
          <w:color w:val="auto"/>
        </w:rPr>
        <w:t xml:space="preserve"> </w:t>
      </w:r>
      <w:r>
        <w:rPr>
          <w:rFonts w:ascii="Arial" w:cs="Arial" w:eastAsia="Arial" w:hAnsi="Arial"/>
          <w:sz w:val="18"/>
          <w:szCs w:val="18"/>
          <w:color w:val="222222"/>
        </w:rPr>
        <w:t>due on July 1, 2025 (the “</w:t>
      </w:r>
      <w:r>
        <w:rPr>
          <w:rFonts w:ascii="Arial" w:cs="Arial" w:eastAsia="Arial" w:hAnsi="Arial"/>
          <w:sz w:val="18"/>
          <w:szCs w:val="18"/>
          <w:color w:val="000000"/>
        </w:rPr>
        <w:t>7 3/4%</w:t>
      </w:r>
      <w:r>
        <w:rPr>
          <w:rFonts w:ascii="Arial" w:cs="Arial" w:eastAsia="Arial" w:hAnsi="Arial"/>
          <w:sz w:val="18"/>
          <w:szCs w:val="18"/>
          <w:color w:val="222222"/>
        </w:rPr>
        <w:t xml:space="preserve"> Interest Payment”). Under the related indenture, such non-payment is a default and we had a 30-day grace period to make the </w:t>
      </w:r>
      <w:r>
        <w:rPr>
          <w:rFonts w:ascii="Arial" w:cs="Arial" w:eastAsia="Arial" w:hAnsi="Arial"/>
          <w:sz w:val="18"/>
          <w:szCs w:val="18"/>
          <w:color w:val="000000"/>
        </w:rPr>
        <w:t>7 3/4%</w:t>
      </w:r>
      <w:r>
        <w:rPr>
          <w:rFonts w:ascii="Arial" w:cs="Arial" w:eastAsia="Arial" w:hAnsi="Arial"/>
          <w:sz w:val="18"/>
          <w:szCs w:val="18"/>
          <w:color w:val="222222"/>
        </w:rPr>
        <w:t xml:space="preserve"> Interest Payment before such non-payment 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July 30, 2025, we made the scheduled </w:t>
      </w:r>
      <w:r>
        <w:rPr>
          <w:rFonts w:ascii="Arial" w:cs="Arial" w:eastAsia="Arial" w:hAnsi="Arial"/>
          <w:sz w:val="18"/>
          <w:szCs w:val="18"/>
          <w:color w:val="000000"/>
        </w:rPr>
        <w:t>7 3/4%</w:t>
      </w:r>
      <w:r>
        <w:rPr>
          <w:rFonts w:ascii="Arial" w:cs="Arial" w:eastAsia="Arial" w:hAnsi="Arial"/>
          <w:sz w:val="18"/>
          <w:szCs w:val="18"/>
          <w:color w:val="222222"/>
        </w:rPr>
        <w:t xml:space="preserve"> Interest Payment originally due July 1, 2025</w:t>
      </w:r>
      <w:r>
        <w:rPr>
          <w:rFonts w:ascii="Arial" w:cs="Arial" w:eastAsia="Arial" w:hAnsi="Arial"/>
          <w:sz w:val="18"/>
          <w:szCs w:val="18"/>
          <w:color w:val="000000"/>
        </w:rPr>
        <w:t>,</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 3/8% Senior Notes due 2028</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 xml:space="preserve">On July 1, 2020, we issued $1.0 billion aggregate principal amount of our 7 3/8% Senior Notes due July 1, 2028. Interest accrues at an annual rate of 7 3/8% and is payable semi-annually in cash, in arrears on January 1 and July 1 of each year. We elected not to make the approximately $37 million cash interest payment due on July 1, 2025 (the “7 3/8% Interest Payment”). </w:t>
      </w:r>
      <w:r>
        <w:rPr>
          <w:rFonts w:ascii="Arial" w:cs="Arial" w:eastAsia="Arial" w:hAnsi="Arial"/>
          <w:sz w:val="18"/>
          <w:szCs w:val="18"/>
          <w:color w:val="222222"/>
        </w:rPr>
        <w:t>Under the related indenture, such non-payment is a default and we had a</w:t>
      </w:r>
      <w:r>
        <w:rPr>
          <w:rFonts w:ascii="Arial" w:cs="Arial" w:eastAsia="Arial" w:hAnsi="Arial"/>
          <w:sz w:val="18"/>
          <w:szCs w:val="18"/>
          <w:color w:val="auto"/>
        </w:rPr>
        <w:t xml:space="preserve"> </w:t>
      </w:r>
      <w:r>
        <w:rPr>
          <w:rFonts w:ascii="Arial" w:cs="Arial" w:eastAsia="Arial" w:hAnsi="Arial"/>
          <w:sz w:val="18"/>
          <w:szCs w:val="18"/>
          <w:color w:val="222222"/>
        </w:rPr>
        <w:t xml:space="preserve">30-day grace period to make the </w:t>
      </w:r>
      <w:r>
        <w:rPr>
          <w:rFonts w:ascii="Arial" w:cs="Arial" w:eastAsia="Arial" w:hAnsi="Arial"/>
          <w:sz w:val="18"/>
          <w:szCs w:val="18"/>
          <w:color w:val="000000"/>
        </w:rPr>
        <w:t>7 3/8% Interest Payment</w:t>
      </w:r>
      <w:r>
        <w:rPr>
          <w:rFonts w:ascii="Arial" w:cs="Arial" w:eastAsia="Arial" w:hAnsi="Arial"/>
          <w:sz w:val="18"/>
          <w:szCs w:val="18"/>
          <w:color w:val="222222"/>
        </w:rPr>
        <w:t xml:space="preserve"> before such non-payment 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July 30, 2025, we made the scheduled </w:t>
      </w:r>
      <w:r>
        <w:rPr>
          <w:rFonts w:ascii="Arial" w:cs="Arial" w:eastAsia="Arial" w:hAnsi="Arial"/>
          <w:sz w:val="18"/>
          <w:szCs w:val="18"/>
          <w:color w:val="000000"/>
        </w:rPr>
        <w:t>7 3/8% Interest Payment</w:t>
      </w:r>
      <w:r>
        <w:rPr>
          <w:rFonts w:ascii="Arial" w:cs="Arial" w:eastAsia="Arial" w:hAnsi="Arial"/>
          <w:sz w:val="18"/>
          <w:szCs w:val="18"/>
          <w:color w:val="222222"/>
        </w:rPr>
        <w:t xml:space="preserve"> originally due July 1, 2025</w:t>
      </w:r>
      <w:r>
        <w:rPr>
          <w:rFonts w:ascii="Arial" w:cs="Arial" w:eastAsia="Arial" w:hAnsi="Arial"/>
          <w:sz w:val="18"/>
          <w:szCs w:val="18"/>
          <w:color w:val="000000"/>
        </w:rPr>
        <w:t>,</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1/8% Senior Notes due 2029</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 xml:space="preserve">On May 24, 2021, we issued $1.5 billion aggregate principal amount of our 5 1/8% Senior Notes due June 1, 2029. Interest accrues at an annual rate of 5 1/8% and is payable semi-annually in cash, in arrears on June 1 and December 1 of each year. We elected not to make the approximately $38 million cash interest payment due on June 2, 2025 (the “5 1/8% Interest Payment”). Under the related indenture, such non-payment is a default and we had a 30-day </w:t>
      </w:r>
      <w:r>
        <w:rPr>
          <w:rFonts w:ascii="Arial" w:cs="Arial" w:eastAsia="Arial" w:hAnsi="Arial"/>
          <w:sz w:val="18"/>
          <w:szCs w:val="18"/>
          <w:color w:val="222222"/>
        </w:rPr>
        <w:t>grace period to make the</w:t>
      </w:r>
      <w:r>
        <w:rPr>
          <w:rFonts w:ascii="Arial" w:cs="Arial" w:eastAsia="Arial" w:hAnsi="Arial"/>
          <w:sz w:val="18"/>
          <w:szCs w:val="18"/>
          <w:color w:val="auto"/>
        </w:rPr>
        <w:t xml:space="preserve"> 5 1/8% </w:t>
      </w:r>
      <w:r>
        <w:rPr>
          <w:rFonts w:ascii="Arial" w:cs="Arial" w:eastAsia="Arial" w:hAnsi="Arial"/>
          <w:sz w:val="18"/>
          <w:szCs w:val="18"/>
          <w:color w:val="222222"/>
        </w:rPr>
        <w:t>Interest Payment before such non-payment would have been an</w:t>
      </w:r>
      <w:r>
        <w:rPr>
          <w:rFonts w:ascii="Arial" w:cs="Arial" w:eastAsia="Arial" w:hAnsi="Arial"/>
          <w:sz w:val="18"/>
          <w:szCs w:val="18"/>
          <w:color w:val="auto"/>
        </w:rPr>
        <w:t xml:space="preserve"> </w:t>
      </w:r>
      <w:r>
        <w:rPr>
          <w:rFonts w:ascii="Arial" w:cs="Arial" w:eastAsia="Arial" w:hAnsi="Arial"/>
          <w:sz w:val="18"/>
          <w:szCs w:val="18"/>
          <w:color w:val="222222"/>
        </w:rPr>
        <w:t>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June 27, 2025, we made the scheduled </w:t>
      </w:r>
      <w:r>
        <w:rPr>
          <w:rFonts w:ascii="Arial" w:cs="Arial" w:eastAsia="Arial" w:hAnsi="Arial"/>
          <w:sz w:val="18"/>
          <w:szCs w:val="18"/>
          <w:color w:val="000000"/>
        </w:rPr>
        <w:t>5 1/8%</w:t>
      </w:r>
      <w:r>
        <w:rPr>
          <w:rFonts w:ascii="Arial" w:cs="Arial" w:eastAsia="Arial" w:hAnsi="Arial"/>
          <w:sz w:val="18"/>
          <w:szCs w:val="18"/>
          <w:color w:val="222222"/>
        </w:rPr>
        <w:t xml:space="preserve"> Interest Payment originally due </w:t>
      </w:r>
      <w:r>
        <w:rPr>
          <w:rFonts w:ascii="Arial" w:cs="Arial" w:eastAsia="Arial" w:hAnsi="Arial"/>
          <w:sz w:val="18"/>
          <w:szCs w:val="18"/>
          <w:color w:val="000000"/>
        </w:rPr>
        <w:t>June 2, 2025,</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DBS Senior Secured Notes</w:t>
      </w: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1/4% Senior Secured Notes due 2026</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On November 26, 2021, we issued $2.750 billion aggregate principal amount of our 5 1/4% Senior Secured Notes due December 1, 2026. Interest accrues at an annual rate of 5 1/4% and is payable semi-annually in cash, in arrears on June 1 and December 1 of each year. W</w:t>
      </w:r>
      <w:r>
        <w:rPr>
          <w:rFonts w:ascii="Arial" w:cs="Arial" w:eastAsia="Arial" w:hAnsi="Arial"/>
          <w:sz w:val="18"/>
          <w:szCs w:val="18"/>
          <w:color w:val="222222"/>
        </w:rPr>
        <w:t>e elected not to make the approximately $72 million cash</w:t>
      </w:r>
      <w:r>
        <w:rPr>
          <w:rFonts w:ascii="Arial" w:cs="Arial" w:eastAsia="Arial" w:hAnsi="Arial"/>
          <w:sz w:val="18"/>
          <w:szCs w:val="18"/>
          <w:color w:val="auto"/>
        </w:rPr>
        <w:t xml:space="preserve"> </w:t>
      </w:r>
      <w:r>
        <w:rPr>
          <w:rFonts w:ascii="Arial" w:cs="Arial" w:eastAsia="Arial" w:hAnsi="Arial"/>
          <w:sz w:val="18"/>
          <w:szCs w:val="18"/>
          <w:color w:val="222222"/>
        </w:rPr>
        <w:t>interest payment due on June 2, 2025 (the “</w:t>
      </w:r>
      <w:r>
        <w:rPr>
          <w:rFonts w:ascii="Arial" w:cs="Arial" w:eastAsia="Arial" w:hAnsi="Arial"/>
          <w:sz w:val="18"/>
          <w:szCs w:val="18"/>
          <w:color w:val="000000"/>
        </w:rPr>
        <w:t>5 1/4%</w:t>
      </w:r>
      <w:r>
        <w:rPr>
          <w:rFonts w:ascii="Arial" w:cs="Arial" w:eastAsia="Arial" w:hAnsi="Arial"/>
          <w:sz w:val="18"/>
          <w:szCs w:val="18"/>
          <w:color w:val="222222"/>
        </w:rPr>
        <w:t xml:space="preserve"> Interest Payment”). Under the related indenture, such non-payment is a default and we had a 30-day grace period to make the </w:t>
      </w:r>
      <w:r>
        <w:rPr>
          <w:rFonts w:ascii="Arial" w:cs="Arial" w:eastAsia="Arial" w:hAnsi="Arial"/>
          <w:sz w:val="18"/>
          <w:szCs w:val="18"/>
          <w:color w:val="000000"/>
        </w:rPr>
        <w:t>5 1/4%</w:t>
      </w:r>
      <w:r>
        <w:rPr>
          <w:rFonts w:ascii="Arial" w:cs="Arial" w:eastAsia="Arial" w:hAnsi="Arial"/>
          <w:sz w:val="18"/>
          <w:szCs w:val="18"/>
          <w:color w:val="222222"/>
        </w:rPr>
        <w:t xml:space="preserve"> Interest Payment before such non-payment 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June 27, 2025, we made the scheduled </w:t>
      </w:r>
      <w:r>
        <w:rPr>
          <w:rFonts w:ascii="Arial" w:cs="Arial" w:eastAsia="Arial" w:hAnsi="Arial"/>
          <w:sz w:val="18"/>
          <w:szCs w:val="18"/>
          <w:color w:val="000000"/>
        </w:rPr>
        <w:t>5 1/4%</w:t>
      </w:r>
      <w:r>
        <w:rPr>
          <w:rFonts w:ascii="Arial" w:cs="Arial" w:eastAsia="Arial" w:hAnsi="Arial"/>
          <w:sz w:val="18"/>
          <w:szCs w:val="18"/>
          <w:color w:val="222222"/>
        </w:rPr>
        <w:t xml:space="preserve"> Interest Payment originally due </w:t>
      </w:r>
      <w:r>
        <w:rPr>
          <w:rFonts w:ascii="Arial" w:cs="Arial" w:eastAsia="Arial" w:hAnsi="Arial"/>
          <w:sz w:val="18"/>
          <w:szCs w:val="18"/>
          <w:color w:val="000000"/>
        </w:rPr>
        <w:t>June 2, 2025,</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3/4% Senior Secured Notes due 2028</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November 26, 2021, we issued $2.5 billion aggregate principal amount of our 5 3/4% Senior Secured</w:t>
      </w:r>
    </w:p>
    <w:p>
      <w:pPr>
        <w:spacing w:after="0" w:line="1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Notes due December 1, 2028. Interest accrues at an annual rate of 5 3/4% and is payable semi-annually in cash, in arrears on June 1 and December 1 of each year. W</w:t>
      </w:r>
      <w:r>
        <w:rPr>
          <w:rFonts w:ascii="Arial" w:cs="Arial" w:eastAsia="Arial" w:hAnsi="Arial"/>
          <w:sz w:val="18"/>
          <w:szCs w:val="18"/>
          <w:color w:val="222222"/>
        </w:rPr>
        <w:t>e elected not to make the approximately $72 million cash</w:t>
      </w:r>
      <w:r>
        <w:rPr>
          <w:rFonts w:ascii="Arial" w:cs="Arial" w:eastAsia="Arial" w:hAnsi="Arial"/>
          <w:sz w:val="18"/>
          <w:szCs w:val="18"/>
          <w:color w:val="auto"/>
        </w:rPr>
        <w:t xml:space="preserve"> </w:t>
      </w:r>
      <w:r>
        <w:rPr>
          <w:rFonts w:ascii="Arial" w:cs="Arial" w:eastAsia="Arial" w:hAnsi="Arial"/>
          <w:sz w:val="18"/>
          <w:szCs w:val="18"/>
          <w:color w:val="222222"/>
        </w:rPr>
        <w:t>interest payment due on June 2, 2025 (the “</w:t>
      </w:r>
      <w:r>
        <w:rPr>
          <w:rFonts w:ascii="Arial" w:cs="Arial" w:eastAsia="Arial" w:hAnsi="Arial"/>
          <w:sz w:val="18"/>
          <w:szCs w:val="18"/>
          <w:color w:val="000000"/>
        </w:rPr>
        <w:t>5 3/4%</w:t>
      </w:r>
      <w:r>
        <w:rPr>
          <w:rFonts w:ascii="Arial" w:cs="Arial" w:eastAsia="Arial" w:hAnsi="Arial"/>
          <w:sz w:val="18"/>
          <w:szCs w:val="18"/>
          <w:color w:val="222222"/>
        </w:rPr>
        <w:t xml:space="preserve"> Interest Payment”). Under the related indenture, such non-payment is a default and we had a 30-day grace period to make the </w:t>
      </w:r>
      <w:r>
        <w:rPr>
          <w:rFonts w:ascii="Arial" w:cs="Arial" w:eastAsia="Arial" w:hAnsi="Arial"/>
          <w:sz w:val="18"/>
          <w:szCs w:val="18"/>
          <w:color w:val="000000"/>
        </w:rPr>
        <w:t>5 3/4%</w:t>
      </w:r>
      <w:r>
        <w:rPr>
          <w:rFonts w:ascii="Arial" w:cs="Arial" w:eastAsia="Arial" w:hAnsi="Arial"/>
          <w:sz w:val="18"/>
          <w:szCs w:val="18"/>
          <w:color w:val="222222"/>
        </w:rPr>
        <w:t xml:space="preserve"> Interest Payment before such non-payment 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June 27, 2025, we made the scheduled </w:t>
      </w:r>
      <w:r>
        <w:rPr>
          <w:rFonts w:ascii="Arial" w:cs="Arial" w:eastAsia="Arial" w:hAnsi="Arial"/>
          <w:sz w:val="18"/>
          <w:szCs w:val="18"/>
          <w:color w:val="000000"/>
        </w:rPr>
        <w:t>5 3/4%</w:t>
      </w:r>
      <w:r>
        <w:rPr>
          <w:rFonts w:ascii="Arial" w:cs="Arial" w:eastAsia="Arial" w:hAnsi="Arial"/>
          <w:sz w:val="18"/>
          <w:szCs w:val="18"/>
          <w:color w:val="222222"/>
        </w:rPr>
        <w:t xml:space="preserve"> Interest Payment originally due </w:t>
      </w:r>
      <w:r>
        <w:rPr>
          <w:rFonts w:ascii="Arial" w:cs="Arial" w:eastAsia="Arial" w:hAnsi="Arial"/>
          <w:sz w:val="18"/>
          <w:szCs w:val="18"/>
          <w:color w:val="000000"/>
        </w:rPr>
        <w:t>June 2, 2025,</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Intercompany Loans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2021 Intercompany Loan</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net proceeds from the offering of our 5 1/4% Senior Secured Notes due 2026 and our 5 3/4% Senior Secured Notes due 2028 (the “DISH DBS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w:t>
      </w:r>
    </w:p>
    <w:p>
      <w:pPr>
        <w:spacing w:after="0" w:line="1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Interest accrues and is payable semiannually, and interest payments with respect to the DISH 2021 Intercompany Loan were, at our option, payable in kind for the first two years from the issuance date of November 2021. In the third year post issuance date, a minimum of 50% of each interest payment due with respect to each tranche of the DISH 2021 Intercompany Loan were required to be paid in cash. Currently and prospectively, interest payments must be paid in cash. Interest accrues: (a) when paid in cash, at a fixed rate of 0.25% per annum in excess of the interest rate applicable to, in the case of the DISH 2021 Intercompany Loan 2026 Tranche, the 5 1/4% Senior Secured Notes due 2026, and in the case of the DISH 2021 Intercompany Loan 2028 Tranche, the 5 3/4% Senior Secured Notes due 2028 (each, the “Cash Accrual Rate” with respect to the applicable tranche); and (b) when paid in kind, at a rate of 0.50% per annum in excess of the Cash Accrual Rate for the applicable tranche.</w:t>
      </w:r>
    </w:p>
    <w:p>
      <w:pPr>
        <w:spacing w:after="0" w:line="166"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As of June 30, 2025, the total DISH 2021 Intercompany Loan amount outstanding plus interest paid in kind was $7.612 billion.</w:t>
      </w:r>
    </w:p>
    <w:p>
      <w:pPr>
        <w:spacing w:after="0" w:line="140" w:lineRule="exact"/>
        <w:rPr>
          <w:sz w:val="20"/>
          <w:szCs w:val="20"/>
          <w:color w:val="auto"/>
        </w:rPr>
      </w:pPr>
    </w:p>
    <w:p>
      <w:pPr>
        <w:jc w:val="both"/>
        <w:ind w:left="60" w:right="439"/>
        <w:spacing w:after="0" w:line="253" w:lineRule="auto"/>
        <w:rPr>
          <w:sz w:val="20"/>
          <w:szCs w:val="20"/>
          <w:color w:val="auto"/>
        </w:rPr>
      </w:pPr>
      <w:r>
        <w:rPr>
          <w:rFonts w:ascii="Arial" w:cs="Arial" w:eastAsia="Arial" w:hAnsi="Arial"/>
          <w:sz w:val="18"/>
          <w:szCs w:val="18"/>
          <w:i w:val="1"/>
          <w:iCs w:val="1"/>
          <w:color w:val="auto"/>
        </w:rPr>
        <w:t xml:space="preserve">DISH 2021 Intercompany Loan 2028 Tranche. </w:t>
      </w:r>
      <w:r>
        <w:rPr>
          <w:rFonts w:ascii="Arial" w:cs="Arial" w:eastAsia="Arial" w:hAnsi="Arial"/>
          <w:sz w:val="18"/>
          <w:szCs w:val="18"/>
          <w:color w:val="auto"/>
        </w:rPr>
        <w:t>As of June 30, 2025, the DISH 2021 Intercompany Loan 2028</w:t>
      </w:r>
      <w:r>
        <w:rPr>
          <w:rFonts w:ascii="Arial" w:cs="Arial" w:eastAsia="Arial" w:hAnsi="Arial"/>
          <w:sz w:val="18"/>
          <w:szCs w:val="18"/>
          <w:i w:val="1"/>
          <w:iCs w:val="1"/>
          <w:color w:val="auto"/>
        </w:rPr>
        <w:t xml:space="preserve"> </w:t>
      </w:r>
      <w:r>
        <w:rPr>
          <w:rFonts w:ascii="Arial" w:cs="Arial" w:eastAsia="Arial" w:hAnsi="Arial"/>
          <w:sz w:val="18"/>
          <w:szCs w:val="18"/>
          <w:color w:val="auto"/>
        </w:rPr>
        <w:t>Tranche amount outstanding plus interest paid in kind was $2.844 billion. The DISH 2021 Intercompany Loan 2028 Tranche is eliminated in consolidation.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i w:val="1"/>
          <w:iCs w:val="1"/>
          <w:color w:val="auto"/>
        </w:rPr>
        <w:t xml:space="preserve">DISH 2021 Intercompany Loan 2026 Tranche. </w:t>
      </w:r>
      <w:r>
        <w:rPr>
          <w:rFonts w:ascii="Arial" w:cs="Arial" w:eastAsia="Arial" w:hAnsi="Arial"/>
          <w:sz w:val="18"/>
          <w:szCs w:val="18"/>
          <w:color w:val="auto"/>
        </w:rPr>
        <w:t>In January 2024, DISH DBS assigned the DISH 2021</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 2026 Tranche of $4.7 billion to EchoStar Intercompany Receivable Company L.L.C., our parent, EchoStar’s, direct wholly-owned subsidiary, such that amounts owed in respect of the DISH 2021 Intercompany Loan 2026 Tranche will now be paid by us to EchoStar Intercompany Receivable Company L.L.C. The DISH 2021 Intercompany Loan 2026 Tranche was previously eliminated in consolidation as it was held by DISH DBS.</w:t>
      </w:r>
    </w:p>
    <w:p>
      <w:pPr>
        <w:spacing w:after="0" w:line="165"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As of June 30, 2025, the total DISH 2021 Intercompany Loan 2026 Tranche amount outstanding plus interest paid in kind was $4.767 billion, not including “DISH 2021 Intercompany Loan 2026 Tranche - Interest payable in cash” of $22 million recorded on our Condensed Consolidated Balance Sheets. During the three and six months ended June 30, 2025, we made $131 million in interest payments for the DISH 2021 Intercompany Loan 2026 Tranche paid in cash to EchoStar Intercompany Receivable Company L.L.C., a subsidiary of our parent, EchoStar.</w:t>
      </w:r>
    </w:p>
    <w:p>
      <w:pPr>
        <w:spacing w:after="0" w:line="15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DISH 2021 Intercompany Loan was initially secured by interest in the wireless spectrum licenses for the 3.45-3.55 GHz Licenses up to the total loan amount outstanding including interest paid in kind. Pursuant to the terms of the DISH 2021 Intercompany Loan, under certain circumstances, DISH Network wireless spectrum licenses (valued based upon a third-party valuation) may be substituted for the collateral. During the first quarter of 2025, we exercised our right to exchange certain of the 3.45-3.55 GHz Licenses for certain other previously unencumbered wireless spectrum licenses of equal or greater value based upon the most recent third-party valuation, which we acquired as part of the Wireless Spectrum License Exchange, detailed and defined in Note 9. The DISH 2021 Intercompany Loan is not included as collateral for the DISH DBS Senior Secured Notes, and the DISH DBS Senior Secured Notes are subordinated to DISH DBS’s existing and certain future unsecured notes with respect to certain realizations under the DISH 2021 Intercompany Loan and any collateral pledged as security for the DISH 2021 Intercompany Loan.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Q2 2024 Intercompany Loan</w:t>
      </w:r>
    </w:p>
    <w:p>
      <w:pPr>
        <w:spacing w:after="0" w:line="198" w:lineRule="exact"/>
        <w:rPr>
          <w:sz w:val="20"/>
          <w:szCs w:val="20"/>
          <w:color w:val="auto"/>
        </w:rPr>
      </w:pPr>
    </w:p>
    <w:p>
      <w:pPr>
        <w:ind w:left="60" w:right="139" w:hanging="12"/>
        <w:spacing w:after="0" w:line="242" w:lineRule="auto"/>
        <w:rPr>
          <w:sz w:val="20"/>
          <w:szCs w:val="20"/>
          <w:color w:val="auto"/>
        </w:rPr>
      </w:pPr>
      <w:r>
        <w:rPr>
          <w:rFonts w:ascii="Arial" w:cs="Arial" w:eastAsia="Arial" w:hAnsi="Arial"/>
          <w:sz w:val="18"/>
          <w:szCs w:val="18"/>
          <w:color w:val="auto"/>
        </w:rPr>
        <w:t>In June 2024, we entered into an intercompany loan with DISH DBS (the “DISH Q2 2024 Intercompany Loan”) for an initial principal amount of $1.508 billion. The DISH Q2 2024 Intercompany Loan matures on August 13, 2028. Interest accrues and is payable monthly and interest payments are payable in kind. The interest rate with respect to the DISH Q2 2024 Intercompany Loan is at a variable rate. As of June 30, 2025, the total DISH Q2 2024 Intercompany Loan amount outstanding plus interest paid in kind was $1.631 billion. The DISH Q2 2024 Intercompany Loan is eliminated in consolidation.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Q3 2024 Intercompany Loan</w:t>
      </w:r>
    </w:p>
    <w:p>
      <w:pPr>
        <w:spacing w:after="0" w:line="198" w:lineRule="exact"/>
        <w:rPr>
          <w:sz w:val="20"/>
          <w:szCs w:val="20"/>
          <w:color w:val="auto"/>
        </w:rPr>
      </w:pPr>
    </w:p>
    <w:p>
      <w:pPr>
        <w:ind w:left="60" w:right="119" w:hanging="12"/>
        <w:spacing w:after="0" w:line="242" w:lineRule="auto"/>
        <w:rPr>
          <w:sz w:val="20"/>
          <w:szCs w:val="20"/>
          <w:color w:val="auto"/>
        </w:rPr>
      </w:pPr>
      <w:r>
        <w:rPr>
          <w:rFonts w:ascii="Arial" w:cs="Arial" w:eastAsia="Arial" w:hAnsi="Arial"/>
          <w:sz w:val="18"/>
          <w:szCs w:val="18"/>
          <w:color w:val="auto"/>
        </w:rPr>
        <w:t>In September 2024, we entered into an intercompany loan with DISH DBS (the “DISH Q3 2024 Intercompany Loan”) for an initial principal amount of $481 million. The DISH Q3 2024 Intercompany Loan matures on November 13, 2028. Interest accrues and is payable monthly and interest payments are payable in kind. The interest rate with respect to the DISH Q3 2024 Intercompany Loan is at a variable rate. As of June 30, 2025, the total DISH Q3 2024 Intercompany Loan amount outstanding plus interest paid in kind was $510 million. The DISH Q3 2024 Intercompany Loan is eliminated in consolidation.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EchoStar 2024 Intercompany Loan</w:t>
      </w:r>
    </w:p>
    <w:p>
      <w:pPr>
        <w:spacing w:after="0" w:line="198" w:lineRule="exact"/>
        <w:rPr>
          <w:sz w:val="20"/>
          <w:szCs w:val="20"/>
          <w:color w:val="auto"/>
        </w:rPr>
      </w:pPr>
    </w:p>
    <w:p>
      <w:pPr>
        <w:ind w:left="60" w:right="99" w:hanging="12"/>
        <w:spacing w:after="0" w:line="238" w:lineRule="auto"/>
        <w:rPr>
          <w:sz w:val="20"/>
          <w:szCs w:val="20"/>
          <w:color w:val="auto"/>
        </w:rPr>
      </w:pPr>
      <w:r>
        <w:rPr>
          <w:rFonts w:ascii="Arial" w:cs="Arial" w:eastAsia="Arial" w:hAnsi="Arial"/>
          <w:sz w:val="18"/>
          <w:szCs w:val="18"/>
          <w:color w:val="auto"/>
        </w:rPr>
        <w:t>In November 2024, DISH Wireless L.L.C., our subsidiary, entered into an intercompany loan with EchoStar Financing L.L.C., a subsidiary of our parent, EchoStar, for a borrowing principal amount of up to $4.500 billion (the “EchoStar 2024 Intercompany Loan”), with all borrowings at the sole discretion of our parent, EchoStar. The EchoStar 2024 Intercompany Loan matures on November 30, 2030. Interest accrues at an annual rate of 11.50% and is payable monthly. Interest payments are payable in kind. DISH Wireless L.L.C., at its option, may elect to repay the EchoStar 2024 Intercompany Loan amount outstanding prior to maturity in cash or assets at a redemption price equal to 100% of the principal amount. During the three and six months ended June 30, 2025, we borrowed an addition principal amount of $847 million and $1.557 billion, respectively. As of June 30, 2025, the total EchoStar 2024 Intercompany Loan amount outstanding plus interest paid in kind was $2.666 billion. During the three and six months ended June 30, 2025, we recorded $59 million and $95 million, respectively, of “Interest expense, net of amounts capitalized” on our Condensed Consolidated Statements of Operations and Comprehensive Income (Loss).</w:t>
      </w:r>
    </w:p>
    <w:p>
      <w:pPr>
        <w:spacing w:after="0" w:line="156" w:lineRule="exact"/>
        <w:rPr>
          <w:sz w:val="20"/>
          <w:szCs w:val="20"/>
          <w:color w:val="auto"/>
        </w:rPr>
      </w:pPr>
    </w:p>
    <w:p>
      <w:pPr>
        <w:ind w:left="60" w:right="5519" w:hanging="10"/>
        <w:spacing w:after="0" w:line="470" w:lineRule="auto"/>
        <w:tabs>
          <w:tab w:leader="none" w:pos="70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w:t>
      </w:r>
    </w:p>
    <w:p>
      <w:pPr>
        <w:spacing w:after="0" w:line="196" w:lineRule="exact"/>
        <w:rPr>
          <w:sz w:val="20"/>
          <w:szCs w:val="20"/>
          <w:color w:val="auto"/>
        </w:rPr>
      </w:pPr>
    </w:p>
    <w:p>
      <w:pPr>
        <w:ind w:left="60" w:right="199" w:hanging="7"/>
        <w:spacing w:after="0" w:line="255" w:lineRule="auto"/>
        <w:rPr>
          <w:sz w:val="20"/>
          <w:szCs w:val="20"/>
          <w:color w:val="auto"/>
        </w:rPr>
      </w:pPr>
      <w:r>
        <w:rPr>
          <w:rFonts w:ascii="Arial" w:cs="Arial" w:eastAsia="Arial" w:hAnsi="Arial"/>
          <w:sz w:val="17"/>
          <w:szCs w:val="17"/>
          <w:color w:val="auto"/>
        </w:rPr>
        <w:t>We initially invested a total of over $30 billion in Wireless spectrum licenses, and a portion of these licenses were included in the Wireless Spectrum License Exchange and the Sale and Transfer of Assets to EchoStar. We currently have $24 billion of investments related to Wireless spectrum licenses, which does not include $7 billion of capitalized interest related to the carrying value of such licenses. See Note 2 and Note 12 for further information. We continue to commercialize our Wireless spectrum licenses through the completion of our 5G Network. We have committed to the FCC to deploy a facilities-based 5G broadband network capable of serving increasingly larger portions of the U.S. population at different deadlines. There can be no assurance that we will be able to complete all build-out requirements or profitably deploy our Wireless spectrum licenses, which may affect the carrying amount of these assets and our future financial condition or results of operations.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 Spectrum Licenses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Developments</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i w:val="1"/>
          <w:iCs w:val="1"/>
          <w:color w:val="auto"/>
        </w:rPr>
        <w:t xml:space="preserve">Wireless Spectrum License Exchange. </w:t>
      </w:r>
      <w:r>
        <w:rPr>
          <w:rFonts w:ascii="Arial" w:cs="Arial" w:eastAsia="Arial" w:hAnsi="Arial"/>
          <w:sz w:val="18"/>
          <w:szCs w:val="18"/>
          <w:color w:val="auto"/>
        </w:rPr>
        <w:t>In accordance with Accounting Standards Codification 805-50,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 Related Issues, for transactions among entities under common control, generally the assets transferred and/or exchanged are recorded at the net carrying value of the assets. The difference between the net carrying values of the assets transferred and/or exchanged is recorded in “Additional paid-in capital” on our Condensed Consolidated Balance Sheets. On March 21, 2025, we exchanged interests in our wholly-owned subsidiaries which hold certain 3.45-3.55 GHz Licenses with our parent, EchoStar, for interests in their wholly-owned subsidiaries that hold the 700 MHz, LMDS, C-Band – Cheyenne (3.7-3.98 GHz), 24 GHz, 28 GHz, 37GHz, 39GHz and 47GHz Licenses (together with the 3.45-3.55 GHz Licenses, the “Exchanged Wireless Spectrum Licenses”), the (“Wireless Spectrum License Exchange.”) The difference between the net carrying values of the Exchanged Wireless Spectrum Licenses of $267 million, net of tax, was recorded in “Additional paid-in capital” on our Condensed Consolidated Balance Sheets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color w:val="auto"/>
        </w:rPr>
        <w:t>Our Wireless spectrum licenses are subject to certain build-out requirements, as well as certain renewal requirements that are summarized in the table below:</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Build-Out Deadlines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40" w:type="dxa"/>
            <w:vAlign w:val="bottom"/>
            <w:tcBorders>
              <w:bottom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Final</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520" w:type="dxa"/>
            <w:vAlign w:val="bottom"/>
          </w:tcPr>
          <w:p>
            <w:pPr>
              <w:spacing w:after="0"/>
              <w:rPr>
                <w:sz w:val="9"/>
                <w:szCs w:val="9"/>
                <w:color w:val="auto"/>
              </w:rPr>
            </w:pPr>
          </w:p>
        </w:tc>
        <w:tc>
          <w:tcPr>
            <w:tcW w:w="104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6"/>
              </w:rPr>
              <w:t>Carrying Amount</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Interim</w:t>
            </w:r>
          </w:p>
        </w:tc>
        <w:tc>
          <w:tcPr>
            <w:tcW w:w="13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Accelerated License</w:t>
            </w:r>
          </w:p>
        </w:tc>
        <w:tc>
          <w:tcPr>
            <w:tcW w:w="13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Extension License</w:t>
            </w: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Expiration Date</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1040" w:type="dxa"/>
            <w:vAlign w:val="bottom"/>
            <w:tcBorders>
              <w:bottom w:val="single" w:sz="8" w:color="auto"/>
            </w:tcBorders>
            <w:gridSpan w:val="3"/>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Areas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Areas</w:t>
            </w:r>
          </w:p>
        </w:tc>
        <w:tc>
          <w:tcPr>
            <w:tcW w:w="1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Owned:</w:t>
            </w:r>
          </w:p>
        </w:tc>
        <w:tc>
          <w:tcPr>
            <w:tcW w:w="1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(In thousands)</w:t>
            </w:r>
          </w:p>
        </w:tc>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DBS Licenses (1)</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677,409</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80"/>
              <w:spacing w:after="0" w:line="135" w:lineRule="exact"/>
              <w:rPr>
                <w:sz w:val="20"/>
                <w:szCs w:val="20"/>
                <w:color w:val="auto"/>
              </w:rPr>
            </w:pPr>
            <w:r>
              <w:rPr>
                <w:rFonts w:ascii="Arial" w:cs="Arial" w:eastAsia="Arial" w:hAnsi="Arial"/>
                <w:sz w:val="13"/>
                <w:szCs w:val="13"/>
                <w:color w:val="auto"/>
              </w:rPr>
              <w:t>700 MHz Licenses (2)(3)</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701,803</w:t>
            </w: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December 31, 2024 (4)</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June 14, 2025 (7)</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98"/>
              </w:rPr>
              <w:t>June 2033</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600 MHz Licenses</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6,192,575</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December 31, 2024 (5)</w:t>
            </w: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June 14, 2025 (8)</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June 2029</w:t>
            </w:r>
          </w:p>
        </w:tc>
        <w:tc>
          <w:tcPr>
            <w:tcW w:w="0" w:type="dxa"/>
            <w:vAlign w:val="bottom"/>
          </w:tcPr>
          <w:p>
            <w:pPr>
              <w:spacing w:after="0"/>
              <w:rPr>
                <w:sz w:val="1"/>
                <w:szCs w:val="1"/>
                <w:color w:val="auto"/>
              </w:rPr>
            </w:pPr>
          </w:p>
        </w:tc>
      </w:tr>
      <w:tr>
        <w:trPr>
          <w:trHeight w:val="135"/>
        </w:trPr>
        <w:tc>
          <w:tcPr>
            <w:tcW w:w="2520" w:type="dxa"/>
            <w:vAlign w:val="bottom"/>
          </w:tcPr>
          <w:p>
            <w:pPr>
              <w:ind w:left="80"/>
              <w:spacing w:after="0" w:line="135" w:lineRule="exact"/>
              <w:rPr>
                <w:sz w:val="20"/>
                <w:szCs w:val="20"/>
                <w:color w:val="auto"/>
              </w:rPr>
            </w:pPr>
            <w:r>
              <w:rPr>
                <w:rFonts w:ascii="Arial" w:cs="Arial" w:eastAsia="Arial" w:hAnsi="Arial"/>
                <w:sz w:val="13"/>
                <w:szCs w:val="13"/>
                <w:color w:val="auto"/>
              </w:rPr>
              <w:t>LMDS Licenses (1)(3)</w:t>
            </w:r>
          </w:p>
        </w:tc>
        <w:tc>
          <w:tcPr>
            <w:tcW w:w="10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95"/>
              </w:rPr>
              <w:t>September 2028</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28 GHz Licenses (3)</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2,883</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October 2, 2029 (9)</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October 2029</w:t>
            </w:r>
          </w:p>
        </w:tc>
        <w:tc>
          <w:tcPr>
            <w:tcW w:w="0" w:type="dxa"/>
            <w:vAlign w:val="bottom"/>
          </w:tcPr>
          <w:p>
            <w:pPr>
              <w:spacing w:after="0"/>
              <w:rPr>
                <w:sz w:val="1"/>
                <w:szCs w:val="1"/>
                <w:color w:val="auto"/>
              </w:rPr>
            </w:pPr>
          </w:p>
        </w:tc>
      </w:tr>
      <w:tr>
        <w:trPr>
          <w:trHeight w:val="135"/>
        </w:trPr>
        <w:tc>
          <w:tcPr>
            <w:tcW w:w="2520" w:type="dxa"/>
            <w:vAlign w:val="bottom"/>
          </w:tcPr>
          <w:p>
            <w:pPr>
              <w:ind w:left="80"/>
              <w:spacing w:after="0" w:line="135" w:lineRule="exact"/>
              <w:rPr>
                <w:sz w:val="20"/>
                <w:szCs w:val="20"/>
                <w:color w:val="auto"/>
              </w:rPr>
            </w:pPr>
            <w:r>
              <w:rPr>
                <w:rFonts w:ascii="Arial" w:cs="Arial" w:eastAsia="Arial" w:hAnsi="Arial"/>
                <w:sz w:val="13"/>
                <w:szCs w:val="13"/>
                <w:color w:val="auto"/>
              </w:rPr>
              <w:t>24 GHz Licenses (3)</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11,772</w:t>
            </w: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December 11, 2029 (9)</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97"/>
              </w:rPr>
              <w:t>December 2029</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9"/>
              </w:rPr>
              <w:t>37 GHz, 39 GHz and 47 GHz Licenses (3)</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202,392</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June 4, 2030 (9)</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June 2030</w:t>
            </w:r>
          </w:p>
        </w:tc>
        <w:tc>
          <w:tcPr>
            <w:tcW w:w="0" w:type="dxa"/>
            <w:vAlign w:val="bottom"/>
          </w:tcPr>
          <w:p>
            <w:pPr>
              <w:spacing w:after="0"/>
              <w:rPr>
                <w:sz w:val="1"/>
                <w:szCs w:val="1"/>
                <w:color w:val="auto"/>
              </w:rPr>
            </w:pPr>
          </w:p>
        </w:tc>
      </w:tr>
      <w:tr>
        <w:trPr>
          <w:trHeight w:val="135"/>
        </w:trPr>
        <w:tc>
          <w:tcPr>
            <w:tcW w:w="2520" w:type="dxa"/>
            <w:vAlign w:val="bottom"/>
          </w:tcPr>
          <w:p>
            <w:pPr>
              <w:ind w:left="80"/>
              <w:spacing w:after="0" w:line="135" w:lineRule="exact"/>
              <w:rPr>
                <w:sz w:val="20"/>
                <w:szCs w:val="20"/>
                <w:color w:val="auto"/>
              </w:rPr>
            </w:pPr>
            <w:r>
              <w:rPr>
                <w:rFonts w:ascii="Arial" w:cs="Arial" w:eastAsia="Arial" w:hAnsi="Arial"/>
                <w:sz w:val="13"/>
                <w:szCs w:val="13"/>
                <w:color w:val="auto"/>
              </w:rPr>
              <w:t>3.7-3.98 GHz Licenses (3)</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2,969</w:t>
            </w:r>
          </w:p>
        </w:tc>
        <w:tc>
          <w:tcPr>
            <w:tcW w:w="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7"/>
              </w:rPr>
              <w:t>July 23, 2029 (9)</w:t>
            </w:r>
          </w:p>
        </w:tc>
        <w:tc>
          <w:tcPr>
            <w:tcW w:w="13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7"/>
              </w:rPr>
              <w:t>July 23, 2033 (9)</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96"/>
              </w:rPr>
              <w:t>July 2036</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3.45–3.55 GHz Licenses (3)</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6,073,432</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May 4, 2026 (10)</w:t>
            </w: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May 4, 2030 (10)</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May 2037</w:t>
            </w:r>
          </w:p>
        </w:tc>
        <w:tc>
          <w:tcPr>
            <w:tcW w:w="0" w:type="dxa"/>
            <w:vAlign w:val="bottom"/>
          </w:tcPr>
          <w:p>
            <w:pPr>
              <w:spacing w:after="0"/>
              <w:rPr>
                <w:sz w:val="1"/>
                <w:szCs w:val="1"/>
                <w:color w:val="auto"/>
              </w:rPr>
            </w:pPr>
          </w:p>
        </w:tc>
      </w:tr>
      <w:tr>
        <w:trPr>
          <w:trHeight w:val="117"/>
        </w:trPr>
        <w:tc>
          <w:tcPr>
            <w:tcW w:w="2520" w:type="dxa"/>
            <w:vAlign w:val="bottom"/>
          </w:tcPr>
          <w:p>
            <w:pPr>
              <w:ind w:left="80"/>
              <w:spacing w:after="0" w:line="117" w:lineRule="exact"/>
              <w:rPr>
                <w:sz w:val="20"/>
                <w:szCs w:val="20"/>
                <w:color w:val="auto"/>
              </w:rPr>
            </w:pPr>
            <w:r>
              <w:rPr>
                <w:rFonts w:ascii="Arial" w:cs="Arial" w:eastAsia="Arial" w:hAnsi="Arial"/>
                <w:sz w:val="13"/>
                <w:szCs w:val="13"/>
                <w:color w:val="auto"/>
              </w:rPr>
              <w:t>1695-1710 MHz, 1755-1780 MHz and</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tcPr>
          <w:p>
            <w:pPr>
              <w:ind w:left="20"/>
              <w:spacing w:after="0"/>
              <w:rPr>
                <w:sz w:val="20"/>
                <w:szCs w:val="20"/>
                <w:color w:val="auto"/>
              </w:rPr>
            </w:pPr>
            <w:r>
              <w:rPr>
                <w:rFonts w:ascii="Arial" w:cs="Arial" w:eastAsia="Arial" w:hAnsi="Arial"/>
                <w:sz w:val="13"/>
                <w:szCs w:val="13"/>
                <w:color w:val="auto"/>
              </w:rPr>
              <w:t>2155-2180 MHz (2)</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972</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6"/>
              </w:rPr>
              <w:t>March 2026</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AWS-3</w:t>
            </w: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5,557,828</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December 31, 2024 (6) October 25, 2025 (11)</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October 2025 (11)</w:t>
            </w:r>
          </w:p>
        </w:tc>
        <w:tc>
          <w:tcPr>
            <w:tcW w:w="0" w:type="dxa"/>
            <w:vAlign w:val="bottom"/>
          </w:tcPr>
          <w:p>
            <w:pPr>
              <w:spacing w:after="0"/>
              <w:rPr>
                <w:sz w:val="1"/>
                <w:szCs w:val="1"/>
                <w:color w:val="auto"/>
              </w:rPr>
            </w:pPr>
          </w:p>
        </w:tc>
      </w:tr>
      <w:tr>
        <w:trPr>
          <w:trHeight w:val="128"/>
        </w:trPr>
        <w:tc>
          <w:tcPr>
            <w:tcW w:w="252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i w:val="1"/>
                <w:iCs w:val="1"/>
                <w:color w:val="auto"/>
              </w:rPr>
              <w:t>Subtotal owned</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19,424,035</w:t>
            </w:r>
          </w:p>
        </w:tc>
        <w:tc>
          <w:tcPr>
            <w:tcW w:w="2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320" w:type="dxa"/>
            <w:vAlign w:val="bottom"/>
            <w:tcBorders>
              <w:bottom w:val="single" w:sz="8" w:color="CCEEFF"/>
            </w:tcBorders>
          </w:tcPr>
          <w:p>
            <w:pPr>
              <w:spacing w:after="0"/>
              <w:rPr>
                <w:sz w:val="11"/>
                <w:szCs w:val="11"/>
                <w:color w:val="auto"/>
              </w:rPr>
            </w:pPr>
          </w:p>
        </w:tc>
        <w:tc>
          <w:tcPr>
            <w:tcW w:w="1320" w:type="dxa"/>
            <w:vAlign w:val="bottom"/>
            <w:tcBorders>
              <w:bottom w:val="single" w:sz="8" w:color="CCEEFF"/>
            </w:tcBorders>
          </w:tcPr>
          <w:p>
            <w:pPr>
              <w:spacing w:after="0"/>
              <w:rPr>
                <w:sz w:val="11"/>
                <w:szCs w:val="11"/>
                <w:color w:val="auto"/>
              </w:rPr>
            </w:pPr>
          </w:p>
        </w:tc>
        <w:tc>
          <w:tcPr>
            <w:tcW w:w="17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Noncontrolling Investments: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SNR</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4,271,459</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December 31, 2024 (6)</w:t>
            </w: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October 2025 (11)</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October 2025 (11)</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Capitalized Interest (12)</w:t>
            </w: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7,289,803</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Regulatory authorizations, net</w:t>
            </w: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30,985,297</w:t>
            </w:r>
          </w:p>
        </w:tc>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Leased from EchoStar (13):</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AWS-4 Licenses (2)</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1,928,688</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December 31, 2024 (4)</w:t>
            </w: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June 14, 2025 (7)</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June 2033</w:t>
            </w:r>
          </w:p>
        </w:tc>
        <w:tc>
          <w:tcPr>
            <w:tcW w:w="0" w:type="dxa"/>
            <w:vAlign w:val="bottom"/>
          </w:tcPr>
          <w:p>
            <w:pPr>
              <w:spacing w:after="0"/>
              <w:rPr>
                <w:sz w:val="1"/>
                <w:szCs w:val="1"/>
                <w:color w:val="auto"/>
              </w:rPr>
            </w:pPr>
          </w:p>
        </w:tc>
      </w:tr>
      <w:tr>
        <w:trPr>
          <w:trHeight w:val="135"/>
        </w:trPr>
        <w:tc>
          <w:tcPr>
            <w:tcW w:w="2520" w:type="dxa"/>
            <w:vAlign w:val="bottom"/>
          </w:tcPr>
          <w:p>
            <w:pPr>
              <w:ind w:left="80"/>
              <w:spacing w:after="0" w:line="135" w:lineRule="exact"/>
              <w:rPr>
                <w:sz w:val="20"/>
                <w:szCs w:val="20"/>
                <w:color w:val="auto"/>
              </w:rPr>
            </w:pPr>
            <w:r>
              <w:rPr>
                <w:rFonts w:ascii="Arial" w:cs="Arial" w:eastAsia="Arial" w:hAnsi="Arial"/>
                <w:sz w:val="13"/>
                <w:szCs w:val="13"/>
                <w:color w:val="auto"/>
              </w:rPr>
              <w:t>H Block Licenses (2)</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1,671,506</w:t>
            </w: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December 31, 2024 (4)</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7"/>
              </w:rPr>
              <w:t>June 14, 2025 (14)</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98"/>
              </w:rPr>
              <w:t>June 2033</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MVDDS Licenses (1)</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24,000</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July, August, September 2034</w:t>
            </w:r>
          </w:p>
        </w:tc>
        <w:tc>
          <w:tcPr>
            <w:tcW w:w="0" w:type="dxa"/>
            <w:vAlign w:val="bottom"/>
          </w:tcPr>
          <w:p>
            <w:pPr>
              <w:spacing w:after="0"/>
              <w:rPr>
                <w:sz w:val="1"/>
                <w:szCs w:val="1"/>
                <w:color w:val="auto"/>
              </w:rPr>
            </w:pPr>
          </w:p>
        </w:tc>
      </w:tr>
      <w:tr>
        <w:trPr>
          <w:trHeight w:val="135"/>
        </w:trPr>
        <w:tc>
          <w:tcPr>
            <w:tcW w:w="2520" w:type="dxa"/>
            <w:vAlign w:val="bottom"/>
          </w:tcPr>
          <w:p>
            <w:pPr>
              <w:ind w:left="80"/>
              <w:spacing w:after="0" w:line="135" w:lineRule="exact"/>
              <w:rPr>
                <w:sz w:val="20"/>
                <w:szCs w:val="20"/>
                <w:color w:val="auto"/>
              </w:rPr>
            </w:pPr>
            <w:r>
              <w:rPr>
                <w:rFonts w:ascii="Arial" w:cs="Arial" w:eastAsia="Arial" w:hAnsi="Arial"/>
                <w:sz w:val="13"/>
                <w:szCs w:val="13"/>
                <w:color w:val="auto"/>
              </w:rPr>
              <w:t>3550-3650 MHz Licenses</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912,200</w:t>
            </w: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March 12, 2031 (9)</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96"/>
              </w:rPr>
              <w:t>March 2031</w:t>
            </w: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3.45–3.55 GHz Licenses (3)</w:t>
            </w: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1,255,661</w:t>
            </w: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May 4, 2026 (10)</w:t>
            </w:r>
          </w:p>
        </w:tc>
        <w:tc>
          <w:tcPr>
            <w:tcW w:w="132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May 4, 2030 (10)</w:t>
            </w: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May 2037</w:t>
            </w:r>
          </w:p>
        </w:tc>
        <w:tc>
          <w:tcPr>
            <w:tcW w:w="0" w:type="dxa"/>
            <w:vAlign w:val="bottom"/>
          </w:tcPr>
          <w:p>
            <w:pPr>
              <w:spacing w:after="0"/>
              <w:rPr>
                <w:sz w:val="1"/>
                <w:szCs w:val="1"/>
                <w:color w:val="auto"/>
              </w:rPr>
            </w:pPr>
          </w:p>
        </w:tc>
      </w:tr>
      <w:tr>
        <w:trPr>
          <w:trHeight w:val="128"/>
        </w:trPr>
        <w:tc>
          <w:tcPr>
            <w:tcW w:w="252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Leased from EchoStar</w:t>
            </w: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5,792,055</w:t>
            </w: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30"/>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build-out deadlines for these licenses have been met.</w:t>
      </w:r>
    </w:p>
    <w:p>
      <w:pPr>
        <w:spacing w:after="0" w:line="13"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interim build-out deadlines for these licenses are in the past.</w:t>
      </w:r>
    </w:p>
    <w:p>
      <w:pPr>
        <w:ind w:left="380"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above for further information on the Wireless Spectrum License Exchange.</w:t>
      </w:r>
    </w:p>
    <w:p>
      <w:pPr>
        <w:ind w:left="380" w:right="159" w:hanging="330"/>
        <w:spacing w:after="0" w:line="236"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color w:val="222222"/>
        </w:rPr>
        <w:t>n a January 10, 2025 filing to the FCC, we certified that we were offering</w:t>
      </w:r>
      <w:r>
        <w:rPr>
          <w:rFonts w:ascii="Arial" w:cs="Arial" w:eastAsia="Arial" w:hAnsi="Arial"/>
          <w:sz w:val="18"/>
          <w:szCs w:val="18"/>
          <w:color w:val="auto"/>
        </w:rPr>
        <w:t xml:space="preserve"> 5G broadband service for certain of these license areas to at least 85% of the population in each Economic Area (which is a service area established by the FCC), and offering 5G broadband service for certain other licenses to at least 80% of the population in each Economic Area by this date (part of Commitments #2 and #3 of the September 2024 FCC Extension Request “Extension Request”). These licenses are set forth in Appendices A and D of the Extension Request. Under the Extension Request, if we successfully fulfill Commitments #2 and #3, the final construction deadline for the AWS-4 licenses, the AWS H Block licenses, and the Lower 700 MHz E Block licenses listed in Appendix G-1 of the Extension Request shall be extended from June 14, 2025 to December 14, 2026. While the FCC has not yet updated the build-out deadlines in the Universal Licensing System, the licenses remain in effect based upon the submission of our build-out certifications. See Note 1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80" w:right="79" w:hanging="330"/>
        <w:spacing w:after="0" w:line="236"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 January 10, 2025 filing to the FCC, we certified that we were offering 5G broadband service for certain of these license areas to at least 85% of the population in each Partial Economic Area (which is a service area established by the FCC), and offering 5G broadband service for certain other licenses to at least 80% of the population in each Partial Economic Area by this date (part of Commitments #2 and #3 of the Extension Request). These licenses are set forth in Appendices B and E of the Extension Request. Under the Extension Request, if we successfully fulfill Commitments #2 and #3, the final construction deadline for the 600 MHz licenses listed in Appendix G-2 of the Extension Request shall be extended from June 14, 2025 to December 14, 2026. While the FCC has not yet updated the build-out deadlines in the Universal Licensing System, the licenses remain in effect based upon the submission of our build-out certifications. See Note 1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 for additional information.</w:t>
      </w:r>
    </w:p>
    <w:p>
      <w:pPr>
        <w:spacing w:after="0" w:line="7" w:lineRule="exact"/>
        <w:rPr>
          <w:rFonts w:ascii="Arial" w:cs="Arial" w:eastAsia="Arial" w:hAnsi="Arial"/>
          <w:sz w:val="18"/>
          <w:szCs w:val="18"/>
          <w:color w:val="auto"/>
        </w:rPr>
      </w:pPr>
    </w:p>
    <w:p>
      <w:pPr>
        <w:ind w:left="380" w:right="79" w:hanging="330"/>
        <w:spacing w:after="0" w:line="23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 January 10, 2025 filing to the FCC, we certified that we were offering reliable signal coverage for certain of these license areas and offering service for certain accelerated licenses to at least 85% of the population of each license area and for certain other accelerated licenses to at least 80% of the population of each license area by this date (part of Commitments #2 and #3 the Extension Request). These accelerated licenses are set forth in Appendices C and F of the Extension Request. Under the Extension Request, if we successfully fulfill Commitment #2 and Commitment #3, the final construction deadlines for the AWS-3 licenses listed in Appendix G-3 of the Extension Request shall be extended from June 14, 2025 to December 14, 2026. While the FCC has not yet updated the build-out deadlines in the Universal Licensing System, the licenses remain in effect based upon the submission of our build-out certifications. See Note 1 “</w:t>
      </w:r>
      <w:r>
        <w:rPr>
          <w:rFonts w:ascii="Arial" w:cs="Arial" w:eastAsia="Arial" w:hAnsi="Arial"/>
          <w:sz w:val="18"/>
          <w:szCs w:val="18"/>
          <w:i w:val="1"/>
          <w:iCs w:val="1"/>
          <w:color w:val="auto"/>
        </w:rPr>
        <w:t>Recent Developments</w:t>
      </w:r>
      <w:r>
        <w:rPr>
          <w:rFonts w:ascii="Arial" w:cs="Arial" w:eastAsia="Arial" w:hAnsi="Arial"/>
          <w:sz w:val="18"/>
          <w:szCs w:val="18"/>
          <w:color w:val="auto"/>
        </w:rPr>
        <w:t>” for additional information.</w:t>
      </w:r>
    </w:p>
    <w:p>
      <w:pPr>
        <w:spacing w:after="0" w:line="6" w:lineRule="exact"/>
        <w:rPr>
          <w:rFonts w:ascii="Arial" w:cs="Arial" w:eastAsia="Arial" w:hAnsi="Arial"/>
          <w:sz w:val="18"/>
          <w:szCs w:val="18"/>
          <w:color w:val="auto"/>
        </w:rPr>
      </w:pPr>
    </w:p>
    <w:p>
      <w:pPr>
        <w:ind w:left="380" w:right="79" w:hanging="330"/>
        <w:spacing w:after="0" w:line="235" w:lineRule="auto"/>
        <w:tabs>
          <w:tab w:leader="none" w:pos="380" w:val="left"/>
        </w:tabs>
        <w:numPr>
          <w:ilvl w:val="0"/>
          <w:numId w:val="31"/>
        </w:numPr>
        <w:rPr>
          <w:rFonts w:ascii="Arial" w:cs="Arial" w:eastAsia="Arial" w:hAnsi="Arial"/>
          <w:sz w:val="18"/>
          <w:szCs w:val="18"/>
          <w:color w:val="222222"/>
        </w:rPr>
      </w:pPr>
      <w:r>
        <w:rPr>
          <w:rFonts w:ascii="Arial" w:cs="Arial" w:eastAsia="Arial" w:hAnsi="Arial"/>
          <w:sz w:val="18"/>
          <w:szCs w:val="18"/>
          <w:color w:val="auto"/>
        </w:rPr>
        <w:t xml:space="preserve">For the 700 MHz and AWS-4 licenses set forth in Appendix G-1 of the Extension Request, we have certified to meeting the accelerated build-out obligations described in footnotes 4, 5 and 6 herein (thus fulfilling Commitments #2 and #3 of the Extension Request), and as a result the final deadline for us to offer 5G broadband service to at least 70% of the population in each Economic Area (which is a service area established by the FCC)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5G broadband service to, at least, 80%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of the U.S. population and (ii) we were offering a low-cost 5G broadband plan and device to consumers nationwide. In a March 17, 2025 filing to the FCC, we certified that we have upgraded our deployed 5G sites to 3GPP Release 17. In a May 5, 2025 filing to the FCC, we certified that </w:t>
      </w:r>
      <w:r>
        <w:rPr>
          <w:rFonts w:ascii="Arial" w:cs="Arial" w:eastAsia="Arial" w:hAnsi="Arial"/>
          <w:sz w:val="18"/>
          <w:szCs w:val="18"/>
          <w:color w:val="222222"/>
        </w:rPr>
        <w:t>we have deployed at least 24,000</w:t>
      </w:r>
      <w:r>
        <w:rPr>
          <w:rFonts w:ascii="Arial" w:cs="Arial" w:eastAsia="Arial" w:hAnsi="Arial"/>
          <w:sz w:val="18"/>
          <w:szCs w:val="18"/>
          <w:color w:val="auto"/>
        </w:rPr>
        <w:t xml:space="preserve"> </w:t>
      </w:r>
      <w:r>
        <w:rPr>
          <w:rFonts w:ascii="Arial" w:cs="Arial" w:eastAsia="Arial" w:hAnsi="Arial"/>
          <w:sz w:val="18"/>
          <w:szCs w:val="18"/>
          <w:color w:val="222222"/>
        </w:rPr>
        <w:t>5G sites. In a June 17, 2025 filing to the FCC, we certified that we have provisioned at least 75% of new subscribers with an EchoStar-certified 5G device on our MNO network if the subscriber is within the accelerated markets as set forth in Appendices A-F of the Extension Request. See Note 1 “</w:t>
      </w:r>
      <w:r>
        <w:rPr>
          <w:rFonts w:ascii="Arial" w:cs="Arial" w:eastAsia="Arial" w:hAnsi="Arial"/>
          <w:sz w:val="18"/>
          <w:szCs w:val="18"/>
          <w:i w:val="1"/>
          <w:iCs w:val="1"/>
          <w:color w:val="222222"/>
        </w:rPr>
        <w:t>Recent</w:t>
      </w:r>
      <w:r>
        <w:rPr>
          <w:rFonts w:ascii="Arial" w:cs="Arial" w:eastAsia="Arial" w:hAnsi="Arial"/>
          <w:sz w:val="18"/>
          <w:szCs w:val="18"/>
          <w:color w:val="222222"/>
        </w:rPr>
        <w:t xml:space="preserve"> </w:t>
      </w:r>
      <w:r>
        <w:rPr>
          <w:rFonts w:ascii="Arial" w:cs="Arial" w:eastAsia="Arial" w:hAnsi="Arial"/>
          <w:sz w:val="18"/>
          <w:szCs w:val="18"/>
          <w:i w:val="1"/>
          <w:iCs w:val="1"/>
          <w:color w:val="222222"/>
        </w:rPr>
        <w:t>Developments</w:t>
      </w:r>
      <w:r>
        <w:rPr>
          <w:rFonts w:ascii="Arial" w:cs="Arial" w:eastAsia="Arial" w:hAnsi="Arial"/>
          <w:sz w:val="18"/>
          <w:szCs w:val="18"/>
          <w:color w:val="222222"/>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80" w:right="79" w:hanging="330"/>
        <w:spacing w:after="0" w:line="250"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For the 600 MHz licenses set forth in Appendix G-2 of the Extension Request, we have certified to meeting the accelerated build-out obligations described in footnotes 4, 5 and 6 herein (thus fulfilling Commitments #2 and #3 of the Extension Request), and as a result the final deadline for us to offer 5G broadband service to at least 75% of the population in each Partial Economic Area (which is a service area established by the FCC)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5G broadband service to, at least, 80%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of the U.S. population and (ii) we were offering a low-cost 5G broadband plan and device to consumers nationwide. In a March 17, 2025 filing to the FCC, we certified that we have upgraded our deployed 5G sites to 3GPP Release 17. In a May 5, 2025 filing to the FCC, we certified that </w:t>
      </w:r>
      <w:r>
        <w:rPr>
          <w:rFonts w:ascii="Arial" w:cs="Arial" w:eastAsia="Arial" w:hAnsi="Arial"/>
          <w:sz w:val="17"/>
          <w:szCs w:val="17"/>
          <w:color w:val="222222"/>
        </w:rPr>
        <w:t>we have deployed at least 24,000 5G sites. In a June 17, 2025 filing to</w:t>
      </w:r>
      <w:r>
        <w:rPr>
          <w:rFonts w:ascii="Arial" w:cs="Arial" w:eastAsia="Arial" w:hAnsi="Arial"/>
          <w:sz w:val="17"/>
          <w:szCs w:val="17"/>
          <w:color w:val="auto"/>
        </w:rPr>
        <w:t xml:space="preserve"> </w:t>
      </w:r>
      <w:r>
        <w:rPr>
          <w:rFonts w:ascii="Arial" w:cs="Arial" w:eastAsia="Arial" w:hAnsi="Arial"/>
          <w:sz w:val="17"/>
          <w:szCs w:val="17"/>
          <w:color w:val="222222"/>
        </w:rPr>
        <w:t>the FCC, we certified that we have provisioned at least 75% of new subscribers with an EchoStar-certified 5G device on our MNO network if the subscriber is within the accelerated markets as set forth in Appendices A-F of the Extension Request. See Note 1 “</w:t>
      </w:r>
      <w:r>
        <w:rPr>
          <w:rFonts w:ascii="Arial" w:cs="Arial" w:eastAsia="Arial" w:hAnsi="Arial"/>
          <w:sz w:val="17"/>
          <w:szCs w:val="17"/>
          <w:i w:val="1"/>
          <w:iCs w:val="1"/>
          <w:color w:val="222222"/>
        </w:rPr>
        <w:t>Recent Developments</w:t>
      </w:r>
      <w:r>
        <w:rPr>
          <w:rFonts w:ascii="Arial" w:cs="Arial" w:eastAsia="Arial" w:hAnsi="Arial"/>
          <w:sz w:val="17"/>
          <w:szCs w:val="17"/>
          <w:color w:val="222222"/>
        </w:rPr>
        <w:t>” for additional information.</w:t>
      </w:r>
    </w:p>
    <w:p>
      <w:pPr>
        <w:spacing w:after="0" w:line="9" w:lineRule="exact"/>
        <w:rPr>
          <w:rFonts w:ascii="Arial" w:cs="Arial" w:eastAsia="Arial" w:hAnsi="Arial"/>
          <w:sz w:val="17"/>
          <w:szCs w:val="17"/>
          <w:color w:val="auto"/>
        </w:rPr>
      </w:pPr>
    </w:p>
    <w:p>
      <w:pPr>
        <w:ind w:left="380" w:hanging="330"/>
        <w:spacing w:after="0" w:line="23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w:t>
      </w:r>
    </w:p>
    <w:p>
      <w:pPr>
        <w:jc w:val="both"/>
        <w:ind w:left="380" w:right="159" w:hanging="330"/>
        <w:spacing w:after="0" w:line="23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 If the interim build-out requirement is not met, the final build-out requirement may be accelerated by one year from May 2030 to May 2029.</w:t>
      </w:r>
    </w:p>
    <w:p>
      <w:pPr>
        <w:spacing w:after="0" w:line="2"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the AWS-3 licenses set forth in Appendix G-3 of the Extension Request, we have certified to meeting the accelerated build-out obligations described in footnotes 4, 5 and 6 herein (thus fulfilling Commitments #2 and #3 of the Extension Request), and as a result the final deadline for us to offer reliable signal coverage to at least 75% of the population in each license area with respect to these licenses shall be extended to December 14, 2026. While the FCC has not yet updated the build-out deadlines in the Universal Licensing System, the licenses remain in effect based upon the submission of our build-out certifications. Under the Extension</w:t>
      </w:r>
    </w:p>
    <w:p>
      <w:pPr>
        <w:spacing w:after="0" w:line="3" w:lineRule="exact"/>
        <w:rPr>
          <w:sz w:val="20"/>
          <w:szCs w:val="20"/>
          <w:color w:val="auto"/>
        </w:rPr>
      </w:pPr>
    </w:p>
    <w:p>
      <w:pPr>
        <w:ind w:left="380" w:right="79"/>
        <w:spacing w:after="0" w:line="234" w:lineRule="auto"/>
        <w:rPr>
          <w:sz w:val="20"/>
          <w:szCs w:val="20"/>
          <w:color w:val="auto"/>
        </w:rPr>
      </w:pPr>
      <w:r>
        <w:rPr>
          <w:rFonts w:ascii="Arial" w:cs="Arial" w:eastAsia="Arial" w:hAnsi="Arial"/>
          <w:sz w:val="18"/>
          <w:szCs w:val="18"/>
          <w:color w:val="auto"/>
        </w:rPr>
        <w:t xml:space="preserve">Request, the final construction deadline shall be further extended to June 14, 2028, if: by December 31, 2024, we have offered reliable signal coverage to, at least, 80%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reliable signal coverage to, at least, 80% of the U.S. population and (ii) we were offering a low-cost 5G broadband plan and device to consumers nationwide. In a March 17, 2025 filing to the FCC, we certified that we have upgraded our deployed 5G sites to 3GPP Release 17. In a May 5, 2025 filing to the FCC, we certified that </w:t>
      </w:r>
      <w:r>
        <w:rPr>
          <w:rFonts w:ascii="Arial" w:cs="Arial" w:eastAsia="Arial" w:hAnsi="Arial"/>
          <w:sz w:val="18"/>
          <w:szCs w:val="18"/>
          <w:color w:val="222222"/>
        </w:rPr>
        <w:t>we</w:t>
      </w:r>
      <w:r>
        <w:rPr>
          <w:rFonts w:ascii="Arial" w:cs="Arial" w:eastAsia="Arial" w:hAnsi="Arial"/>
          <w:sz w:val="18"/>
          <w:szCs w:val="18"/>
          <w:color w:val="auto"/>
        </w:rPr>
        <w:t xml:space="preserve"> </w:t>
      </w:r>
      <w:r>
        <w:rPr>
          <w:rFonts w:ascii="Arial" w:cs="Arial" w:eastAsia="Arial" w:hAnsi="Arial"/>
          <w:sz w:val="18"/>
          <w:szCs w:val="18"/>
          <w:color w:val="222222"/>
        </w:rPr>
        <w:t>have deployed at least 24,000 5G sites. In a June 17, 2025 filing to the FCC, we certified that we have provisioned at least 75% of new subscribers with an EchoStar-certified 5G device on our MNO network if the subscriber is within the accelerated markets as set forth in Appendices A-F of the Extension Request. See Note 1 “</w:t>
      </w:r>
      <w:r>
        <w:rPr>
          <w:rFonts w:ascii="Arial" w:cs="Arial" w:eastAsia="Arial" w:hAnsi="Arial"/>
          <w:sz w:val="18"/>
          <w:szCs w:val="18"/>
          <w:i w:val="1"/>
          <w:iCs w:val="1"/>
          <w:color w:val="222222"/>
        </w:rPr>
        <w:t>Recent Developments</w:t>
      </w:r>
      <w:r>
        <w:rPr>
          <w:rFonts w:ascii="Arial" w:cs="Arial" w:eastAsia="Arial" w:hAnsi="Arial"/>
          <w:sz w:val="18"/>
          <w:szCs w:val="18"/>
          <w:color w:val="222222"/>
        </w:rPr>
        <w:t>” for additional information.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(12)See Note 2 for further information.</w:t>
      </w:r>
    </w:p>
    <w:p>
      <w:pPr>
        <w:ind w:left="60"/>
        <w:spacing w:after="0"/>
        <w:rPr>
          <w:sz w:val="20"/>
          <w:szCs w:val="20"/>
          <w:color w:val="auto"/>
        </w:rPr>
      </w:pPr>
      <w:r>
        <w:rPr>
          <w:rFonts w:ascii="Arial" w:cs="Arial" w:eastAsia="Arial" w:hAnsi="Arial"/>
          <w:sz w:val="18"/>
          <w:szCs w:val="18"/>
          <w:color w:val="auto"/>
        </w:rPr>
        <w:t>(13)See Note 12 for Related Party Transactions with EchoStar.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80" w:right="79" w:hanging="330"/>
        <w:spacing w:after="0" w:line="251"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For the H-Block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of the population in each Economic Area (which is a service area established by the FCC)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5G broadband service to, at least, 80%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of the U.S. population and (ii) we were offering a low-cost 5G broadband plan and device to consumers nationwide. In a March 17, 2025 filing to the FCC, we certified that we have upgraded our deployed 5G sites to 3GPP Release 17. In a May 5, 2025 filing to the FCC, we certified that </w:t>
      </w:r>
      <w:r>
        <w:rPr>
          <w:rFonts w:ascii="Arial" w:cs="Arial" w:eastAsia="Arial" w:hAnsi="Arial"/>
          <w:sz w:val="17"/>
          <w:szCs w:val="17"/>
          <w:color w:val="222222"/>
        </w:rPr>
        <w:t>we have deployed at least 24,000 5G sites. In a June 17, 2025 filing to</w:t>
      </w:r>
      <w:r>
        <w:rPr>
          <w:rFonts w:ascii="Arial" w:cs="Arial" w:eastAsia="Arial" w:hAnsi="Arial"/>
          <w:sz w:val="17"/>
          <w:szCs w:val="17"/>
          <w:color w:val="auto"/>
        </w:rPr>
        <w:t xml:space="preserve"> </w:t>
      </w:r>
      <w:r>
        <w:rPr>
          <w:rFonts w:ascii="Arial" w:cs="Arial" w:eastAsia="Arial" w:hAnsi="Arial"/>
          <w:sz w:val="17"/>
          <w:szCs w:val="17"/>
          <w:color w:val="222222"/>
        </w:rPr>
        <w:t>the FCC, we certified that we have provisioned at least 75% of new subscribers with an EchoStar-certified 5G device on our MNO network if the subscriber is within the accelerated markets as set forth in Appendices A-F of the Extension Request. See Note 1 “</w:t>
      </w:r>
      <w:r>
        <w:rPr>
          <w:rFonts w:ascii="Arial" w:cs="Arial" w:eastAsia="Arial" w:hAnsi="Arial"/>
          <w:sz w:val="17"/>
          <w:szCs w:val="17"/>
          <w:i w:val="1"/>
          <w:iCs w:val="1"/>
          <w:color w:val="222222"/>
        </w:rPr>
        <w:t>Recent Developments</w:t>
      </w:r>
      <w:r>
        <w:rPr>
          <w:rFonts w:ascii="Arial" w:cs="Arial" w:eastAsia="Arial" w:hAnsi="Arial"/>
          <w:sz w:val="17"/>
          <w:szCs w:val="17"/>
          <w:color w:val="222222"/>
        </w:rPr>
        <w:t>” for additional information.</w:t>
      </w:r>
    </w:p>
    <w:p>
      <w:pPr>
        <w:spacing w:after="0" w:line="164" w:lineRule="exact"/>
        <w:rPr>
          <w:sz w:val="20"/>
          <w:szCs w:val="20"/>
          <w:color w:val="auto"/>
        </w:rPr>
      </w:pPr>
    </w:p>
    <w:p>
      <w:pPr>
        <w:ind w:left="60" w:right="499" w:hanging="7"/>
        <w:spacing w:after="0" w:line="266" w:lineRule="auto"/>
        <w:rPr>
          <w:sz w:val="20"/>
          <w:szCs w:val="20"/>
          <w:color w:val="auto"/>
        </w:rPr>
      </w:pPr>
      <w:r>
        <w:rPr>
          <w:rFonts w:ascii="Arial" w:cs="Arial" w:eastAsia="Arial" w:hAnsi="Arial"/>
          <w:sz w:val="17"/>
          <w:szCs w:val="17"/>
          <w:i w:val="1"/>
          <w:iCs w:val="1"/>
          <w:color w:val="auto"/>
        </w:rPr>
        <w:t xml:space="preserve">Commercialization of Our Wireless Spectrum Licenses and Related Assets. </w:t>
      </w:r>
      <w:r>
        <w:rPr>
          <w:rFonts w:ascii="Arial" w:cs="Arial" w:eastAsia="Arial" w:hAnsi="Arial"/>
          <w:sz w:val="17"/>
          <w:szCs w:val="17"/>
          <w:color w:val="auto"/>
        </w:rPr>
        <w:t>We currently offer our Wireless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for </w:t>
      </w:r>
      <w:r>
        <w:rPr>
          <w:rFonts w:ascii="Arial" w:cs="Arial" w:eastAsia="Arial" w:hAnsi="Arial"/>
          <w:sz w:val="17"/>
          <w:szCs w:val="17"/>
          <w:color w:val="0A0A0A"/>
        </w:rPr>
        <w:t>5G VoNR to over 223 million Americans and</w:t>
      </w:r>
      <w:r>
        <w:rPr>
          <w:rFonts w:ascii="Arial" w:cs="Arial" w:eastAsia="Arial" w:hAnsi="Arial"/>
          <w:sz w:val="17"/>
          <w:szCs w:val="17"/>
          <w:color w:val="auto"/>
        </w:rPr>
        <w:t xml:space="preserve"> 5G broadband service </w:t>
      </w:r>
      <w:r>
        <w:rPr>
          <w:rFonts w:ascii="Arial" w:cs="Arial" w:eastAsia="Arial" w:hAnsi="Arial"/>
          <w:sz w:val="17"/>
          <w:szCs w:val="17"/>
          <w:color w:val="0A0A0A"/>
        </w:rPr>
        <w:t>covering over 269 million</w:t>
      </w:r>
      <w:r>
        <w:rPr>
          <w:rFonts w:ascii="Arial" w:cs="Arial" w:eastAsia="Arial" w:hAnsi="Arial"/>
          <w:sz w:val="17"/>
          <w:szCs w:val="17"/>
          <w:color w:val="auto"/>
        </w:rPr>
        <w:t xml:space="preserve"> </w:t>
      </w:r>
      <w:r>
        <w:rPr>
          <w:rFonts w:ascii="Arial" w:cs="Arial" w:eastAsia="Arial" w:hAnsi="Arial"/>
          <w:sz w:val="17"/>
          <w:szCs w:val="17"/>
          <w:color w:val="0A0A0A"/>
        </w:rPr>
        <w:t xml:space="preserve">Americans. </w:t>
      </w:r>
      <w:r>
        <w:rPr>
          <w:rFonts w:ascii="Arial" w:cs="Arial" w:eastAsia="Arial" w:hAnsi="Arial"/>
          <w:sz w:val="17"/>
          <w:szCs w:val="17"/>
          <w:color w:val="000000"/>
        </w:rPr>
        <w:t>We currently expect capital expenditures, excluding capitalized interest, for our 5G Network to be</w:t>
      </w:r>
      <w:r>
        <w:rPr>
          <w:rFonts w:ascii="Arial" w:cs="Arial" w:eastAsia="Arial" w:hAnsi="Arial"/>
          <w:sz w:val="17"/>
          <w:szCs w:val="17"/>
          <w:color w:val="0A0A0A"/>
        </w:rPr>
        <w:t xml:space="preserve"> </w:t>
      </w:r>
      <w:r>
        <w:rPr>
          <w:rFonts w:ascii="Arial" w:cs="Arial" w:eastAsia="Arial" w:hAnsi="Arial"/>
          <w:sz w:val="17"/>
          <w:szCs w:val="17"/>
          <w:color w:val="000000"/>
        </w:rPr>
        <w:t>approximately $10 billion, including amounts incurred to date since 2021. See Note 2 for further information.</w:t>
      </w:r>
    </w:p>
    <w:p>
      <w:pPr>
        <w:spacing w:after="0" w:line="146"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0A0A0A"/>
        </w:rPr>
        <w:t xml:space="preserve">In September 2024, the FCC conditionally granted our requests to extend the 5G deployment deadlines for certain of our </w:t>
      </w:r>
      <w:r>
        <w:rPr>
          <w:rFonts w:ascii="Arial" w:cs="Arial" w:eastAsia="Arial" w:hAnsi="Arial"/>
          <w:sz w:val="17"/>
          <w:szCs w:val="17"/>
          <w:color w:val="000000"/>
        </w:rPr>
        <w:t>Wireless spectrum licenses</w:t>
      </w:r>
      <w:r>
        <w:rPr>
          <w:rFonts w:ascii="Arial" w:cs="Arial" w:eastAsia="Arial" w:hAnsi="Arial"/>
          <w:sz w:val="17"/>
          <w:szCs w:val="17"/>
          <w:color w:val="0A0A0A"/>
        </w:rPr>
        <w:t xml:space="preserve"> based on several commitments and </w:t>
      </w:r>
      <w:r>
        <w:rPr>
          <w:rFonts w:ascii="Arial" w:cs="Arial" w:eastAsia="Arial" w:hAnsi="Arial"/>
          <w:sz w:val="17"/>
          <w:szCs w:val="17"/>
          <w:color w:val="222222"/>
        </w:rPr>
        <w:t>in a January 10, 2025 filing to the FCC</w:t>
      </w:r>
      <w:r>
        <w:rPr>
          <w:rFonts w:ascii="Arial" w:cs="Arial" w:eastAsia="Arial" w:hAnsi="Arial"/>
          <w:sz w:val="17"/>
          <w:szCs w:val="17"/>
          <w:color w:val="0A0A0A"/>
        </w:rPr>
        <w:t xml:space="preserve">, </w:t>
      </w:r>
      <w:r>
        <w:rPr>
          <w:rFonts w:ascii="Arial" w:cs="Arial" w:eastAsia="Arial" w:hAnsi="Arial"/>
          <w:sz w:val="17"/>
          <w:szCs w:val="17"/>
          <w:color w:val="222222"/>
        </w:rPr>
        <w:t>we</w:t>
      </w:r>
      <w:r>
        <w:rPr>
          <w:rFonts w:ascii="Arial" w:cs="Arial" w:eastAsia="Arial" w:hAnsi="Arial"/>
          <w:sz w:val="17"/>
          <w:szCs w:val="17"/>
          <w:color w:val="0A0A0A"/>
        </w:rPr>
        <w:t xml:space="preserve"> </w:t>
      </w:r>
      <w:r>
        <w:rPr>
          <w:rFonts w:ascii="Arial" w:cs="Arial" w:eastAsia="Arial" w:hAnsi="Arial"/>
          <w:sz w:val="17"/>
          <w:szCs w:val="17"/>
          <w:color w:val="222222"/>
        </w:rPr>
        <w:t xml:space="preserve">certified to meeting the accelerated build-out (Commitments #2 and #3 of the Extension Request) and the nationwide 80% coverage obligations (Commitment #1 of the Extension Request) </w:t>
      </w:r>
      <w:r>
        <w:rPr>
          <w:rFonts w:ascii="Arial" w:cs="Arial" w:eastAsia="Arial" w:hAnsi="Arial"/>
          <w:sz w:val="17"/>
          <w:szCs w:val="17"/>
          <w:color w:val="000000"/>
        </w:rPr>
        <w:t>due by December 31, 2024,</w:t>
      </w:r>
      <w:r>
        <w:rPr>
          <w:rFonts w:ascii="Arial" w:cs="Arial" w:eastAsia="Arial" w:hAnsi="Arial"/>
          <w:sz w:val="17"/>
          <w:szCs w:val="17"/>
          <w:color w:val="222222"/>
        </w:rPr>
        <w:t xml:space="preserve"> </w:t>
      </w:r>
      <w:r>
        <w:rPr>
          <w:rFonts w:ascii="Arial" w:cs="Arial" w:eastAsia="Arial" w:hAnsi="Arial"/>
          <w:sz w:val="17"/>
          <w:szCs w:val="17"/>
          <w:color w:val="0A0A0A"/>
        </w:rPr>
        <w:t>as</w:t>
      </w:r>
      <w:r>
        <w:rPr>
          <w:rFonts w:ascii="Arial" w:cs="Arial" w:eastAsia="Arial" w:hAnsi="Arial"/>
          <w:sz w:val="17"/>
          <w:szCs w:val="17"/>
          <w:color w:val="222222"/>
        </w:rPr>
        <w:t xml:space="preserve"> </w:t>
      </w:r>
      <w:r>
        <w:rPr>
          <w:rFonts w:ascii="Arial" w:cs="Arial" w:eastAsia="Arial" w:hAnsi="Arial"/>
          <w:sz w:val="17"/>
          <w:szCs w:val="17"/>
          <w:color w:val="0A0A0A"/>
        </w:rPr>
        <w:t xml:space="preserve">defined and detailed in the footnotes to the table above. </w:t>
      </w:r>
      <w:r>
        <w:rPr>
          <w:rFonts w:ascii="Arial" w:cs="Arial" w:eastAsia="Arial" w:hAnsi="Arial"/>
          <w:sz w:val="17"/>
          <w:szCs w:val="17"/>
          <w:color w:val="000000"/>
        </w:rPr>
        <w:t>Thus, pursuant to the Extension Request, the final</w:t>
      </w:r>
      <w:r>
        <w:rPr>
          <w:rFonts w:ascii="Arial" w:cs="Arial" w:eastAsia="Arial" w:hAnsi="Arial"/>
          <w:sz w:val="17"/>
          <w:szCs w:val="17"/>
          <w:color w:val="0A0A0A"/>
        </w:rPr>
        <w:t xml:space="preserve"> </w:t>
      </w:r>
      <w:r>
        <w:rPr>
          <w:rFonts w:ascii="Arial" w:cs="Arial" w:eastAsia="Arial" w:hAnsi="Arial"/>
          <w:sz w:val="17"/>
          <w:szCs w:val="17"/>
          <w:color w:val="000000"/>
        </w:rPr>
        <w:t>deployment deadlines for the licenses subject to the Extension Request (listed in Appendix G) shall be extended to December 14, 2026. 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as long as we satisfy the remaining Extension Request commitments, as defined and detailed in the footnotes to the table above. See Note 1 “</w:t>
      </w:r>
      <w:r>
        <w:rPr>
          <w:rFonts w:ascii="Arial" w:cs="Arial" w:eastAsia="Arial" w:hAnsi="Arial"/>
          <w:sz w:val="17"/>
          <w:szCs w:val="17"/>
          <w:i w:val="1"/>
          <w:iCs w:val="1"/>
          <w:color w:val="000000"/>
        </w:rPr>
        <w:t>Recent Developments</w:t>
      </w:r>
      <w:r>
        <w:rPr>
          <w:rFonts w:ascii="Arial" w:cs="Arial" w:eastAsia="Arial" w:hAnsi="Arial"/>
          <w:sz w:val="17"/>
          <w:szCs w:val="17"/>
          <w:color w:val="000000"/>
        </w:rPr>
        <w:t>” for additional information.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Northstar Wireless is a wholly-owned subsidiary of Northstar Spectrum, which is an entity wholly-owned by us and, prior to October 12, 2023, by us and Northstar Manager. SNR Wireless is a wholly-owned subsidiary of SNR HoldCo, which is an entity owned by us and our parent’s direct wholly-owned subsidiary EchoStar SNR HoldCo L.L.C. and, prior to February 16, 2024, by us and SNR Management. See Note 2 for further information.</w:t>
      </w:r>
    </w:p>
    <w:p>
      <w:pPr>
        <w:spacing w:after="0" w:line="16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15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i w:val="1"/>
          <w:iCs w:val="1"/>
          <w:color w:val="auto"/>
        </w:rPr>
        <w:t xml:space="preserve">FCC Order and October 2015 Arrangements. </w:t>
      </w:r>
      <w:r>
        <w:rPr>
          <w:rFonts w:ascii="Arial" w:cs="Arial" w:eastAsia="Arial" w:hAnsi="Arial"/>
          <w:sz w:val="18"/>
          <w:szCs w:val="18"/>
          <w:color w:val="auto"/>
        </w:rPr>
        <w:t>On August 18, 2015, the FCC released a</w:t>
      </w:r>
      <w:r>
        <w:rPr>
          <w:rFonts w:ascii="Arial" w:cs="Arial" w:eastAsia="Arial" w:hAnsi="Arial"/>
          <w:sz w:val="18"/>
          <w:szCs w:val="18"/>
          <w:i w:val="1"/>
          <w:iCs w:val="1"/>
          <w:color w:val="auto"/>
        </w:rPr>
        <w:t xml:space="preserve"> Memorandum Opinion and Order</w:t>
      </w:r>
      <w:r>
        <w:rPr>
          <w:rFonts w:ascii="Arial" w:cs="Arial" w:eastAsia="Arial" w:hAnsi="Arial"/>
          <w:sz w:val="18"/>
          <w:szCs w:val="18"/>
          <w:color w:val="auto"/>
        </w:rPr>
        <w:t>, FCC 15-104 (the “Order”) in which the FCC determined, among other things, that DISH Network has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69" w:lineRule="exact"/>
        <w:rPr>
          <w:sz w:val="20"/>
          <w:szCs w:val="20"/>
          <w:color w:val="auto"/>
        </w:rPr>
      </w:pPr>
    </w:p>
    <w:p>
      <w:pPr>
        <w:ind w:left="60" w:right="219"/>
        <w:spacing w:after="0" w:line="251" w:lineRule="auto"/>
        <w:rPr>
          <w:sz w:val="20"/>
          <w:szCs w:val="20"/>
          <w:color w:val="auto"/>
        </w:rPr>
      </w:pPr>
      <w:r>
        <w:rPr>
          <w:rFonts w:ascii="Arial" w:cs="Arial" w:eastAsia="Arial" w:hAnsi="Arial"/>
          <w:sz w:val="17"/>
          <w:szCs w:val="17"/>
          <w:i w:val="1"/>
          <w:iCs w:val="1"/>
          <w:color w:val="auto"/>
        </w:rPr>
        <w:t xml:space="preserve">Letters Exchanged between Northstar Wireless and the FCC Wireless Bureau. </w:t>
      </w:r>
      <w:r>
        <w:rPr>
          <w:rFonts w:ascii="Arial" w:cs="Arial" w:eastAsia="Arial" w:hAnsi="Arial"/>
          <w:sz w:val="17"/>
          <w:szCs w:val="17"/>
          <w:color w:val="auto"/>
        </w:rPr>
        <w:t>As outlined in letters exchanged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 In addition, we will be subject to a default payment with respect to the licenses for which Northstar Wireless did not pay the gross winning bids (the “Northstar Re-Auction Payment”). The Northstar Re-Auction Payment has two components. First, if the winning bids at re-auction are less than the winning bids of Northstar Wireless, we will be responsible for the difference between the two bids. The second component is an additional payment in the amount of fifteen percent (15%) of Northstar Wireless’s bid or the subsequent winning bids, whichever is less. The amount of the Northstar Re-Auction Payment will be offset by the $334 million interim payment Northstar Wireless has already made. For example, if the winning bids in a re-auction are $1, the Northstar Re-Auction Payment would be approximately $2.226 billion, which is calculated as the difference between $2.226 billion (the Northstar winning bid amounts) and $1 (the winning bids from re-auction), plus 15% of the $1 (the winning bids from re-auction), If the winning bids from re-auction or other award of the AWS-3 licenses retained by the FCC are greater than or equal to the winning bids of Northstar Wireless, the Northstar Re-Auction Payment would be approximately $334 million, calculated as fifteen percent (15%) of $2.226 billion (Northstar Wireless’s defaulted bids). In each case, the amount of the Northstar Re-Auction Payment would be offset by the $334 million interim payment Northstar already made, resulting in a maximum exposure of $1.892 billion. We cannot predict with any degree of certainty the outcome of any re-auction or the amount of any Northstar Re-Auction Payment. The re-auction of the AWS-3 licenses has been designated as Auction 113 and the FCC is required to initiate Auction 113 by June 23, 2026.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i w:val="1"/>
          <w:iCs w:val="1"/>
          <w:color w:val="auto"/>
        </w:rPr>
        <w:t xml:space="preserve">Letters Exchanged between SNR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 In addition, we will be subject to a default payment with respect to the licenses for which SNR Wireless did not pay the gross winning bids (the “SNR Re-Auction Payment”). The SNR Re-Auction Payment has two components. First, if the winning bids at re-auction are less than the winning bids of SNR Wireless, we will be responsible for the difference between the two bids. The second component is an additional payment in the amount of fifteen percent (15%) of SNR Wireless’s bid or the subsequent winning bids, whichever is less. The amount of the SNR Re-Auction Payment will be offset by the $182 million interim payment SNR Wireless has already made. For example, if the winning bids in a re-auction are $1, the SNR Re-Auction Payment would be approximately $1.211 billion, which is calculated as the difference between $1.211 billion (the SNR winning bid amounts) and $1 (the winning bids from re-auction), plus 15% of the $1 (the winning bids from re-auction). If the winning bids from re-auction of the AWS-3 licenses retained by the FCC are greater than or equal to the winning bids of SNR Wireless, the SNR Re-Auction Payment would be approximately $182 million, calculated as fifteen percent (15%) of $1.211 billion (SNR Wireless’s defaulted bids). In each case, the amount of the SNR Re-Auction Payment would be offset by the $182 million interim payment SNR already made, resulting in a maximum exposure of $1.029 billion. We cannot predict with any degree of certainty the outcome of any re-auction or the amount of any SNR Re-Auction Payment. The re-auction of the AWS-3 licenses has been designated as Auction 113 and the FCC is required to initiate Auction 113 by June 23, 2026.</w:t>
      </w:r>
    </w:p>
    <w:p>
      <w:pPr>
        <w:spacing w:after="0" w:line="182"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i w:val="1"/>
          <w:iCs w:val="1"/>
          <w:color w:val="auto"/>
        </w:rPr>
        <w:t>D.C. Circuit Court Opinion</w:t>
      </w:r>
      <w:r>
        <w:rPr>
          <w:rFonts w:ascii="Arial" w:cs="Arial" w:eastAsia="Arial" w:hAnsi="Arial"/>
          <w:sz w:val="17"/>
          <w:szCs w:val="17"/>
          <w:color w:val="auto"/>
        </w:rPr>
        <w:t>. On August 29, 2017, the United States Court of Appeals for the District of Columbia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Circuit (the “D.C. Circuit”) in </w:t>
      </w:r>
      <w:r>
        <w:rPr>
          <w:rFonts w:ascii="Arial" w:cs="Arial" w:eastAsia="Arial" w:hAnsi="Arial"/>
          <w:sz w:val="17"/>
          <w:szCs w:val="17"/>
          <w:i w:val="1"/>
          <w:iCs w:val="1"/>
          <w:color w:val="auto"/>
        </w:rPr>
        <w:t>SNR Wireless LicenseCo, LLC, et al. v. Federal Communications Commission</w:t>
      </w:r>
      <w:r>
        <w:rPr>
          <w:rFonts w:ascii="Arial" w:cs="Arial" w:eastAsia="Arial" w:hAnsi="Arial"/>
          <w:sz w:val="17"/>
          <w:szCs w:val="17"/>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5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w:t>
      </w:r>
    </w:p>
    <w:p>
      <w:pPr>
        <w:spacing w:after="0" w:line="153"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55"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March 13, 2014, ClearPlay, Inc. (“ClearPlay”) filed a complaint against us, our wholly-owned subsidiary DISH Network L.L.C., EchoStar, and its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7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EchoStar as defendants, leaving DISH Network L.L.C. and DISH Technologies L.L.C. as the sole defendants.</w:t>
      </w:r>
    </w:p>
    <w:p>
      <w:pPr>
        <w:spacing w:after="0" w:line="165"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71"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spacing w:after="0" w:line="16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Data Breach Class Actions</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May 9, 2023, Susan Owen-Brooks, an alleged customer, filed a putative class action complaint against us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 of the eleven named plaintiffs and as to certain causes of action. On October 29, 2024, the Plaintiffs filed the operative Second Amended Consolidated Class Action Complaint, which deletes the allegations as to the dismissed plaintiffs and causes of action, leaving three named plaintiffs and causes of action for negligence, negligence per se, breach of implied contract, and declaratory judgment.</w:t>
      </w:r>
    </w:p>
    <w:p>
      <w:pPr>
        <w:spacing w:after="0" w:line="1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Digital Broadcasting Solutions, LLC</w:t>
      </w:r>
    </w:p>
    <w:p>
      <w:pPr>
        <w:spacing w:after="0" w:line="19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222222"/>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55" w:lineRule="exact"/>
        <w:rPr>
          <w:sz w:val="20"/>
          <w:szCs w:val="20"/>
          <w:color w:val="auto"/>
        </w:rPr>
      </w:pPr>
    </w:p>
    <w:p>
      <w:pPr>
        <w:jc w:val="both"/>
        <w:ind w:left="60" w:right="59" w:hanging="7"/>
        <w:spacing w:after="0"/>
        <w:rPr>
          <w:sz w:val="20"/>
          <w:szCs w:val="20"/>
          <w:color w:val="auto"/>
        </w:rPr>
      </w:pPr>
      <w:r>
        <w:rPr>
          <w:rFonts w:ascii="Arial" w:cs="Arial" w:eastAsia="Arial" w:hAnsi="Arial"/>
          <w:sz w:val="18"/>
          <w:szCs w:val="18"/>
          <w:color w:val="222222"/>
        </w:rPr>
        <w:t xml:space="preserve">In May 2023, DISH Network L.L.C. and DISH Technologies L.L.C. </w:t>
      </w:r>
      <w:r>
        <w:rPr>
          <w:rFonts w:ascii="Arial" w:cs="Arial" w:eastAsia="Arial" w:hAnsi="Arial"/>
          <w:sz w:val="18"/>
          <w:szCs w:val="18"/>
          <w:color w:val="000000"/>
        </w:rPr>
        <w:t>filed petitions with the United States Patent and</w:t>
      </w:r>
      <w:r>
        <w:rPr>
          <w:rFonts w:ascii="Arial" w:cs="Arial" w:eastAsia="Arial" w:hAnsi="Arial"/>
          <w:sz w:val="18"/>
          <w:szCs w:val="18"/>
          <w:color w:val="222222"/>
        </w:rPr>
        <w:t xml:space="preserve"> </w:t>
      </w:r>
      <w:r>
        <w:rPr>
          <w:rFonts w:ascii="Arial" w:cs="Arial" w:eastAsia="Arial" w:hAnsi="Arial"/>
          <w:sz w:val="18"/>
          <w:szCs w:val="18"/>
          <w:color w:val="000000"/>
        </w:rPr>
        <w:t xml:space="preserve">Trademark Office challenging the validity of all claims of the 710 patent and the 122 patent and, on December 9, 2024, the United States Patent and Trademark Office issued final written decisions invalidating 38 of the 39 challenged claims. On January 13, 2025, Digital Broadcasting Solutions filed a notice of appeal of those final written decisions, and on February 7, 2025, DISH Network L.L.C. and DISH Technologies L.L.C. cross-appealed as to the single patent claim that wasn’t invalidated. Briefing is underway. </w:t>
      </w:r>
      <w:r>
        <w:rPr>
          <w:rFonts w:ascii="Arial" w:cs="Arial" w:eastAsia="Arial" w:hAnsi="Arial"/>
          <w:sz w:val="18"/>
          <w:szCs w:val="18"/>
          <w:color w:val="222222"/>
        </w:rPr>
        <w:t>The underlying case has been stayed</w:t>
      </w:r>
      <w:r>
        <w:rPr>
          <w:rFonts w:ascii="Arial" w:cs="Arial" w:eastAsia="Arial" w:hAnsi="Arial"/>
          <w:sz w:val="18"/>
          <w:szCs w:val="18"/>
          <w:color w:val="000000"/>
        </w:rPr>
        <w:t xml:space="preserve"> </w:t>
      </w:r>
      <w:r>
        <w:rPr>
          <w:rFonts w:ascii="Arial" w:cs="Arial" w:eastAsia="Arial" w:hAnsi="Arial"/>
          <w:sz w:val="18"/>
          <w:szCs w:val="18"/>
          <w:color w:val="222222"/>
        </w:rPr>
        <w:t>since May 9, 2024, pending resolution of the petitions before the United States Patent and Trademark Office and any related appeals</w:t>
      </w:r>
      <w:r>
        <w:rPr>
          <w:rFonts w:ascii="Arial" w:cs="Arial" w:eastAsia="Arial" w:hAnsi="Arial"/>
          <w:sz w:val="18"/>
          <w:szCs w:val="18"/>
          <w:color w:val="000000"/>
        </w:rPr>
        <w:t>.</w:t>
      </w:r>
    </w:p>
    <w:p>
      <w:pPr>
        <w:spacing w:after="0" w:line="16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Entropic Communications, LLC (first action)</w:t>
      </w:r>
    </w:p>
    <w:p>
      <w:pPr>
        <w:spacing w:after="0" w:line="196"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222222"/>
        </w:rPr>
        <w:t xml:space="preserve">On March 9, 2022, Entropic Communications, LLC (“Entropic”) filed a complaint against us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w:t>
      </w:r>
      <w:r>
        <w:rPr>
          <w:rFonts w:ascii="Arial" w:cs="Arial" w:eastAsia="Arial" w:hAnsi="Arial"/>
          <w:sz w:val="17"/>
          <w:szCs w:val="17"/>
          <w:color w:val="000000"/>
        </w:rPr>
        <w:t>The plaintiff is an</w:t>
      </w:r>
      <w:r>
        <w:rPr>
          <w:rFonts w:ascii="Arial" w:cs="Arial" w:eastAsia="Arial" w:hAnsi="Arial"/>
          <w:sz w:val="17"/>
          <w:szCs w:val="17"/>
          <w:color w:val="222222"/>
        </w:rPr>
        <w:t xml:space="preserve"> </w:t>
      </w:r>
      <w:r>
        <w:rPr>
          <w:rFonts w:ascii="Arial" w:cs="Arial" w:eastAsia="Arial" w:hAnsi="Arial"/>
          <w:sz w:val="17"/>
          <w:szCs w:val="17"/>
          <w:color w:val="000000"/>
        </w:rPr>
        <w:t>entity that seeks to license a patent portfolio without itself practicing any of the claims recited therein.</w:t>
      </w:r>
    </w:p>
    <w:p>
      <w:pPr>
        <w:spacing w:after="0" w:line="15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22222"/>
        </w:rPr>
        <w:t xml:space="preserve">On October 24, 2022, this case was ordered to be transferred to the United States District Court for the Central District of California. </w:t>
      </w:r>
      <w:r>
        <w:rPr>
          <w:rFonts w:ascii="Arial" w:cs="Arial" w:eastAsia="Arial" w:hAnsi="Arial"/>
          <w:sz w:val="18"/>
          <w:szCs w:val="18"/>
          <w:color w:val="000000"/>
        </w:rPr>
        <w:t>A companion case against DirecTV was also ordered transferred to the United States District</w:t>
      </w:r>
      <w:r>
        <w:rPr>
          <w:rFonts w:ascii="Arial" w:cs="Arial" w:eastAsia="Arial" w:hAnsi="Arial"/>
          <w:sz w:val="18"/>
          <w:szCs w:val="18"/>
          <w:color w:val="222222"/>
        </w:rPr>
        <w:t xml:space="preserve"> </w:t>
      </w:r>
      <w:r>
        <w:rPr>
          <w:rFonts w:ascii="Arial" w:cs="Arial" w:eastAsia="Arial" w:hAnsi="Arial"/>
          <w:sz w:val="18"/>
          <w:szCs w:val="18"/>
          <w:color w:val="000000"/>
        </w:rPr>
        <w:t>Court for the Central District of California.</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59"/>
        <w:spacing w:after="0"/>
        <w:rPr>
          <w:sz w:val="20"/>
          <w:szCs w:val="20"/>
          <w:color w:val="auto"/>
        </w:rPr>
      </w:pPr>
      <w:r>
        <w:rPr>
          <w:rFonts w:ascii="Arial" w:cs="Arial" w:eastAsia="Arial" w:hAnsi="Arial"/>
          <w:sz w:val="18"/>
          <w:szCs w:val="18"/>
          <w:color w:val="222222"/>
        </w:rPr>
        <w:t xml:space="preserve">In January and February of 2023, DISH Network L.L.C. and Dish Network Service L.L.C. </w:t>
      </w:r>
      <w:r>
        <w:rPr>
          <w:rFonts w:ascii="Arial" w:cs="Arial" w:eastAsia="Arial" w:hAnsi="Arial"/>
          <w:sz w:val="18"/>
          <w:szCs w:val="18"/>
          <w:color w:val="000000"/>
        </w:rPr>
        <w:t>filed petitions with the</w:t>
      </w:r>
      <w:r>
        <w:rPr>
          <w:rFonts w:ascii="Arial" w:cs="Arial" w:eastAsia="Arial" w:hAnsi="Arial"/>
          <w:sz w:val="18"/>
          <w:szCs w:val="18"/>
          <w:color w:val="222222"/>
        </w:rPr>
        <w:t xml:space="preserve"> </w:t>
      </w:r>
      <w:r>
        <w:rPr>
          <w:rFonts w:ascii="Arial" w:cs="Arial" w:eastAsia="Arial" w:hAnsi="Arial"/>
          <w:sz w:val="18"/>
          <w:szCs w:val="18"/>
          <w:color w:val="000000"/>
        </w:rPr>
        <w:t xml:space="preserve">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w:t>
      </w:r>
      <w:r>
        <w:rPr>
          <w:rFonts w:ascii="Arial" w:cs="Arial" w:eastAsia="Arial" w:hAnsi="Arial"/>
          <w:sz w:val="18"/>
          <w:szCs w:val="18"/>
          <w:color w:val="222222"/>
        </w:rPr>
        <w:t>patent. On July 12, 2024, the United States</w:t>
      </w:r>
      <w:r>
        <w:rPr>
          <w:rFonts w:ascii="Arial" w:cs="Arial" w:eastAsia="Arial" w:hAnsi="Arial"/>
          <w:sz w:val="18"/>
          <w:szCs w:val="18"/>
          <w:color w:val="000000"/>
        </w:rPr>
        <w:t xml:space="preserve"> </w:t>
      </w:r>
      <w:r>
        <w:rPr>
          <w:rFonts w:ascii="Arial" w:cs="Arial" w:eastAsia="Arial" w:hAnsi="Arial"/>
          <w:sz w:val="18"/>
          <w:szCs w:val="18"/>
          <w:color w:val="222222"/>
        </w:rPr>
        <w:t>Patent and Trademark Office granted a request for reexamination of the 715 patent, but on May 20, 2025, it affirmed the patent’s validity.</w:t>
      </w:r>
    </w:p>
    <w:p>
      <w:pPr>
        <w:spacing w:after="0" w:line="16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Entropic Communications, LLC (second action)</w:t>
      </w:r>
    </w:p>
    <w:p>
      <w:pPr>
        <w:spacing w:after="0" w:line="19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On February 10, 2023, Entropic filed a second lawsuit against us and our wholly-owned subsidiaries </w:t>
      </w:r>
      <w:r>
        <w:rPr>
          <w:rFonts w:ascii="Arial" w:cs="Arial" w:eastAsia="Arial" w:hAnsi="Arial"/>
          <w:sz w:val="18"/>
          <w:szCs w:val="18"/>
          <w:color w:val="222222"/>
        </w:rPr>
        <w:t>DISH</w:t>
      </w:r>
      <w:r>
        <w:rPr>
          <w:rFonts w:ascii="Arial" w:cs="Arial" w:eastAsia="Arial" w:hAnsi="Arial"/>
          <w:sz w:val="18"/>
          <w:szCs w:val="18"/>
          <w:color w:val="auto"/>
        </w:rPr>
        <w:t xml:space="preserve"> </w:t>
      </w:r>
      <w:r>
        <w:rPr>
          <w:rFonts w:ascii="Arial" w:cs="Arial" w:eastAsia="Arial" w:hAnsi="Arial"/>
          <w:sz w:val="18"/>
          <w:szCs w:val="18"/>
          <w:color w:val="222222"/>
        </w:rPr>
        <w:t>Network L.L.C., Dish Network Service L.L.C. and Dish Network California Service Corporation in the United States District Court for the Central District of California. The complaint alleges infringement of U.S. Patent No.</w:t>
      </w:r>
    </w:p>
    <w:p>
      <w:pPr>
        <w:spacing w:after="0" w:line="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22222"/>
        </w:rPr>
        <w:t>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w:t>
      </w:r>
    </w:p>
    <w:p>
      <w:pPr>
        <w:spacing w:after="0" w:line="171"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222222"/>
        </w:rPr>
        <w:t>Generally, the patents relate to Multimedia over Coax Alliance standards and the manner in which we provide a whole-home DVR network over an on-premises coaxial cable network.</w:t>
      </w:r>
    </w:p>
    <w:p>
      <w:pPr>
        <w:spacing w:after="0" w:line="140"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222222"/>
        </w:rPr>
        <w:t xml:space="preserve">Entropic has asserted the same patents in the same court against Comcast, Cox and </w:t>
      </w:r>
      <w:r>
        <w:rPr>
          <w:rFonts w:ascii="Arial" w:cs="Arial" w:eastAsia="Arial" w:hAnsi="Arial"/>
          <w:sz w:val="17"/>
          <w:szCs w:val="17"/>
          <w:color w:val="000000"/>
        </w:rPr>
        <w:t>DirecTV</w:t>
      </w:r>
      <w:r>
        <w:rPr>
          <w:rFonts w:ascii="Arial" w:cs="Arial" w:eastAsia="Arial" w:hAnsi="Arial"/>
          <w:sz w:val="17"/>
          <w:szCs w:val="17"/>
          <w:color w:val="222222"/>
        </w:rPr>
        <w:t xml:space="preserve">. On September 7, 2023, the Court granted the motion of DISH Network L.L.C., Dish Network Service L.L.C. and Dish Network California Service Corporation to dismiss the claims arising from the 7,566 patent and the 910 patent on the grounds that they claimed in eligible subject matter.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 </w:t>
      </w:r>
      <w:r>
        <w:rPr>
          <w:rFonts w:ascii="Arial" w:cs="Arial" w:eastAsia="Arial" w:hAnsi="Arial"/>
          <w:sz w:val="17"/>
          <w:szCs w:val="17"/>
          <w:color w:val="000000"/>
        </w:rPr>
        <w:t>In January and February 2024, DISH</w:t>
      </w:r>
      <w:r>
        <w:rPr>
          <w:rFonts w:ascii="Arial" w:cs="Arial" w:eastAsia="Arial" w:hAnsi="Arial"/>
          <w:sz w:val="17"/>
          <w:szCs w:val="17"/>
          <w:color w:val="222222"/>
        </w:rPr>
        <w:t xml:space="preserve"> </w:t>
      </w:r>
      <w:r>
        <w:rPr>
          <w:rFonts w:ascii="Arial" w:cs="Arial" w:eastAsia="Arial" w:hAnsi="Arial"/>
          <w:sz w:val="17"/>
          <w:szCs w:val="17"/>
          <w:color w:val="000000"/>
        </w:rPr>
        <w:t>Network L.L.C. filed petitions with the United States Patent and Trademark Office challenging the validity of the 249 patent, the 518 patent, the 759 patent, the 450 patent, the 539 patent, the 0,566 patent, and the 681 patent.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July and August 2024, the United States Patent and Trademark Office agreed to institute proceedings on the petitions challenging the 249 patent and the 518 patent, but denied institution on the remaining petitions. On July 22, 2025, the United States Patent and Trademark Office issued final written decisions invalidating the asserted claims of the 249 patent and the 518 patent.</w:t>
      </w:r>
    </w:p>
    <w:p>
      <w:pPr>
        <w:spacing w:after="0" w:line="16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On December 20, 2021, four former employees filed a class action complaint in the United States District Court for the District of Colorado against us, our Board of Directors at that time, and our Retirement Plan Committee at that time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8"/>
          <w:szCs w:val="18"/>
          <w:color w:val="222222"/>
        </w:rPr>
        <w:t>On February 1, 2023, a Magistrate Judge</w:t>
      </w:r>
      <w:r>
        <w:rPr>
          <w:rFonts w:ascii="Arial" w:cs="Arial" w:eastAsia="Arial" w:hAnsi="Arial"/>
          <w:sz w:val="18"/>
          <w:szCs w:val="18"/>
          <w:color w:val="auto"/>
        </w:rPr>
        <w:t xml:space="preserve"> </w:t>
      </w:r>
      <w:r>
        <w:rPr>
          <w:rFonts w:ascii="Arial" w:cs="Arial" w:eastAsia="Arial" w:hAnsi="Arial"/>
          <w:sz w:val="18"/>
          <w:szCs w:val="18"/>
          <w:color w:val="222222"/>
        </w:rPr>
        <w:t>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w:t>
      </w:r>
      <w:r>
        <w:rPr>
          <w:rFonts w:ascii="Arial" w:cs="Arial" w:eastAsia="Arial" w:hAnsi="Arial"/>
          <w:sz w:val="18"/>
          <w:szCs w:val="18"/>
          <w:color w:val="000000"/>
        </w:rPr>
        <w:t>ds. On November 7, 2023, a Magistrate Judge issued a recommendation that the defendants’</w:t>
      </w:r>
      <w:r>
        <w:rPr>
          <w:rFonts w:ascii="Arial" w:cs="Arial" w:eastAsia="Arial" w:hAnsi="Arial"/>
          <w:sz w:val="18"/>
          <w:szCs w:val="18"/>
          <w:color w:val="222222"/>
        </w:rPr>
        <w:t xml:space="preserve"> </w:t>
      </w:r>
      <w:r>
        <w:rPr>
          <w:rFonts w:ascii="Arial" w:cs="Arial" w:eastAsia="Arial" w:hAnsi="Arial"/>
          <w:sz w:val="18"/>
          <w:szCs w:val="18"/>
          <w:color w:val="000000"/>
        </w:rPr>
        <w:t xml:space="preserve">motion to dismiss the amended complaint be denied as to the duty to prudently monitor fund performance, but be granted as to the duty of loyalty and, on November 27, 2023, the district court judge entered an order adopting the recommendation. </w:t>
      </w:r>
      <w:r>
        <w:rPr>
          <w:rFonts w:ascii="Arial" w:cs="Arial" w:eastAsia="Arial" w:hAnsi="Arial"/>
          <w:sz w:val="18"/>
          <w:szCs w:val="18"/>
          <w:color w:val="222222"/>
        </w:rPr>
        <w:t>On March 1, 2024, by stipulation, the plaintiffs dismissed their claims against the Board of</w:t>
      </w:r>
      <w:r>
        <w:rPr>
          <w:rFonts w:ascii="Arial" w:cs="Arial" w:eastAsia="Arial" w:hAnsi="Arial"/>
          <w:sz w:val="18"/>
          <w:szCs w:val="18"/>
          <w:color w:val="000000"/>
        </w:rPr>
        <w:t xml:space="preserve"> </w:t>
      </w:r>
      <w:r>
        <w:rPr>
          <w:rFonts w:ascii="Arial" w:cs="Arial" w:eastAsia="Arial" w:hAnsi="Arial"/>
          <w:sz w:val="18"/>
          <w:szCs w:val="18"/>
          <w:color w:val="222222"/>
        </w:rPr>
        <w:t>Directors and the Retirement Plan Committee, leaving DISH Network as the sole defendant. On April 30, 2024, pursuant to the parties’ stipulation, the Court certified the proposed plaintiff class. Pursuant to the parties’ stipulation, the case was stayed from October 30, 2024 through May 29, 2025 to facilitate a mediation, but the parties did not reach a settlement.</w:t>
      </w:r>
    </w:p>
    <w:p>
      <w:pPr>
        <w:spacing w:after="0" w:line="17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March 23, 2023, a securities fraud class action complaint was filed against us and Messrs. Ergen, Carlson and Orban in the United States District Court for the District of Colorado. The complaint was brought on behalf of a putative class of purchasers of our securities during the February 22, 2021 to February 27, 2023 class period. In general, the complaint alleged that DISH Network’s public statements during that period were false and misleading and contained material omissions, because they did not disclose that we allegedly maintained a deficient cyber-security and information technology infrastructure, were unable to properly secure customer data and our operations were susceptible to widespread service outages.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 The amended complaint added as individual defendants James S. Allen, our Senior Vice President and Chief Accounting Officer; John Swieringa, our President, Technology and Chief Operating Officer; Dave Mayo, our former Executive Vice President of Network Development; Marc Rouanne, our former Executive Vice President and Chief Network Officer; and Stephen Bye, our former Executive Vice President and Chief Commercial Officer.</w:t>
      </w:r>
    </w:p>
    <w:p>
      <w:pPr>
        <w:spacing w:after="0" w:line="167" w:lineRule="exact"/>
        <w:rPr>
          <w:sz w:val="20"/>
          <w:szCs w:val="20"/>
          <w:color w:val="auto"/>
        </w:rPr>
      </w:pPr>
    </w:p>
    <w:p>
      <w:pPr>
        <w:ind w:left="60" w:right="139" w:hanging="7"/>
        <w:spacing w:after="0" w:line="261" w:lineRule="auto"/>
        <w:rPr>
          <w:sz w:val="20"/>
          <w:szCs w:val="20"/>
          <w:color w:val="auto"/>
        </w:rPr>
      </w:pPr>
      <w:r>
        <w:rPr>
          <w:rFonts w:ascii="Arial" w:cs="Arial" w:eastAsia="Arial" w:hAnsi="Arial"/>
          <w:sz w:val="17"/>
          <w:szCs w:val="17"/>
          <w:color w:val="auto"/>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On April 18, 2025, the plaintiffs filed a notice of appeal, and briefing is underway.</w:t>
      </w:r>
    </w:p>
    <w:p>
      <w:pPr>
        <w:spacing w:after="0" w:line="139"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Mesa Digital</w:t>
      </w:r>
    </w:p>
    <w:p>
      <w:pPr>
        <w:spacing w:after="0" w:line="196"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color w:val="auto"/>
        </w:rPr>
        <w:t>On November 27, 2024, Mesa Digital, LLC filed a complaint in the United States District Court for the Western District of Texas against our wholly-owned subsidiary DISH Wireless alleging infringement of United States Patent No. 9,031,537, entitled “Electronic Wireless Hand Held Multimedia Device.” Generally, it relates to an electronic handheld device with a touch-sensitive display. On March 31, 2025, the case was dismissed pursuant to a stipulation under which Mesa Digital gave DISH Wireless a covenant not to sue on any of its patents, without any payment from DISH Wireless. This matter is now concluded.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Mobility Workx</w:t>
      </w:r>
    </w:p>
    <w:p>
      <w:pPr>
        <w:spacing w:after="0" w:line="19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On December 3, 2024, Mobility Workx, LLC filed a complaint in the United States District Court for the Eastern District of Texas against our wholly-owned subsidiary DISH Wireless alleging infringement of United States Patent No. 7,697,508, entitled “System, Apparatus and Methods for Proactive Allocation of Wireless Communication Resources.” Generally, it relates to hand-offs in a mobile network. On July 7, 2025, the case was dismissed under the terms of a non-material confidential settlement.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Peninsula Technologies, LLC</w:t>
      </w:r>
    </w:p>
    <w:p>
      <w:pPr>
        <w:spacing w:after="0" w:line="19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22222"/>
        </w:rPr>
        <w:t>On April 15, 2025, Peninsula Technologies filed two lawsuits against our wholly-owned subsidiary DISH Wireless L.L.C. in the United States District Court for the Eastern District of Texas. In the first lawsuit, Peninsula Technologies alleges infringement of U.S. Patent Nos. 9,844,009 (the “009 patent”), entitled “Power Headroom Report In A Wireless Device With Carrier Aggregation”; 11,792,743 (the “743 patent”), entitled “Transmit Power Priority Based On Cell Types In Wireless Devices”; 11,824,810 (the “4,810 patent”), entitled “Restarting A Deactivation Timer Of A Secondary Cell In A Wireless Network”; and 11,917,549 (the “549 patent”), entitled “Scaling Transmission Power Of Uplink Signals Of A Wireless Device.” In the second lawsuit, Peninsula Technologies alleges infringement of U.S. Patent Nos. 11,438,810 (the “8,810 patent”), entitled “Communication Of Configuration Parameters Of Radio Resources Of An Unlicensed Cell”; 11,570,844 (the “844 patent”), entitled “Release Message In Small Data Transmission Procedure”; 11,723,109 (the “109 patent”), entitled “Downlink Data Of Small Data Transmission Procedure”; and 12,144,057 (the “057 patent”), entitled “Release Message In Small Data Transmission Procedure.” Generally, the asserted patents relate to 5G network operations. On July 16, 2025, Peninsula Technologies filed a First Amended Complaint in the second action, which dropped the 8,810 Patent.</w:t>
      </w:r>
    </w:p>
    <w:p>
      <w:pPr>
        <w:spacing w:after="0" w:line="176"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June 6, 2017, Realtime Data LLC d/b/a IXO (“Realtime”) filed an amended complaint in the United States District Court for the Eastern District of Texas (the “Original Texas Action”) against us;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w:t>
      </w:r>
    </w:p>
    <w:p>
      <w:pPr>
        <w:spacing w:after="0" w:line="165" w:lineRule="exact"/>
        <w:rPr>
          <w:sz w:val="20"/>
          <w:szCs w:val="20"/>
          <w:color w:val="auto"/>
        </w:rPr>
      </w:pPr>
    </w:p>
    <w:p>
      <w:pPr>
        <w:jc w:val="both"/>
        <w:ind w:left="60" w:right="259"/>
        <w:spacing w:after="0" w:line="254" w:lineRule="auto"/>
        <w:rPr>
          <w:sz w:val="20"/>
          <w:szCs w:val="20"/>
          <w:color w:val="auto"/>
        </w:rPr>
      </w:pPr>
      <w:r>
        <w:rPr>
          <w:rFonts w:ascii="Arial" w:cs="Arial" w:eastAsia="Arial" w:hAnsi="Arial"/>
          <w:sz w:val="17"/>
          <w:szCs w:val="17"/>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w:t>
      </w:r>
    </w:p>
    <w:p>
      <w:pPr>
        <w:ind w:left="60" w:right="199"/>
        <w:spacing w:after="0" w:line="238" w:lineRule="auto"/>
        <w:rPr>
          <w:sz w:val="20"/>
          <w:szCs w:val="20"/>
          <w:color w:val="auto"/>
        </w:rPr>
      </w:pPr>
      <w:r>
        <w:rPr>
          <w:rFonts w:ascii="Arial" w:cs="Arial" w:eastAsia="Arial" w:hAnsi="Arial"/>
          <w:sz w:val="18"/>
          <w:szCs w:val="18"/>
          <w:color w:val="auto"/>
        </w:rPr>
        <w:t>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54"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July 19, 2017, the Court severed Realtime’s claims against us,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us,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7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66" w:lineRule="exact"/>
        <w:rPr>
          <w:sz w:val="20"/>
          <w:szCs w:val="20"/>
          <w:color w:val="auto"/>
        </w:rPr>
      </w:pPr>
    </w:p>
    <w:p>
      <w:pPr>
        <w:ind w:left="60" w:right="319"/>
        <w:spacing w:after="0" w:line="259" w:lineRule="auto"/>
        <w:rPr>
          <w:sz w:val="20"/>
          <w:szCs w:val="20"/>
          <w:color w:val="auto"/>
        </w:rPr>
      </w:pPr>
      <w:r>
        <w:rPr>
          <w:rFonts w:ascii="Arial" w:cs="Arial" w:eastAsia="Arial" w:hAnsi="Arial"/>
          <w:sz w:val="17"/>
          <w:szCs w:val="17"/>
          <w:color w:val="auto"/>
        </w:rPr>
        <w:t>As a result, neither we nor any of our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EchoStar and HNS were dismissed from the Original Texas Action in February 2019, and Arris Group, Inc. was dismissed from the Colorado Action in March 2021.</w:t>
      </w:r>
    </w:p>
    <w:p>
      <w:pPr>
        <w:spacing w:after="0" w:line="15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On February 5, 2025, on remand, the District Court denied the motion to declare the case exceptional. On March 6, 2025, DISH Network L.L.C., DISH Technologies L.L.C., Sling TV L.L.C. and Sling Media L.L.C. filed a notice of appeal of that order, but dismissed the appeal on July 3, 2025. This matter is now concluded.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SafeCast Limited</w:t>
      </w:r>
    </w:p>
    <w:p>
      <w:pPr>
        <w:spacing w:after="0" w:line="196"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On June 27, 2022, SafeCast Limited filed a complaint against us in the United States District Court for the Western District of Texas. The complaint alleges that we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us transferred to the United States District Court for the District of Colorado. On December 1, 2022, SafeCast filed an amended complaint naming our wholly-owned subsidiaries DISH Network L.L.C. and DISH Technologies L.L.C. as defendants and withdrawing the allegations as to us. The plaintiff is an entity that seeks to license a patent portfolio without itself practicing any of the claims recited therein. 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 As a result, DISH Network L.L.C. and DISH Technologies L.L.C. filed a motion to terminate their petition before the United States Patent and Trademark Office, which was granted on June 5, 2025. On July 28, 2025, the District Court dismissed the litigation. This matter is now concluded.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spacing w:after="0" w:line="169"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w:t>
      </w:r>
    </w:p>
    <w:p>
      <w:pPr>
        <w:spacing w:after="0" w:line="163"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65" w:lineRule="exact"/>
        <w:rPr>
          <w:sz w:val="20"/>
          <w:szCs w:val="20"/>
          <w:color w:val="auto"/>
        </w:rPr>
      </w:pPr>
    </w:p>
    <w:p>
      <w:pPr>
        <w:ind w:left="60" w:right="79" w:hanging="7"/>
        <w:spacing w:after="0" w:line="255" w:lineRule="auto"/>
        <w:rPr>
          <w:sz w:val="20"/>
          <w:szCs w:val="20"/>
          <w:color w:val="auto"/>
        </w:rPr>
      </w:pPr>
      <w:r>
        <w:rPr>
          <w:rFonts w:ascii="Arial" w:cs="Arial" w:eastAsia="Arial" w:hAnsi="Arial"/>
          <w:sz w:val="17"/>
          <w:szCs w:val="17"/>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60" w:right="59"/>
        <w:spacing w:after="0" w:line="254" w:lineRule="auto"/>
        <w:rPr>
          <w:sz w:val="20"/>
          <w:szCs w:val="20"/>
          <w:color w:val="auto"/>
        </w:rPr>
      </w:pPr>
      <w:r>
        <w:rPr>
          <w:rFonts w:ascii="Arial" w:cs="Arial" w:eastAsia="Arial" w:hAnsi="Arial"/>
          <w:sz w:val="17"/>
          <w:szCs w:val="17"/>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w:t>
      </w:r>
    </w:p>
    <w:p>
      <w:pPr>
        <w:spacing w:after="0" w:line="15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 , but the case is continuing against the retailers.</w:t>
      </w:r>
    </w:p>
    <w:p>
      <w:pPr>
        <w:spacing w:after="0" w:line="163"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On July 17, 2015, TQ Delta, LLC (“TQ Delta”) filed a complaint against us and our wholly-owned subsidiaries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w:t>
      </w:r>
    </w:p>
    <w:p>
      <w:pPr>
        <w:spacing w:after="0" w:line="171"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3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w:t>
      </w:r>
    </w:p>
    <w:p>
      <w:pPr>
        <w:spacing w:after="0" w:line="16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71"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 The Court has set a trial date of November 8, 2027.</w:t>
      </w:r>
    </w:p>
    <w:p>
      <w:pPr>
        <w:spacing w:after="0" w:line="16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156"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5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spacing w:after="0" w:line="16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spacing w:after="0" w:line="16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Universal Service Administrative Company</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22222"/>
        </w:rPr>
        <w:t>On April 3, 2023, the Universal Service Administrative Company (“USAC”) notified our wholly-owned subsidiary DISH Wireless that it intended to seek to recover funds in the amount of $13.9 million disbursed under the Emergency Broadband Benefit Program (“EBBP”) and Affordable Connectivity Program (“ACP”) rules. We appealed this action and the USAC denied our appeal in October 2023. We appealed USAC's action to the FCC's Wireline Competition Bureau, which denied our appeal on January 17, 2025.</w:t>
      </w:r>
    </w:p>
    <w:p>
      <w:pPr>
        <w:spacing w:after="0" w:line="163"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222222"/>
        </w:rPr>
        <w:t>We will continue to appeal USAC's action. We cannot predict with any degree of certainty the outcome of our appeals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7"/>
          <w:szCs w:val="17"/>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99" w:hanging="7"/>
        <w:spacing w:after="0" w:line="253" w:lineRule="auto"/>
        <w:rPr>
          <w:sz w:val="20"/>
          <w:szCs w:val="20"/>
          <w:color w:val="auto"/>
        </w:rPr>
      </w:pPr>
      <w:r>
        <w:rPr>
          <w:rFonts w:ascii="Arial" w:cs="Arial" w:eastAsia="Arial" w:hAnsi="Arial"/>
          <w:sz w:val="18"/>
          <w:szCs w:val="18"/>
          <w:color w:val="auto"/>
        </w:rPr>
        <w:t>On January 22, 2025, with permission from the Court, the Trustee filed a second amended complaint, which added allegations regarding the debt issued by DBS SubscriberCo, a related intercompany loan, and the DIRECTV transaction.</w:t>
      </w:r>
    </w:p>
    <w:p>
      <w:pPr>
        <w:spacing w:after="0" w:line="155"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On September 23, 2016, the United States District Court for the District of Columbia unsealed a qui tam complaint that, on May 13, 2015, Vermont National filed against us; our wholly-owned subsidiaries, American AWS-3 Wireless I L.L.C., American II, American III, and DISH Wireless Holding L.L.C.; Charles W. Ergen (our Chairman) and Cantey M. Ergen (a member of our Board of Directors, at that time);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 Wireless LicenseCo, LLC, et al. v. F.C.C.</w:t>
      </w:r>
      <w:r>
        <w:rPr>
          <w:rFonts w:ascii="Arial" w:cs="Arial" w:eastAsia="Arial" w:hAnsi="Arial"/>
          <w:sz w:val="18"/>
          <w:szCs w:val="18"/>
          <w:color w:val="auto"/>
        </w:rPr>
        <w:t xml:space="preserve"> The D.C. Circuit issued its opinion on August 29, 2017 and remanded the matter to the FCC for further proceedings.</w:t>
      </w:r>
    </w:p>
    <w:p>
      <w:pPr>
        <w:spacing w:after="0" w:line="16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On August 25, 2023, the FCC provided a sworn declaration stating that “the FCC considers … SNR and Northstar to have fully and timely satisfied their obligations to pay money to the Government arising from the AWS-3 Auction.”</w:t>
      </w:r>
    </w:p>
    <w:p>
      <w:pPr>
        <w:spacing w:after="0" w:line="170" w:lineRule="exact"/>
        <w:rPr>
          <w:sz w:val="20"/>
          <w:szCs w:val="20"/>
          <w:color w:val="auto"/>
        </w:rPr>
      </w:pPr>
    </w:p>
    <w:p>
      <w:pPr>
        <w:ind w:left="60" w:right="59" w:hanging="7"/>
        <w:spacing w:after="0"/>
        <w:rPr>
          <w:sz w:val="20"/>
          <w:szCs w:val="20"/>
          <w:color w:val="auto"/>
        </w:rPr>
      </w:pPr>
      <w:r>
        <w:rPr>
          <w:rFonts w:ascii="Arial" w:cs="Arial" w:eastAsia="Arial" w:hAnsi="Arial"/>
          <w:sz w:val="18"/>
          <w:szCs w:val="18"/>
          <w:color w:val="auto"/>
        </w:rPr>
        <w:t>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 Vermont National’s objections to that recommendation have been fully briefed to the Court.</w:t>
      </w:r>
    </w:p>
    <w:p>
      <w:pPr>
        <w:spacing w:after="0" w:line="171"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149" w:lineRule="exact"/>
        <w:rPr>
          <w:sz w:val="20"/>
          <w:szCs w:val="20"/>
          <w:color w:val="auto"/>
        </w:rPr>
      </w:pPr>
    </w:p>
    <w:p>
      <w:pPr>
        <w:ind w:left="700" w:hanging="650"/>
        <w:spacing w:after="0"/>
        <w:tabs>
          <w:tab w:leader="none" w:pos="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Our reportable segments are strategic business units managed separately based on different business strategies, services and products.</w:t>
      </w:r>
    </w:p>
    <w:p>
      <w:pPr>
        <w:spacing w:after="0" w:line="14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 xml:space="preserve">Our chief operating decision maker </w:t>
      </w:r>
      <w:r>
        <w:rPr>
          <w:rFonts w:ascii="Arial" w:cs="Arial" w:eastAsia="Arial" w:hAnsi="Arial"/>
          <w:sz w:val="18"/>
          <w:szCs w:val="18"/>
          <w:color w:val="222222"/>
        </w:rPr>
        <w:t>(“CODM”)</w:t>
      </w:r>
      <w:r>
        <w:rPr>
          <w:rFonts w:ascii="Arial" w:cs="Arial" w:eastAsia="Arial" w:hAnsi="Arial"/>
          <w:sz w:val="18"/>
          <w:szCs w:val="18"/>
          <w:color w:val="auto"/>
        </w:rPr>
        <w:t xml:space="preserve"> is our </w:t>
      </w:r>
      <w:r>
        <w:rPr>
          <w:rFonts w:ascii="Arial" w:cs="Arial" w:eastAsia="Arial" w:hAnsi="Arial"/>
          <w:sz w:val="18"/>
          <w:szCs w:val="18"/>
          <w:color w:val="222222"/>
        </w:rPr>
        <w:t>President and Chief Executive Officer.</w:t>
      </w:r>
      <w:r>
        <w:rPr>
          <w:rFonts w:ascii="Arial" w:cs="Arial" w:eastAsia="Arial" w:hAnsi="Arial"/>
          <w:sz w:val="18"/>
          <w:szCs w:val="18"/>
          <w:color w:val="auto"/>
        </w:rPr>
        <w:t xml:space="preserve">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spacing w:after="0" w:line="160"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We currently operate two primary business segments: (1) Pay-TV and (2) Wireless. See Note 1 for further information. Our Pay-TV segment revenue is primarily derived from Pay-TV subscriber revenue. Our Wireless segment revenue is primarily derived from Wireless subscriber revenue and selling wireless devices to subscribers.</w:t>
      </w:r>
    </w:p>
    <w:p>
      <w:pPr>
        <w:spacing w:after="0" w:line="160" w:lineRule="exact"/>
        <w:rPr>
          <w:sz w:val="20"/>
          <w:szCs w:val="20"/>
          <w:color w:val="auto"/>
        </w:rPr>
      </w:pPr>
    </w:p>
    <w:p>
      <w:pPr>
        <w:ind w:left="60" w:right="439" w:hanging="7"/>
        <w:spacing w:after="0" w:line="271" w:lineRule="auto"/>
        <w:rPr>
          <w:sz w:val="20"/>
          <w:szCs w:val="20"/>
          <w:color w:val="auto"/>
        </w:rPr>
      </w:pPr>
      <w:r>
        <w:rPr>
          <w:rFonts w:ascii="Arial" w:cs="Arial" w:eastAsia="Arial" w:hAnsi="Arial"/>
          <w:sz w:val="18"/>
          <w:szCs w:val="18"/>
          <w:color w:val="auto"/>
        </w:rPr>
        <w:t>All other and eliminations primarily include intersegment eliminations related to intercompany revenue and the related expense, which are eliminated in consolidation.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CODM is not regularly provided assets on a segment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expense, operating income (loss) and OIBDA by segment were as follows:</w:t>
      </w:r>
    </w:p>
    <w:p>
      <w:pPr>
        <w:spacing w:after="0" w:line="198" w:lineRule="exact"/>
        <w:rPr>
          <w:sz w:val="20"/>
          <w:szCs w:val="20"/>
          <w:color w:val="auto"/>
        </w:rPr>
      </w:pPr>
    </w:p>
    <w:p>
      <w:pPr>
        <w:ind w:left="60" w:right="619"/>
        <w:spacing w:after="0" w:line="254" w:lineRule="auto"/>
        <w:rPr>
          <w:sz w:val="20"/>
          <w:szCs w:val="20"/>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presented.</w:t>
      </w:r>
    </w:p>
    <w:tbl>
      <w:tblPr>
        <w:tblLayout w:type="fixed"/>
        <w:tblInd w:w="4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Pay-TV</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Wireless</w:t>
            </w:r>
          </w:p>
        </w:tc>
        <w:tc>
          <w:tcPr>
            <w:tcW w:w="200" w:type="dxa"/>
            <w:vAlign w:val="bottom"/>
          </w:tcPr>
          <w:p>
            <w:pPr>
              <w:spacing w:after="0"/>
              <w:rPr>
                <w:sz w:val="18"/>
                <w:szCs w:val="18"/>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Three Months Ended June 30, 2025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80"/>
              <w:spacing w:after="0"/>
              <w:rPr>
                <w:sz w:val="20"/>
                <w:szCs w:val="20"/>
                <w:color w:val="auto"/>
              </w:rPr>
            </w:pPr>
            <w:r>
              <w:rPr>
                <w:rFonts w:ascii="Arial" w:cs="Arial" w:eastAsia="Arial" w:hAnsi="Arial"/>
                <w:sz w:val="16"/>
                <w:szCs w:val="16"/>
                <w:color w:val="auto"/>
              </w:rPr>
              <w:t>(In thousands)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Revenue from external customers: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Service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   2,446,844</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823,722</w:t>
            </w:r>
          </w:p>
        </w:tc>
        <w:tc>
          <w:tcPr>
            <w:tcW w:w="2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3,270,566</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Equipment sales and other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110,827</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124,976</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Intersegment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1,256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(1,259)</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2,462,249</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934,552</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(1,259)</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3,395,542</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Cost of services: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Programming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1,179,987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1,179,987</w:t>
            </w: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Connectivity services (1)</w:t>
            </w:r>
          </w:p>
        </w:tc>
        <w:tc>
          <w:tcPr>
            <w:tcW w:w="1120" w:type="dxa"/>
            <w:vAlign w:val="bottom"/>
          </w:tcPr>
          <w:p>
            <w:pPr>
              <w:jc w:val="right"/>
              <w:spacing w:after="0"/>
              <w:rPr>
                <w:sz w:val="20"/>
                <w:szCs w:val="20"/>
                <w:color w:val="auto"/>
              </w:rPr>
            </w:pPr>
            <w:r>
              <w:rPr>
                <w:rFonts w:ascii="Arial" w:cs="Arial" w:eastAsia="Arial" w:hAnsi="Arial"/>
                <w:sz w:val="16"/>
                <w:szCs w:val="16"/>
                <w:color w:val="auto"/>
              </w:rPr>
              <w:t>52,652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635,549</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688,135</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316,332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164,502</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480,410</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1,548,971</w:t>
            </w:r>
          </w:p>
        </w:tc>
        <w:tc>
          <w:tcPr>
            <w:tcW w:w="2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800,051</w:t>
            </w:r>
          </w:p>
        </w:tc>
        <w:tc>
          <w:tcPr>
            <w:tcW w:w="2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(490)</w:t>
            </w:r>
          </w:p>
        </w:tc>
        <w:tc>
          <w:tcPr>
            <w:tcW w:w="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2,348,532</w:t>
            </w:r>
          </w:p>
        </w:tc>
        <w:tc>
          <w:tcPr>
            <w:tcW w:w="0" w:type="dxa"/>
            <w:vAlign w:val="bottom"/>
          </w:tcPr>
          <w:p>
            <w:pPr>
              <w:spacing w:after="0"/>
              <w:rPr>
                <w:sz w:val="1"/>
                <w:szCs w:val="1"/>
                <w:color w:val="auto"/>
              </w:rPr>
            </w:pPr>
          </w:p>
        </w:tc>
      </w:tr>
      <w:tr>
        <w:trPr>
          <w:trHeight w:val="183"/>
        </w:trPr>
        <w:tc>
          <w:tcPr>
            <w:tcW w:w="39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Cost of sales - equipment and other</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9,446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282,045</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291,491</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Subscriber acquisition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87,606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204,809</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(616)</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291,799</w:t>
            </w: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152,849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95,488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248,184</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240,455</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300,297</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(769)</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539,983</w:t>
            </w:r>
          </w:p>
        </w:tc>
        <w:tc>
          <w:tcPr>
            <w:tcW w:w="0" w:type="dxa"/>
            <w:vAlign w:val="bottom"/>
          </w:tcPr>
          <w:p>
            <w:pPr>
              <w:spacing w:after="0"/>
              <w:rPr>
                <w:sz w:val="1"/>
                <w:szCs w:val="1"/>
                <w:color w:val="auto"/>
              </w:rPr>
            </w:pPr>
          </w:p>
        </w:tc>
      </w:tr>
    </w:tbl>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OIBDA (3)</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663,377</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(447,841)</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215,536</w:t>
            </w:r>
          </w:p>
        </w:tc>
        <w:tc>
          <w:tcPr>
            <w:tcW w:w="20" w:type="dxa"/>
            <w:vAlign w:val="bottom"/>
          </w:tcPr>
          <w:p>
            <w:pPr>
              <w:spacing w:after="0"/>
              <w:rPr>
                <w:sz w:val="17"/>
                <w:szCs w:val="17"/>
                <w:color w:val="auto"/>
              </w:rPr>
            </w:pPr>
          </w:p>
        </w:tc>
      </w:tr>
      <w:tr>
        <w:trPr>
          <w:trHeight w:val="183"/>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67,825</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320,960</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388,785</w:t>
            </w:r>
          </w:p>
        </w:tc>
        <w:tc>
          <w:tcPr>
            <w:tcW w:w="20" w:type="dxa"/>
            <w:vAlign w:val="bottom"/>
          </w:tcPr>
          <w:p>
            <w:pPr>
              <w:spacing w:after="0"/>
              <w:rPr>
                <w:sz w:val="16"/>
                <w:szCs w:val="16"/>
                <w:color w:val="auto"/>
              </w:rPr>
            </w:pPr>
          </w:p>
        </w:tc>
      </w:tr>
      <w:tr>
        <w:trPr>
          <w:trHeight w:val="183"/>
        </w:trPr>
        <w:tc>
          <w:tcPr>
            <w:tcW w:w="39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1,866,697</w:t>
            </w:r>
          </w:p>
        </w:tc>
        <w:tc>
          <w:tcPr>
            <w:tcW w:w="2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1,703,353</w:t>
            </w:r>
          </w:p>
        </w:tc>
        <w:tc>
          <w:tcPr>
            <w:tcW w:w="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(1,259)</w:t>
            </w:r>
          </w:p>
        </w:tc>
        <w:tc>
          <w:tcPr>
            <w:tcW w:w="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3,568,791</w:t>
            </w:r>
          </w:p>
        </w:tc>
        <w:tc>
          <w:tcPr>
            <w:tcW w:w="20" w:type="dxa"/>
            <w:vAlign w:val="bottom"/>
          </w:tcPr>
          <w:p>
            <w:pPr>
              <w:spacing w:after="0"/>
              <w:rPr>
                <w:sz w:val="15"/>
                <w:szCs w:val="15"/>
                <w:color w:val="auto"/>
              </w:rPr>
            </w:pPr>
          </w:p>
        </w:tc>
      </w:tr>
      <w:tr>
        <w:trPr>
          <w:trHeight w:val="183"/>
        </w:trPr>
        <w:tc>
          <w:tcPr>
            <w:tcW w:w="39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39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595,552</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(768,801)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(173,249)</w:t>
            </w:r>
          </w:p>
        </w:tc>
        <w:tc>
          <w:tcPr>
            <w:tcW w:w="20" w:type="dxa"/>
            <w:vAlign w:val="bottom"/>
          </w:tcPr>
          <w:p>
            <w:pPr>
              <w:spacing w:after="0"/>
              <w:rPr>
                <w:sz w:val="19"/>
                <w:szCs w:val="19"/>
                <w:color w:val="auto"/>
              </w:rPr>
            </w:pPr>
          </w:p>
        </w:tc>
      </w:tr>
      <w:tr>
        <w:trPr>
          <w:trHeight w:val="169"/>
        </w:trPr>
        <w:tc>
          <w:tcPr>
            <w:tcW w:w="3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15,397</w:t>
            </w:r>
          </w:p>
        </w:tc>
        <w:tc>
          <w:tcPr>
            <w:tcW w:w="20" w:type="dxa"/>
            <w:vAlign w:val="bottom"/>
          </w:tcPr>
          <w:p>
            <w:pPr>
              <w:spacing w:after="0"/>
              <w:rPr>
                <w:sz w:val="16"/>
                <w:szCs w:val="16"/>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(230,249)</w:t>
            </w:r>
          </w:p>
        </w:tc>
        <w:tc>
          <w:tcPr>
            <w:tcW w:w="2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25,698</w:t>
            </w:r>
          </w:p>
        </w:tc>
        <w:tc>
          <w:tcPr>
            <w:tcW w:w="20" w:type="dxa"/>
            <w:vAlign w:val="bottom"/>
          </w:tcPr>
          <w:p>
            <w:pPr>
              <w:spacing w:after="0"/>
              <w:rPr>
                <w:sz w:val="16"/>
                <w:szCs w:val="16"/>
                <w:color w:val="auto"/>
              </w:rPr>
            </w:pPr>
          </w:p>
        </w:tc>
      </w:tr>
      <w:tr>
        <w:trPr>
          <w:trHeight w:val="183"/>
        </w:trPr>
        <w:tc>
          <w:tcPr>
            <w:tcW w:w="3920" w:type="dxa"/>
            <w:vAlign w:val="bottom"/>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(362,403)</w:t>
            </w:r>
          </w:p>
        </w:tc>
        <w:tc>
          <w:tcPr>
            <w:tcW w:w="20" w:type="dxa"/>
            <w:vAlign w:val="bottom"/>
            <w:tcBorders>
              <w:bottom w:val="single" w:sz="8" w:color="auto"/>
            </w:tcBorders>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380" w:right="279" w:hanging="330"/>
        <w:spacing w:after="0" w:line="241"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“Connectivity services” is the cost to deliver our services and products to customers, which includes, among other things, network, transport and data, cloud based service, satellite and transmission, and other related costs.</w:t>
      </w:r>
    </w:p>
    <w:p>
      <w:pPr>
        <w:spacing w:after="0" w:line="1" w:lineRule="exact"/>
        <w:rPr>
          <w:rFonts w:ascii="Arial" w:cs="Arial" w:eastAsia="Arial" w:hAnsi="Arial"/>
          <w:sz w:val="18"/>
          <w:szCs w:val="18"/>
          <w:color w:val="auto"/>
        </w:rPr>
      </w:pPr>
    </w:p>
    <w:p>
      <w:pPr>
        <w:ind w:left="380" w:right="419" w:hanging="330"/>
        <w:spacing w:after="0" w:line="234"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8"/>
          <w:szCs w:val="18"/>
          <w:color w:val="auto"/>
        </w:rPr>
      </w:pPr>
    </w:p>
    <w:p>
      <w:pPr>
        <w:ind w:left="380" w:right="119" w:hanging="330"/>
        <w:spacing w:after="0" w:line="23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Pay-TV</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Wireless</w:t>
            </w:r>
          </w:p>
        </w:tc>
        <w:tc>
          <w:tcPr>
            <w:tcW w:w="200" w:type="dxa"/>
            <w:vAlign w:val="bottom"/>
          </w:tcPr>
          <w:p>
            <w:pPr>
              <w:spacing w:after="0"/>
              <w:rPr>
                <w:sz w:val="18"/>
                <w:szCs w:val="18"/>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Three Months Ended June 30, 2024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ind w:left="480"/>
              <w:spacing w:after="0"/>
              <w:rPr>
                <w:sz w:val="20"/>
                <w:szCs w:val="20"/>
                <w:color w:val="auto"/>
              </w:rPr>
            </w:pPr>
            <w:r>
              <w:rPr>
                <w:rFonts w:ascii="Arial" w:cs="Arial" w:eastAsia="Arial" w:hAnsi="Arial"/>
                <w:sz w:val="16"/>
                <w:szCs w:val="16"/>
                <w:color w:val="auto"/>
              </w:rPr>
              <w:t>(In thousands)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Revenue from external customers: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Service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   2,658,383</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785,135</w:t>
            </w:r>
          </w:p>
        </w:tc>
        <w:tc>
          <w:tcPr>
            <w:tcW w:w="20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   3,443,518</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Equipment sales and other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106,966</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124,752</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Intersegment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(120)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2,676,284</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892,106</w:t>
            </w: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3,568,270</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Cost of services: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Programming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1,259,042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1,259,042</w:t>
            </w: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Connectivity services</w:t>
            </w:r>
          </w:p>
        </w:tc>
        <w:tc>
          <w:tcPr>
            <w:tcW w:w="1120" w:type="dxa"/>
            <w:vAlign w:val="bottom"/>
          </w:tcPr>
          <w:p>
            <w:pPr>
              <w:jc w:val="right"/>
              <w:spacing w:after="0"/>
              <w:rPr>
                <w:sz w:val="20"/>
                <w:szCs w:val="20"/>
                <w:color w:val="auto"/>
              </w:rPr>
            </w:pPr>
            <w:r>
              <w:rPr>
                <w:rFonts w:ascii="Arial" w:cs="Arial" w:eastAsia="Arial" w:hAnsi="Arial"/>
                <w:sz w:val="16"/>
                <w:szCs w:val="16"/>
                <w:color w:val="auto"/>
              </w:rPr>
              <w:t>54,504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618,778</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120" w:type="dxa"/>
            <w:vAlign w:val="bottom"/>
          </w:tcPr>
          <w:p>
            <w:pPr>
              <w:jc w:val="right"/>
              <w:spacing w:after="0"/>
              <w:rPr>
                <w:sz w:val="20"/>
                <w:szCs w:val="20"/>
                <w:color w:val="auto"/>
              </w:rPr>
            </w:pPr>
            <w:r>
              <w:rPr>
                <w:rFonts w:ascii="Arial" w:cs="Arial" w:eastAsia="Arial" w:hAnsi="Arial"/>
                <w:sz w:val="16"/>
                <w:szCs w:val="16"/>
                <w:color w:val="auto"/>
              </w:rPr>
              <w:t>673,277</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325,137</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125,649</w:t>
            </w:r>
          </w:p>
        </w:tc>
        <w:tc>
          <w:tcPr>
            <w:tcW w:w="2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450,806</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1,638,683</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744,427</w:t>
            </w:r>
          </w:p>
        </w:tc>
        <w:tc>
          <w:tcPr>
            <w:tcW w:w="2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2,383,125</w:t>
            </w:r>
          </w:p>
        </w:tc>
        <w:tc>
          <w:tcPr>
            <w:tcW w:w="0" w:type="dxa"/>
            <w:vAlign w:val="bottom"/>
          </w:tcPr>
          <w:p>
            <w:pPr>
              <w:spacing w:after="0"/>
              <w:rPr>
                <w:sz w:val="1"/>
                <w:szCs w:val="1"/>
                <w:color w:val="auto"/>
              </w:rPr>
            </w:pPr>
          </w:p>
        </w:tc>
      </w:tr>
      <w:tr>
        <w:trPr>
          <w:trHeight w:val="183"/>
        </w:trPr>
        <w:tc>
          <w:tcPr>
            <w:tcW w:w="39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Cost of sales - equipment and other</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17,837</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312,983</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330,820</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Subscriber acquisition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102,635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147,308</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249,943</w:t>
            </w: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164,083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81,095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(135)</w:t>
            </w:r>
          </w:p>
        </w:tc>
        <w:tc>
          <w:tcPr>
            <w:tcW w:w="1120" w:type="dxa"/>
            <w:vAlign w:val="bottom"/>
          </w:tcPr>
          <w:p>
            <w:pPr>
              <w:jc w:val="right"/>
              <w:spacing w:after="0"/>
              <w:rPr>
                <w:sz w:val="20"/>
                <w:szCs w:val="20"/>
                <w:color w:val="auto"/>
              </w:rPr>
            </w:pPr>
            <w:r>
              <w:rPr>
                <w:rFonts w:ascii="Arial" w:cs="Arial" w:eastAsia="Arial" w:hAnsi="Arial"/>
                <w:sz w:val="16"/>
                <w:szCs w:val="16"/>
                <w:color w:val="auto"/>
              </w:rPr>
              <w:t>245,043</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266,718</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228,403</w:t>
            </w: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(135)</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494,986</w:t>
            </w:r>
          </w:p>
        </w:tc>
        <w:tc>
          <w:tcPr>
            <w:tcW w:w="0" w:type="dxa"/>
            <w:vAlign w:val="bottom"/>
          </w:tcPr>
          <w:p>
            <w:pPr>
              <w:spacing w:after="0"/>
              <w:rPr>
                <w:sz w:val="1"/>
                <w:szCs w:val="1"/>
                <w:color w:val="auto"/>
              </w:rPr>
            </w:pPr>
          </w:p>
        </w:tc>
      </w:tr>
    </w:tbl>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OIBDA</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753,046</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(393,707)</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359,339</w:t>
            </w:r>
          </w:p>
        </w:tc>
        <w:tc>
          <w:tcPr>
            <w:tcW w:w="20" w:type="dxa"/>
            <w:vAlign w:val="bottom"/>
          </w:tcPr>
          <w:p>
            <w:pPr>
              <w:spacing w:after="0"/>
              <w:rPr>
                <w:sz w:val="17"/>
                <w:szCs w:val="17"/>
                <w:color w:val="auto"/>
              </w:rPr>
            </w:pPr>
          </w:p>
        </w:tc>
      </w:tr>
      <w:tr>
        <w:trPr>
          <w:trHeight w:val="183"/>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85,249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305,861</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391,110</w:t>
            </w:r>
          </w:p>
        </w:tc>
        <w:tc>
          <w:tcPr>
            <w:tcW w:w="20" w:type="dxa"/>
            <w:vAlign w:val="bottom"/>
          </w:tcPr>
          <w:p>
            <w:pPr>
              <w:spacing w:after="0"/>
              <w:rPr>
                <w:sz w:val="16"/>
                <w:szCs w:val="16"/>
                <w:color w:val="auto"/>
              </w:rPr>
            </w:pPr>
          </w:p>
        </w:tc>
      </w:tr>
      <w:tr>
        <w:trPr>
          <w:trHeight w:val="183"/>
        </w:trPr>
        <w:tc>
          <w:tcPr>
            <w:tcW w:w="39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2,008,487</w:t>
            </w:r>
          </w:p>
        </w:tc>
        <w:tc>
          <w:tcPr>
            <w:tcW w:w="2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1,591,674</w:t>
            </w:r>
          </w:p>
        </w:tc>
        <w:tc>
          <w:tcPr>
            <w:tcW w:w="2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w:t>
            </w:r>
          </w:p>
        </w:tc>
        <w:tc>
          <w:tcPr>
            <w:tcW w:w="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3,600,041</w:t>
            </w:r>
          </w:p>
        </w:tc>
        <w:tc>
          <w:tcPr>
            <w:tcW w:w="20" w:type="dxa"/>
            <w:vAlign w:val="bottom"/>
          </w:tcPr>
          <w:p>
            <w:pPr>
              <w:spacing w:after="0"/>
              <w:rPr>
                <w:sz w:val="15"/>
                <w:szCs w:val="15"/>
                <w:color w:val="auto"/>
              </w:rPr>
            </w:pPr>
          </w:p>
        </w:tc>
      </w:tr>
      <w:tr>
        <w:trPr>
          <w:trHeight w:val="183"/>
        </w:trPr>
        <w:tc>
          <w:tcPr>
            <w:tcW w:w="39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39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667,797</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(699,568)</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(31,771)</w:t>
            </w:r>
          </w:p>
        </w:tc>
        <w:tc>
          <w:tcPr>
            <w:tcW w:w="20" w:type="dxa"/>
            <w:vAlign w:val="bottom"/>
          </w:tcPr>
          <w:p>
            <w:pPr>
              <w:spacing w:after="0"/>
              <w:rPr>
                <w:sz w:val="19"/>
                <w:szCs w:val="19"/>
                <w:color w:val="auto"/>
              </w:rPr>
            </w:pPr>
          </w:p>
        </w:tc>
      </w:tr>
      <w:tr>
        <w:trPr>
          <w:trHeight w:val="170"/>
        </w:trPr>
        <w:tc>
          <w:tcPr>
            <w:tcW w:w="3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10,514</w:t>
            </w:r>
          </w:p>
        </w:tc>
        <w:tc>
          <w:tcPr>
            <w:tcW w:w="20" w:type="dxa"/>
            <w:vAlign w:val="bottom"/>
          </w:tcPr>
          <w:p>
            <w:pPr>
              <w:spacing w:after="0"/>
              <w:rPr>
                <w:sz w:val="16"/>
                <w:szCs w:val="16"/>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(164,561)</w:t>
            </w:r>
          </w:p>
        </w:tc>
        <w:tc>
          <w:tcPr>
            <w:tcW w:w="2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(64,477)</w:t>
            </w:r>
          </w:p>
        </w:tc>
        <w:tc>
          <w:tcPr>
            <w:tcW w:w="20" w:type="dxa"/>
            <w:vAlign w:val="bottom"/>
          </w:tcPr>
          <w:p>
            <w:pPr>
              <w:spacing w:after="0"/>
              <w:rPr>
                <w:sz w:val="16"/>
                <w:szCs w:val="16"/>
                <w:color w:val="auto"/>
              </w:rPr>
            </w:pPr>
          </w:p>
        </w:tc>
      </w:tr>
      <w:tr>
        <w:trPr>
          <w:trHeight w:val="183"/>
        </w:trPr>
        <w:tc>
          <w:tcPr>
            <w:tcW w:w="3920" w:type="dxa"/>
            <w:vAlign w:val="bottom"/>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(250,295)</w:t>
            </w:r>
          </w:p>
        </w:tc>
        <w:tc>
          <w:tcPr>
            <w:tcW w:w="20" w:type="dxa"/>
            <w:vAlign w:val="bottom"/>
            <w:tcBorders>
              <w:bottom w:val="single" w:sz="8" w:color="auto"/>
            </w:tcBorders>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Pay-TV</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Wireless</w:t>
            </w:r>
          </w:p>
        </w:tc>
        <w:tc>
          <w:tcPr>
            <w:tcW w:w="200" w:type="dxa"/>
            <w:vAlign w:val="bottom"/>
          </w:tcPr>
          <w:p>
            <w:pPr>
              <w:spacing w:after="0"/>
              <w:rPr>
                <w:sz w:val="18"/>
                <w:szCs w:val="18"/>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Six Months Ended June 30, 2025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640"/>
              <w:spacing w:after="0"/>
              <w:rPr>
                <w:sz w:val="20"/>
                <w:szCs w:val="20"/>
                <w:color w:val="auto"/>
              </w:rPr>
            </w:pPr>
            <w:r>
              <w:rPr>
                <w:rFonts w:ascii="Arial" w:cs="Arial" w:eastAsia="Arial" w:hAnsi="Arial"/>
                <w:sz w:val="16"/>
                <w:szCs w:val="16"/>
                <w:color w:val="auto"/>
              </w:rPr>
              <w:t>(In thousands)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Revenue from external customers: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Service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   4,971,196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  1,633,329</w:t>
            </w:r>
          </w:p>
        </w:tc>
        <w:tc>
          <w:tcPr>
            <w:tcW w:w="2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6,604,525</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Equipment sales and other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27,614</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273,763</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301,377</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Intersegment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2,166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(2,174)</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5,000,976</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1,907,100</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(2,174)</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6,905,902</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Cost of services: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Programming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2,396,409</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2,396,409</w:t>
            </w: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Connectivity services</w:t>
            </w:r>
          </w:p>
        </w:tc>
        <w:tc>
          <w:tcPr>
            <w:tcW w:w="1120" w:type="dxa"/>
            <w:vAlign w:val="bottom"/>
          </w:tcPr>
          <w:p>
            <w:pPr>
              <w:jc w:val="right"/>
              <w:spacing w:after="0"/>
              <w:rPr>
                <w:sz w:val="20"/>
                <w:szCs w:val="20"/>
                <w:color w:val="auto"/>
              </w:rPr>
            </w:pPr>
            <w:r>
              <w:rPr>
                <w:rFonts w:ascii="Arial" w:cs="Arial" w:eastAsia="Arial" w:hAnsi="Arial"/>
                <w:sz w:val="16"/>
                <w:szCs w:val="16"/>
                <w:color w:val="auto"/>
              </w:rPr>
              <w:t>106,786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1,256,750</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1,363,236</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602,412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308,634</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910,205</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3,105,607</w:t>
            </w:r>
          </w:p>
        </w:tc>
        <w:tc>
          <w:tcPr>
            <w:tcW w:w="2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1,565,384</w:t>
            </w:r>
          </w:p>
        </w:tc>
        <w:tc>
          <w:tcPr>
            <w:tcW w:w="2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(1,141)</w:t>
            </w:r>
          </w:p>
        </w:tc>
        <w:tc>
          <w:tcPr>
            <w:tcW w:w="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4,669,850</w:t>
            </w:r>
          </w:p>
        </w:tc>
        <w:tc>
          <w:tcPr>
            <w:tcW w:w="0" w:type="dxa"/>
            <w:vAlign w:val="bottom"/>
          </w:tcPr>
          <w:p>
            <w:pPr>
              <w:spacing w:after="0"/>
              <w:rPr>
                <w:sz w:val="1"/>
                <w:szCs w:val="1"/>
                <w:color w:val="auto"/>
              </w:rPr>
            </w:pPr>
          </w:p>
        </w:tc>
      </w:tr>
      <w:tr>
        <w:trPr>
          <w:trHeight w:val="183"/>
        </w:trPr>
        <w:tc>
          <w:tcPr>
            <w:tcW w:w="39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Cost of sales - equipment and other</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19,118</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631,290</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650,408</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Subscriber acquisition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174,119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395,294</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(647)</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568,766</w:t>
            </w: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308,882</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174,269</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(386)</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482,765</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483,001</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569,563</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(1,033)</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1,051,531</w:t>
            </w:r>
          </w:p>
        </w:tc>
        <w:tc>
          <w:tcPr>
            <w:tcW w:w="0" w:type="dxa"/>
            <w:vAlign w:val="bottom"/>
          </w:tcPr>
          <w:p>
            <w:pPr>
              <w:spacing w:after="0"/>
              <w:rPr>
                <w:sz w:val="1"/>
                <w:szCs w:val="1"/>
                <w:color w:val="auto"/>
              </w:rPr>
            </w:pPr>
          </w:p>
        </w:tc>
      </w:tr>
    </w:tbl>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OIBDA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1,393,250</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(859,137)</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534,113</w:t>
            </w:r>
          </w:p>
        </w:tc>
        <w:tc>
          <w:tcPr>
            <w:tcW w:w="20" w:type="dxa"/>
            <w:vAlign w:val="bottom"/>
          </w:tcPr>
          <w:p>
            <w:pPr>
              <w:spacing w:after="0"/>
              <w:rPr>
                <w:sz w:val="17"/>
                <w:szCs w:val="17"/>
                <w:color w:val="auto"/>
              </w:rPr>
            </w:pPr>
          </w:p>
        </w:tc>
      </w:tr>
      <w:tr>
        <w:trPr>
          <w:trHeight w:val="183"/>
        </w:trPr>
        <w:tc>
          <w:tcPr>
            <w:tcW w:w="3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144,268</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628,198</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772,466</w:t>
            </w:r>
          </w:p>
        </w:tc>
        <w:tc>
          <w:tcPr>
            <w:tcW w:w="20" w:type="dxa"/>
            <w:vAlign w:val="bottom"/>
          </w:tcPr>
          <w:p>
            <w:pPr>
              <w:spacing w:after="0"/>
              <w:rPr>
                <w:sz w:val="16"/>
                <w:szCs w:val="16"/>
                <w:color w:val="auto"/>
              </w:rPr>
            </w:pPr>
          </w:p>
        </w:tc>
      </w:tr>
      <w:tr>
        <w:trPr>
          <w:trHeight w:val="183"/>
        </w:trPr>
        <w:tc>
          <w:tcPr>
            <w:tcW w:w="39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3,751,994</w:t>
            </w:r>
          </w:p>
        </w:tc>
        <w:tc>
          <w:tcPr>
            <w:tcW w:w="2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3,394,435</w:t>
            </w:r>
          </w:p>
        </w:tc>
        <w:tc>
          <w:tcPr>
            <w:tcW w:w="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(2,174)</w:t>
            </w:r>
          </w:p>
        </w:tc>
        <w:tc>
          <w:tcPr>
            <w:tcW w:w="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7,144,255</w:t>
            </w:r>
          </w:p>
        </w:tc>
        <w:tc>
          <w:tcPr>
            <w:tcW w:w="20" w:type="dxa"/>
            <w:vAlign w:val="bottom"/>
          </w:tcPr>
          <w:p>
            <w:pPr>
              <w:spacing w:after="0"/>
              <w:rPr>
                <w:sz w:val="15"/>
                <w:szCs w:val="15"/>
                <w:color w:val="auto"/>
              </w:rPr>
            </w:pPr>
          </w:p>
        </w:tc>
      </w:tr>
      <w:tr>
        <w:trPr>
          <w:trHeight w:val="183"/>
        </w:trPr>
        <w:tc>
          <w:tcPr>
            <w:tcW w:w="39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39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1,248,982</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(1,487,335)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(238,353)</w:t>
            </w:r>
          </w:p>
        </w:tc>
        <w:tc>
          <w:tcPr>
            <w:tcW w:w="20" w:type="dxa"/>
            <w:vAlign w:val="bottom"/>
          </w:tcPr>
          <w:p>
            <w:pPr>
              <w:spacing w:after="0"/>
              <w:rPr>
                <w:sz w:val="19"/>
                <w:szCs w:val="19"/>
                <w:color w:val="auto"/>
              </w:rPr>
            </w:pPr>
          </w:p>
        </w:tc>
      </w:tr>
      <w:tr>
        <w:trPr>
          <w:trHeight w:val="170"/>
        </w:trPr>
        <w:tc>
          <w:tcPr>
            <w:tcW w:w="39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25,198</w:t>
            </w:r>
          </w:p>
        </w:tc>
        <w:tc>
          <w:tcPr>
            <w:tcW w:w="20" w:type="dxa"/>
            <w:vAlign w:val="bottom"/>
          </w:tcPr>
          <w:p>
            <w:pPr>
              <w:spacing w:after="0"/>
              <w:rPr>
                <w:sz w:val="16"/>
                <w:szCs w:val="16"/>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(427,504)</w:t>
            </w:r>
          </w:p>
        </w:tc>
        <w:tc>
          <w:tcPr>
            <w:tcW w:w="2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25,218</w:t>
            </w:r>
          </w:p>
        </w:tc>
        <w:tc>
          <w:tcPr>
            <w:tcW w:w="20" w:type="dxa"/>
            <w:vAlign w:val="bottom"/>
          </w:tcPr>
          <w:p>
            <w:pPr>
              <w:spacing w:after="0"/>
              <w:rPr>
                <w:sz w:val="16"/>
                <w:szCs w:val="16"/>
                <w:color w:val="auto"/>
              </w:rPr>
            </w:pPr>
          </w:p>
        </w:tc>
      </w:tr>
      <w:tr>
        <w:trPr>
          <w:trHeight w:val="183"/>
        </w:trPr>
        <w:tc>
          <w:tcPr>
            <w:tcW w:w="3920" w:type="dxa"/>
            <w:vAlign w:val="bottom"/>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(615,441)</w:t>
            </w:r>
          </w:p>
        </w:tc>
        <w:tc>
          <w:tcPr>
            <w:tcW w:w="20" w:type="dxa"/>
            <w:vAlign w:val="bottom"/>
            <w:tcBorders>
              <w:bottom w:val="single" w:sz="8" w:color="auto"/>
            </w:tcBorders>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Pay-TV</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Wireless</w:t>
            </w:r>
          </w:p>
        </w:tc>
        <w:tc>
          <w:tcPr>
            <w:tcW w:w="200" w:type="dxa"/>
            <w:vAlign w:val="bottom"/>
          </w:tcPr>
          <w:p>
            <w:pPr>
              <w:spacing w:after="0"/>
              <w:rPr>
                <w:sz w:val="18"/>
                <w:szCs w:val="18"/>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Six Months Ended June 30, 2024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ind w:left="640"/>
              <w:spacing w:after="0"/>
              <w:rPr>
                <w:sz w:val="20"/>
                <w:szCs w:val="20"/>
                <w:color w:val="auto"/>
              </w:rPr>
            </w:pPr>
            <w:r>
              <w:rPr>
                <w:rFonts w:ascii="Arial" w:cs="Arial" w:eastAsia="Arial" w:hAnsi="Arial"/>
                <w:sz w:val="16"/>
                <w:szCs w:val="16"/>
                <w:color w:val="auto"/>
              </w:rPr>
              <w:t>(In thousands)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Revenue from external customers: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Service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   5,359,545</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  1,589,401</w:t>
            </w:r>
          </w:p>
        </w:tc>
        <w:tc>
          <w:tcPr>
            <w:tcW w:w="20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   6,948,946</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Equipment sales and other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43,083</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216,130</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259,213</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Intersegment 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234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(239)</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5,402,862</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1,805,536</w:t>
            </w: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(239)</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7,208,159</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Cost of services: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Programming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2,543,872</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2,543,872</w:t>
            </w: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Connectivity services</w:t>
            </w:r>
          </w:p>
        </w:tc>
        <w:tc>
          <w:tcPr>
            <w:tcW w:w="1120" w:type="dxa"/>
            <w:vAlign w:val="bottom"/>
          </w:tcPr>
          <w:p>
            <w:pPr>
              <w:jc w:val="right"/>
              <w:spacing w:after="0"/>
              <w:rPr>
                <w:sz w:val="20"/>
                <w:szCs w:val="20"/>
                <w:color w:val="auto"/>
              </w:rPr>
            </w:pPr>
            <w:r>
              <w:rPr>
                <w:rFonts w:ascii="Arial" w:cs="Arial" w:eastAsia="Arial" w:hAnsi="Arial"/>
                <w:sz w:val="16"/>
                <w:szCs w:val="16"/>
                <w:color w:val="auto"/>
              </w:rPr>
              <w:t>111,701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1,259,345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1120" w:type="dxa"/>
            <w:vAlign w:val="bottom"/>
          </w:tcPr>
          <w:p>
            <w:pPr>
              <w:jc w:val="right"/>
              <w:spacing w:after="0"/>
              <w:rPr>
                <w:sz w:val="20"/>
                <w:szCs w:val="20"/>
                <w:color w:val="auto"/>
              </w:rPr>
            </w:pPr>
            <w:r>
              <w:rPr>
                <w:rFonts w:ascii="Arial" w:cs="Arial" w:eastAsia="Arial" w:hAnsi="Arial"/>
                <w:sz w:val="16"/>
                <w:szCs w:val="16"/>
                <w:color w:val="auto"/>
              </w:rPr>
              <w:t>1,371,037</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647,555</w:t>
            </w:r>
          </w:p>
        </w:tc>
        <w:tc>
          <w:tcPr>
            <w:tcW w:w="2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248,115</w:t>
            </w:r>
          </w:p>
        </w:tc>
        <w:tc>
          <w:tcPr>
            <w:tcW w:w="2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895,719</w:t>
            </w:r>
          </w:p>
        </w:tc>
        <w:tc>
          <w:tcPr>
            <w:tcW w:w="0" w:type="dxa"/>
            <w:vAlign w:val="bottom"/>
          </w:tcPr>
          <w:p>
            <w:pPr>
              <w:spacing w:after="0"/>
              <w:rPr>
                <w:sz w:val="1"/>
                <w:szCs w:val="1"/>
                <w:color w:val="auto"/>
              </w:rPr>
            </w:pPr>
          </w:p>
        </w:tc>
      </w:tr>
      <w:tr>
        <w:trPr>
          <w:trHeight w:val="182"/>
        </w:trPr>
        <w:tc>
          <w:tcPr>
            <w:tcW w:w="39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3,303,128</w:t>
            </w: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1,507,460</w:t>
            </w:r>
          </w:p>
        </w:tc>
        <w:tc>
          <w:tcPr>
            <w:tcW w:w="2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w:t>
            </w: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4,810,628</w:t>
            </w:r>
          </w:p>
        </w:tc>
        <w:tc>
          <w:tcPr>
            <w:tcW w:w="0" w:type="dxa"/>
            <w:vAlign w:val="bottom"/>
          </w:tcPr>
          <w:p>
            <w:pPr>
              <w:spacing w:after="0"/>
              <w:rPr>
                <w:sz w:val="1"/>
                <w:szCs w:val="1"/>
                <w:color w:val="auto"/>
              </w:rPr>
            </w:pPr>
          </w:p>
        </w:tc>
      </w:tr>
      <w:tr>
        <w:trPr>
          <w:trHeight w:val="183"/>
        </w:trPr>
        <w:tc>
          <w:tcPr>
            <w:tcW w:w="39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Cost of sales - equipment and other</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34,829</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602,525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637,354</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Subscriber acquisition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223,388</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289,046</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512,423</w:t>
            </w: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332,826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162,991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(455)</w:t>
            </w:r>
          </w:p>
        </w:tc>
        <w:tc>
          <w:tcPr>
            <w:tcW w:w="1120" w:type="dxa"/>
            <w:vAlign w:val="bottom"/>
          </w:tcPr>
          <w:p>
            <w:pPr>
              <w:jc w:val="right"/>
              <w:spacing w:after="0"/>
              <w:rPr>
                <w:sz w:val="20"/>
                <w:szCs w:val="20"/>
                <w:color w:val="auto"/>
              </w:rPr>
            </w:pPr>
            <w:r>
              <w:rPr>
                <w:rFonts w:ascii="Arial" w:cs="Arial" w:eastAsia="Arial" w:hAnsi="Arial"/>
                <w:sz w:val="16"/>
                <w:szCs w:val="16"/>
                <w:color w:val="auto"/>
              </w:rPr>
              <w:t>495,362</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556,214</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452,037</w:t>
            </w: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(466)</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1,007,785</w:t>
            </w:r>
          </w:p>
        </w:tc>
        <w:tc>
          <w:tcPr>
            <w:tcW w:w="0" w:type="dxa"/>
            <w:vAlign w:val="bottom"/>
          </w:tcPr>
          <w:p>
            <w:pPr>
              <w:spacing w:after="0"/>
              <w:rPr>
                <w:sz w:val="1"/>
                <w:szCs w:val="1"/>
                <w:color w:val="auto"/>
              </w:rPr>
            </w:pPr>
          </w:p>
        </w:tc>
      </w:tr>
    </w:tbl>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OIBDA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1,508,691</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(756,486)</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752,392</w:t>
            </w:r>
          </w:p>
        </w:tc>
        <w:tc>
          <w:tcPr>
            <w:tcW w:w="20" w:type="dxa"/>
            <w:vAlign w:val="bottom"/>
          </w:tcPr>
          <w:p>
            <w:pPr>
              <w:spacing w:after="0"/>
              <w:rPr>
                <w:sz w:val="17"/>
                <w:szCs w:val="17"/>
                <w:color w:val="auto"/>
              </w:rPr>
            </w:pPr>
          </w:p>
        </w:tc>
      </w:tr>
      <w:tr>
        <w:trPr>
          <w:trHeight w:val="182"/>
        </w:trPr>
        <w:tc>
          <w:tcPr>
            <w:tcW w:w="3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587,533</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758,184</w:t>
            </w:r>
          </w:p>
        </w:tc>
        <w:tc>
          <w:tcPr>
            <w:tcW w:w="20" w:type="dxa"/>
            <w:vAlign w:val="bottom"/>
          </w:tcPr>
          <w:p>
            <w:pPr>
              <w:spacing w:after="0"/>
              <w:rPr>
                <w:sz w:val="16"/>
                <w:szCs w:val="16"/>
                <w:color w:val="auto"/>
              </w:rPr>
            </w:pPr>
          </w:p>
        </w:tc>
      </w:tr>
      <w:tr>
        <w:trPr>
          <w:trHeight w:val="183"/>
        </w:trPr>
        <w:tc>
          <w:tcPr>
            <w:tcW w:w="39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4,064,822</w:t>
            </w:r>
          </w:p>
        </w:tc>
        <w:tc>
          <w:tcPr>
            <w:tcW w:w="2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3,149,555</w:t>
            </w:r>
          </w:p>
        </w:tc>
        <w:tc>
          <w:tcPr>
            <w:tcW w:w="2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(426)</w:t>
            </w:r>
          </w:p>
        </w:tc>
        <w:tc>
          <w:tcPr>
            <w:tcW w:w="2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7,213,951</w:t>
            </w:r>
          </w:p>
        </w:tc>
        <w:tc>
          <w:tcPr>
            <w:tcW w:w="20" w:type="dxa"/>
            <w:vAlign w:val="bottom"/>
          </w:tcPr>
          <w:p>
            <w:pPr>
              <w:spacing w:after="0"/>
              <w:rPr>
                <w:sz w:val="15"/>
                <w:szCs w:val="15"/>
                <w:color w:val="auto"/>
              </w:rPr>
            </w:pPr>
          </w:p>
        </w:tc>
      </w:tr>
      <w:tr>
        <w:trPr>
          <w:trHeight w:val="183"/>
        </w:trPr>
        <w:tc>
          <w:tcPr>
            <w:tcW w:w="39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39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1,338,040</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(1,344,019)</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187</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(5,792)</w:t>
            </w:r>
          </w:p>
        </w:tc>
        <w:tc>
          <w:tcPr>
            <w:tcW w:w="20" w:type="dxa"/>
            <w:vAlign w:val="bottom"/>
          </w:tcPr>
          <w:p>
            <w:pPr>
              <w:spacing w:after="0"/>
              <w:rPr>
                <w:sz w:val="19"/>
                <w:szCs w:val="19"/>
                <w:color w:val="auto"/>
              </w:rPr>
            </w:pPr>
          </w:p>
        </w:tc>
      </w:tr>
      <w:tr>
        <w:trPr>
          <w:trHeight w:val="170"/>
        </w:trPr>
        <w:tc>
          <w:tcPr>
            <w:tcW w:w="39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23,167</w:t>
            </w:r>
          </w:p>
        </w:tc>
        <w:tc>
          <w:tcPr>
            <w:tcW w:w="20" w:type="dxa"/>
            <w:vAlign w:val="bottom"/>
          </w:tcPr>
          <w:p>
            <w:pPr>
              <w:spacing w:after="0"/>
              <w:rPr>
                <w:sz w:val="16"/>
                <w:szCs w:val="16"/>
                <w:color w:val="auto"/>
              </w:rPr>
            </w:pPr>
          </w:p>
        </w:tc>
      </w:tr>
      <w:tr>
        <w:trPr>
          <w:trHeight w:val="189"/>
        </w:trPr>
        <w:tc>
          <w:tcPr>
            <w:tcW w:w="3920" w:type="dxa"/>
            <w:vAlign w:val="bottom"/>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(335,196)</w:t>
            </w:r>
          </w:p>
        </w:tc>
        <w:tc>
          <w:tcPr>
            <w:tcW w:w="20" w:type="dxa"/>
            <w:vAlign w:val="bottom"/>
          </w:tcPr>
          <w:p>
            <w:pPr>
              <w:spacing w:after="0"/>
              <w:rPr>
                <w:sz w:val="16"/>
                <w:szCs w:val="16"/>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62,865</w:t>
            </w:r>
          </w:p>
        </w:tc>
        <w:tc>
          <w:tcPr>
            <w:tcW w:w="20" w:type="dxa"/>
            <w:vAlign w:val="bottom"/>
          </w:tcPr>
          <w:p>
            <w:pPr>
              <w:spacing w:after="0"/>
              <w:rPr>
                <w:sz w:val="16"/>
                <w:szCs w:val="16"/>
                <w:color w:val="auto"/>
              </w:rPr>
            </w:pPr>
          </w:p>
        </w:tc>
      </w:tr>
      <w:tr>
        <w:trPr>
          <w:trHeight w:val="183"/>
        </w:trPr>
        <w:tc>
          <w:tcPr>
            <w:tcW w:w="3920" w:type="dxa"/>
            <w:vAlign w:val="bottom"/>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(254,956)</w:t>
            </w:r>
          </w:p>
        </w:tc>
        <w:tc>
          <w:tcPr>
            <w:tcW w:w="20" w:type="dxa"/>
            <w:vAlign w:val="bottom"/>
            <w:tcBorders>
              <w:bottom w:val="single" w:sz="8" w:color="auto"/>
            </w:tcBorders>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59" w:hanging="7"/>
        <w:spacing w:after="0" w:line="255" w:lineRule="auto"/>
        <w:rPr>
          <w:sz w:val="20"/>
          <w:szCs w:val="20"/>
          <w:color w:val="auto"/>
        </w:rPr>
      </w:pPr>
      <w:r>
        <w:rPr>
          <w:rFonts w:ascii="Arial" w:cs="Arial" w:eastAsia="Arial" w:hAnsi="Arial"/>
          <w:sz w:val="18"/>
          <w:szCs w:val="18"/>
          <w:color w:val="auto"/>
        </w:rPr>
        <w:t>The purchases of property and equipment, net of refunds, (including capitalized interest related to regulatory authorizations) by segment were as follows:</w:t>
      </w:r>
    </w:p>
    <w:tbl>
      <w:tblPr>
        <w:tblLayout w:type="fixed"/>
        <w:tblInd w:w="40" w:type="dxa"/>
        <w:tblCellMar>
          <w:top w:w="0" w:type="dxa"/>
          <w:left w:w="0" w:type="dxa"/>
          <w:bottom w:w="0" w:type="dxa"/>
          <w:right w:w="0" w:type="dxa"/>
        </w:tblCellMar>
      </w:tblPr>
      <w:tr>
        <w:trPr>
          <w:trHeight w:val="160"/>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Pay-TV</w:t>
            </w:r>
          </w:p>
        </w:tc>
        <w:tc>
          <w:tcPr>
            <w:tcW w:w="140" w:type="dxa"/>
            <w:vAlign w:val="bottom"/>
          </w:tcPr>
          <w:p>
            <w:pPr>
              <w:spacing w:after="0"/>
              <w:rPr>
                <w:sz w:val="13"/>
                <w:szCs w:val="13"/>
                <w:color w:val="auto"/>
              </w:rPr>
            </w:pPr>
          </w:p>
        </w:tc>
        <w:tc>
          <w:tcPr>
            <w:tcW w:w="10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Wireless</w:t>
            </w:r>
          </w:p>
        </w:tc>
        <w:tc>
          <w:tcPr>
            <w:tcW w:w="220" w:type="dxa"/>
            <w:vAlign w:val="bottom"/>
          </w:tcPr>
          <w:p>
            <w:pPr>
              <w:spacing w:after="0"/>
              <w:rPr>
                <w:sz w:val="13"/>
                <w:szCs w:val="13"/>
                <w:color w:val="auto"/>
              </w:rPr>
            </w:pPr>
          </w:p>
        </w:tc>
        <w:tc>
          <w:tcPr>
            <w:tcW w:w="840" w:type="dxa"/>
            <w:vAlign w:val="bottom"/>
          </w:tcPr>
          <w:p>
            <w:pPr>
              <w:jc w:val="right"/>
              <w:ind w:right="288"/>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Three Months Ended June 30, 2025</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4"/>
              </w:rPr>
              <w:t>(In thousands)</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4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6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Purchases of property and equipment, net of refunds (including capitalized interest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regulatory authorizations)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78,580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496,117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574,697</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 the Three Months Ended June 30, 2024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640" w:type="dxa"/>
            <w:vAlign w:val="bottom"/>
          </w:tcPr>
          <w:p>
            <w:pPr>
              <w:ind w:left="20"/>
              <w:spacing w:after="0" w:line="147" w:lineRule="exact"/>
              <w:rPr>
                <w:sz w:val="20"/>
                <w:szCs w:val="20"/>
                <w:color w:val="auto"/>
              </w:rPr>
            </w:pPr>
            <w:r>
              <w:rPr>
                <w:rFonts w:ascii="Arial" w:cs="Arial" w:eastAsia="Arial" w:hAnsi="Arial"/>
                <w:sz w:val="14"/>
                <w:szCs w:val="14"/>
                <w:color w:val="auto"/>
              </w:rPr>
              <w:t>Purchases of property and equipment, net of refunds (including capitalized interest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Arial" w:cs="Arial" w:eastAsia="Arial" w:hAnsi="Arial"/>
                <w:sz w:val="14"/>
                <w:szCs w:val="14"/>
                <w:color w:val="auto"/>
              </w:rPr>
              <w:t>related to regulatory authorizations)</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37,877</w:t>
            </w: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544,420</w:t>
            </w:r>
          </w:p>
        </w:tc>
        <w:tc>
          <w:tcPr>
            <w:tcW w:w="1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582,297</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Pay-TV</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Wireless</w:t>
            </w:r>
          </w:p>
        </w:tc>
        <w:tc>
          <w:tcPr>
            <w:tcW w:w="2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Six Months Ended June 30, 2025</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4"/>
              </w:rPr>
              <w:t>(In thousands)</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4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6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Purchases of property and equipment, net of refunds (including capitalized interest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regulatory authorizations)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140,968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786,335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927,303</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 the Six Months Ended June 30, 2024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640" w:type="dxa"/>
            <w:vAlign w:val="bottom"/>
          </w:tcPr>
          <w:p>
            <w:pPr>
              <w:ind w:left="20"/>
              <w:spacing w:after="0" w:line="147" w:lineRule="exact"/>
              <w:rPr>
                <w:sz w:val="20"/>
                <w:szCs w:val="20"/>
                <w:color w:val="auto"/>
              </w:rPr>
            </w:pPr>
            <w:r>
              <w:rPr>
                <w:rFonts w:ascii="Arial" w:cs="Arial" w:eastAsia="Arial" w:hAnsi="Arial"/>
                <w:sz w:val="14"/>
                <w:szCs w:val="14"/>
                <w:color w:val="auto"/>
              </w:rPr>
              <w:t>Purchases of property and equipment, net of refunds (including capitalized interest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Arial" w:cs="Arial" w:eastAsia="Arial" w:hAnsi="Arial"/>
                <w:sz w:val="14"/>
                <w:szCs w:val="14"/>
                <w:color w:val="auto"/>
              </w:rPr>
              <w:t>related to regulatory authorizations)</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65,754</w:t>
            </w: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1,025,422</w:t>
            </w:r>
          </w:p>
        </w:tc>
        <w:tc>
          <w:tcPr>
            <w:tcW w:w="1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1,091,176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rPr>
              <w:t>For the Three Months Ended</w:t>
            </w:r>
          </w:p>
        </w:tc>
        <w:tc>
          <w:tcPr>
            <w:tcW w:w="220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w:t>
            </w:r>
          </w:p>
        </w:tc>
        <w:tc>
          <w:tcPr>
            <w:tcW w:w="180" w:type="dxa"/>
            <w:vAlign w:val="bottom"/>
            <w:vMerge w:val="restart"/>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4"/>
          </w:tcPr>
          <w:p>
            <w:pPr>
              <w:jc w:val="right"/>
              <w:ind w:right="499"/>
              <w:spacing w:after="0" w:line="183"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2,446,844</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4,971,196</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5,359,560</w:t>
            </w:r>
          </w:p>
        </w:tc>
        <w:tc>
          <w:tcPr>
            <w:tcW w:w="0" w:type="dxa"/>
            <w:vAlign w:val="bottom"/>
          </w:tcPr>
          <w:p>
            <w:pPr>
              <w:spacing w:after="0"/>
              <w:rPr>
                <w:sz w:val="1"/>
                <w:szCs w:val="1"/>
                <w:color w:val="auto"/>
              </w:rPr>
            </w:pPr>
          </w:p>
        </w:tc>
      </w:tr>
      <w:tr>
        <w:trPr>
          <w:trHeight w:val="189"/>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Wireless services and related revenue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823,722</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785,135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1,633,329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1,589,401</w:t>
            </w:r>
          </w:p>
        </w:tc>
        <w:tc>
          <w:tcPr>
            <w:tcW w:w="0" w:type="dxa"/>
            <w:vAlign w:val="bottom"/>
          </w:tcPr>
          <w:p>
            <w:pPr>
              <w:spacing w:after="0"/>
              <w:rPr>
                <w:sz w:val="1"/>
                <w:szCs w:val="1"/>
                <w:color w:val="auto"/>
              </w:rPr>
            </w:pPr>
          </w:p>
        </w:tc>
      </w:tr>
      <w:tr>
        <w:trPr>
          <w:trHeight w:val="18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15,405</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29,780</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43,302</w:t>
            </w:r>
          </w:p>
        </w:tc>
        <w:tc>
          <w:tcPr>
            <w:tcW w:w="0" w:type="dxa"/>
            <w:vAlign w:val="bottom"/>
          </w:tcPr>
          <w:p>
            <w:pPr>
              <w:spacing w:after="0"/>
              <w:rPr>
                <w:sz w:val="1"/>
                <w:szCs w:val="1"/>
                <w:color w:val="auto"/>
              </w:rPr>
            </w:pPr>
          </w:p>
        </w:tc>
      </w:tr>
      <w:tr>
        <w:trPr>
          <w:trHeight w:val="189"/>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Wireless equipment sales and other revenue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110,830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106,971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273,771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216,135</w:t>
            </w:r>
          </w:p>
        </w:tc>
        <w:tc>
          <w:tcPr>
            <w:tcW w:w="0" w:type="dxa"/>
            <w:vAlign w:val="bottom"/>
          </w:tcPr>
          <w:p>
            <w:pPr>
              <w:spacing w:after="0"/>
              <w:rPr>
                <w:sz w:val="1"/>
                <w:szCs w:val="1"/>
                <w:color w:val="auto"/>
              </w:rPr>
            </w:pPr>
          </w:p>
        </w:tc>
      </w:tr>
      <w:tr>
        <w:trPr>
          <w:trHeight w:val="18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(1,259)</w:t>
            </w: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(2,174)</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83"/>
        </w:trPr>
        <w:tc>
          <w:tcPr>
            <w:tcW w:w="43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3,395,542</w:t>
            </w: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3,568,270</w:t>
            </w: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6,905,902</w:t>
            </w:r>
          </w:p>
        </w:tc>
        <w:tc>
          <w:tcPr>
            <w:tcW w:w="1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7,208,159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11.</w:t>
            </w: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Revenue Recognition</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405"/>
        </w:trPr>
        <w:tc>
          <w:tcPr>
            <w:tcW w:w="4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Contract Balances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Our allowance for credit losses were as follows: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7"/>
        </w:trPr>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Pay-TV</w:t>
            </w:r>
          </w:p>
        </w:tc>
        <w:tc>
          <w:tcPr>
            <w:tcW w:w="160" w:type="dxa"/>
            <w:vAlign w:val="bottom"/>
          </w:tcPr>
          <w:p>
            <w:pPr>
              <w:spacing w:after="0"/>
              <w:rPr>
                <w:sz w:val="24"/>
                <w:szCs w:val="2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Wireless</w:t>
            </w:r>
          </w:p>
        </w:tc>
        <w:tc>
          <w:tcPr>
            <w:tcW w:w="220" w:type="dxa"/>
            <w:vAlign w:val="bottom"/>
          </w:tcPr>
          <w:p>
            <w:pPr>
              <w:spacing w:after="0"/>
              <w:rPr>
                <w:sz w:val="24"/>
                <w:szCs w:val="24"/>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169"/>
        </w:trPr>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8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2024</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42,575</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28,739</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71,314</w:t>
            </w:r>
          </w:p>
        </w:tc>
      </w:tr>
      <w:tr>
        <w:trPr>
          <w:trHeight w:val="20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Current period provision for expected credit losses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37,059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13,851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50,910</w:t>
            </w: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(18,316)</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(17,771)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(36,087)</w:t>
            </w:r>
          </w:p>
        </w:tc>
      </w:tr>
      <w:tr>
        <w:trPr>
          <w:trHeight w:val="183"/>
        </w:trPr>
        <w:tc>
          <w:tcPr>
            <w:tcW w:w="49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June 30, 2025</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61,318</w:t>
            </w:r>
          </w:p>
        </w:tc>
        <w:tc>
          <w:tcPr>
            <w:tcW w:w="2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24,819</w:t>
            </w:r>
          </w:p>
        </w:tc>
        <w:tc>
          <w:tcPr>
            <w:tcW w:w="3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86,137</w:t>
            </w:r>
          </w:p>
        </w:tc>
      </w:tr>
      <w:tr>
        <w:trPr>
          <w:trHeight w:val="20"/>
        </w:trPr>
        <w:tc>
          <w:tcPr>
            <w:tcW w:w="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Pay-TV</w:t>
            </w:r>
          </w:p>
        </w:tc>
        <w:tc>
          <w:tcPr>
            <w:tcW w:w="160" w:type="dxa"/>
            <w:vAlign w:val="bottom"/>
          </w:tcPr>
          <w:p>
            <w:pPr>
              <w:spacing w:after="0"/>
              <w:rPr>
                <w:sz w:val="24"/>
                <w:szCs w:val="2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Wireless</w:t>
            </w:r>
          </w:p>
        </w:tc>
        <w:tc>
          <w:tcPr>
            <w:tcW w:w="220" w:type="dxa"/>
            <w:vAlign w:val="bottom"/>
          </w:tcPr>
          <w:p>
            <w:pPr>
              <w:spacing w:after="0"/>
              <w:rPr>
                <w:sz w:val="24"/>
                <w:szCs w:val="24"/>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169"/>
        </w:trPr>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8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2023</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18,671</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53,991</w:t>
            </w:r>
          </w:p>
        </w:tc>
      </w:tr>
      <w:tr>
        <w:trPr>
          <w:trHeight w:val="20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Current period provision for expected credit losses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29,780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28,888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58,668</w:t>
            </w: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(22,713)</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(6,411)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(29,124)</w:t>
            </w:r>
          </w:p>
        </w:tc>
      </w:tr>
      <w:tr>
        <w:trPr>
          <w:trHeight w:val="183"/>
        </w:trPr>
        <w:tc>
          <w:tcPr>
            <w:tcW w:w="49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June 30, 2024</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42,387</w:t>
            </w:r>
          </w:p>
        </w:tc>
        <w:tc>
          <w:tcPr>
            <w:tcW w:w="2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41,148</w:t>
            </w:r>
          </w:p>
        </w:tc>
        <w:tc>
          <w:tcPr>
            <w:tcW w:w="3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83,535</w:t>
            </w:r>
          </w:p>
        </w:tc>
      </w:tr>
      <w:tr>
        <w:trPr>
          <w:trHeight w:val="20"/>
        </w:trPr>
        <w:tc>
          <w:tcPr>
            <w:tcW w:w="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6"/>
                <w:szCs w:val="16"/>
                <w:b w:val="1"/>
                <w:bCs w:val="1"/>
                <w:color w:val="auto"/>
                <w:w w:val="99"/>
              </w:rPr>
              <w:t>As of</w:t>
            </w:r>
          </w:p>
        </w:tc>
        <w:tc>
          <w:tcPr>
            <w:tcW w:w="1560" w:type="dxa"/>
            <w:vAlign w:val="bottom"/>
            <w:tcBorders>
              <w:bottom w:val="single" w:sz="8" w:color="auto"/>
            </w:tcBorders>
          </w:tcPr>
          <w:p>
            <w:pPr>
              <w:spacing w:after="0"/>
              <w:rPr>
                <w:sz w:val="18"/>
                <w:szCs w:val="18"/>
                <w:color w:val="auto"/>
              </w:rPr>
            </w:pPr>
          </w:p>
        </w:tc>
      </w:tr>
      <w:tr>
        <w:trPr>
          <w:trHeight w:val="175"/>
        </w:trPr>
        <w:tc>
          <w:tcPr>
            <w:tcW w:w="4700" w:type="dxa"/>
            <w:vAlign w:val="bottom"/>
          </w:tcPr>
          <w:p>
            <w:pPr>
              <w:spacing w:after="0"/>
              <w:rPr>
                <w:sz w:val="15"/>
                <w:szCs w:val="15"/>
                <w:color w:val="auto"/>
              </w:rPr>
            </w:pPr>
          </w:p>
        </w:tc>
        <w:tc>
          <w:tcPr>
            <w:tcW w:w="1380" w:type="dxa"/>
            <w:vAlign w:val="bottom"/>
          </w:tcPr>
          <w:p>
            <w:pPr>
              <w:jc w:val="center"/>
              <w:ind w:left="581"/>
              <w:spacing w:after="0" w:line="175" w:lineRule="exact"/>
              <w:rPr>
                <w:sz w:val="20"/>
                <w:szCs w:val="20"/>
                <w:color w:val="auto"/>
              </w:rPr>
            </w:pPr>
            <w:r>
              <w:rPr>
                <w:rFonts w:ascii="Arial" w:cs="Arial" w:eastAsia="Arial" w:hAnsi="Arial"/>
                <w:sz w:val="16"/>
                <w:szCs w:val="16"/>
                <w:b w:val="1"/>
                <w:bCs w:val="1"/>
                <w:color w:val="auto"/>
                <w:w w:val="99"/>
              </w:rPr>
              <w:t>June 30,</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jc w:val="center"/>
              <w:ind w:right="41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4700" w:type="dxa"/>
            <w:vAlign w:val="bottom"/>
          </w:tcPr>
          <w:p>
            <w:pPr>
              <w:spacing w:after="0"/>
              <w:rPr>
                <w:sz w:val="17"/>
                <w:szCs w:val="17"/>
                <w:color w:val="auto"/>
              </w:rPr>
            </w:pPr>
          </w:p>
        </w:tc>
        <w:tc>
          <w:tcPr>
            <w:tcW w:w="13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r>
      <w:tr>
        <w:trPr>
          <w:trHeight w:val="169"/>
        </w:trPr>
        <w:tc>
          <w:tcPr>
            <w:tcW w:w="4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3"/>
          </w:tcPr>
          <w:p>
            <w:pPr>
              <w:jc w:val="center"/>
              <w:ind w:left="99"/>
              <w:spacing w:after="0" w:line="169" w:lineRule="exact"/>
              <w:rPr>
                <w:sz w:val="20"/>
                <w:szCs w:val="20"/>
                <w:color w:val="auto"/>
              </w:rPr>
            </w:pPr>
            <w:r>
              <w:rPr>
                <w:rFonts w:ascii="Arial" w:cs="Arial" w:eastAsia="Arial" w:hAnsi="Arial"/>
                <w:sz w:val="16"/>
                <w:szCs w:val="16"/>
                <w:color w:val="auto"/>
              </w:rPr>
              <w:t>(In thousands)</w:t>
            </w:r>
          </w:p>
        </w:tc>
        <w:tc>
          <w:tcPr>
            <w:tcW w:w="1560" w:type="dxa"/>
            <w:vAlign w:val="bottom"/>
          </w:tcPr>
          <w:p>
            <w:pPr>
              <w:spacing w:after="0"/>
              <w:rPr>
                <w:sz w:val="14"/>
                <w:szCs w:val="14"/>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1380" w:type="dxa"/>
            <w:vAlign w:val="bottom"/>
            <w:shd w:val="clear" w:color="auto" w:fill="CCEEFF"/>
          </w:tcPr>
          <w:p>
            <w:pPr>
              <w:jc w:val="right"/>
              <w:ind w:right="122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540,598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566,118</w:t>
            </w: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2025 was $542 million.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and Wireless Segments</w:t>
      </w:r>
    </w:p>
    <w:p>
      <w:pPr>
        <w:spacing w:after="0" w:line="19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260" w:type="dxa"/>
            <w:vAlign w:val="bottom"/>
          </w:tcPr>
          <w:p>
            <w:pPr>
              <w:spacing w:after="0"/>
              <w:rPr>
                <w:sz w:val="16"/>
                <w:szCs w:val="16"/>
                <w:color w:val="auto"/>
              </w:rPr>
            </w:pPr>
          </w:p>
        </w:tc>
        <w:tc>
          <w:tcPr>
            <w:tcW w:w="26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189"/>
        </w:trPr>
        <w:tc>
          <w:tcPr>
            <w:tcW w:w="3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169"/>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4"/>
          </w:tcPr>
          <w:p>
            <w:pPr>
              <w:jc w:val="right"/>
              <w:ind w:right="899"/>
              <w:spacing w:after="0" w:line="169"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beginning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224,877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258,097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230,922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287,276</w:t>
            </w:r>
          </w:p>
        </w:tc>
      </w:tr>
      <w:tr>
        <w:trPr>
          <w:trHeight w:val="189"/>
        </w:trPr>
        <w:tc>
          <w:tcPr>
            <w:tcW w:w="30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60,238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57,201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108,471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109,476</w:t>
            </w:r>
          </w:p>
        </w:tc>
      </w:tr>
      <w:tr>
        <w:trPr>
          <w:trHeight w:val="18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(56,905)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(72,425)</w:t>
            </w: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(111,183)</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(153,879)</w:t>
            </w:r>
          </w:p>
        </w:tc>
      </w:tr>
      <w:tr>
        <w:trPr>
          <w:trHeight w:val="182"/>
        </w:trPr>
        <w:tc>
          <w:tcPr>
            <w:tcW w:w="30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end of period</w:t>
            </w: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228,210</w:t>
            </w:r>
          </w:p>
        </w:tc>
        <w:tc>
          <w:tcPr>
            <w:tcW w:w="2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242,873</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228,210</w:t>
            </w:r>
          </w:p>
        </w:tc>
        <w:tc>
          <w:tcPr>
            <w:tcW w:w="2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242,873</w:t>
            </w:r>
          </w:p>
        </w:tc>
      </w:tr>
      <w:tr>
        <w:trPr>
          <w:trHeight w:val="20"/>
        </w:trPr>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700" w:hanging="650"/>
        <w:spacing w:after="0"/>
        <w:tabs>
          <w:tab w:leader="none" w:pos="7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EchoStar, our Parent, and its subsidiaries.</w:t>
      </w:r>
    </w:p>
    <w:p>
      <w:pPr>
        <w:spacing w:after="0" w:line="198"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On January 1, 2008, DISH Network completed the distribution of its technology and set-top box business and certain infrastructure assets (the “Spin-off”) into a separate publicly-traded company, EchoStar. Following the Spin-off, DISH Network and EchoStar operated as separate publicly-traded companies until December 31, 2023, when EchoStar completed the acquisition of DISH Network.</w:t>
      </w:r>
    </w:p>
    <w:p>
      <w:pPr>
        <w:spacing w:after="0" w:line="160" w:lineRule="exact"/>
        <w:rPr>
          <w:sz w:val="20"/>
          <w:szCs w:val="20"/>
          <w:color w:val="auto"/>
        </w:rPr>
      </w:pPr>
    </w:p>
    <w:p>
      <w:pPr>
        <w:ind w:left="60" w:right="1039"/>
        <w:spacing w:after="0" w:line="271" w:lineRule="auto"/>
        <w:rPr>
          <w:sz w:val="20"/>
          <w:szCs w:val="20"/>
          <w:color w:val="auto"/>
        </w:rPr>
      </w:pPr>
      <w:r>
        <w:rPr>
          <w:rFonts w:ascii="Arial" w:cs="Arial" w:eastAsia="Arial" w:hAnsi="Arial"/>
          <w:sz w:val="18"/>
          <w:szCs w:val="18"/>
          <w:color w:val="auto"/>
        </w:rPr>
        <w:t>The following is a summary of the terms of our principal agreements with EchoStar, our parent, and its subsidiaries, that may have an impact on our financial condition and results of operations.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 and Transfer of Assets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Transactions</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i w:val="1"/>
          <w:iCs w:val="1"/>
          <w:color w:val="auto"/>
        </w:rPr>
        <w:t xml:space="preserve">Wireless Spectrum License Exchange. </w:t>
      </w:r>
      <w:r>
        <w:rPr>
          <w:rFonts w:ascii="Arial" w:cs="Arial" w:eastAsia="Arial" w:hAnsi="Arial"/>
          <w:sz w:val="18"/>
          <w:szCs w:val="18"/>
          <w:color w:val="auto"/>
        </w:rPr>
        <w:t>On March 21, 2025, we exchanged interests in our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which hold certain 3.45-3.55 GHz Licenses with our parent, EchoStar, for interests in their wholly-owned subsidiaries that hold the 700 MHz, LMDS, C-Band – Cheyenne (3.7-3.98 GHz), 24 GHz, 28 GHz, 37GHz, 39GHz and 47GHz Licenses.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2024 Transactions</w:t>
      </w:r>
    </w:p>
    <w:p>
      <w:pPr>
        <w:spacing w:after="0" w:line="196"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i w:val="1"/>
          <w:iCs w:val="1"/>
          <w:color w:val="auto"/>
        </w:rPr>
        <w:t xml:space="preserve">Sale of Assets to EchoStar. </w:t>
      </w:r>
      <w:r>
        <w:rPr>
          <w:rFonts w:ascii="Arial" w:cs="Arial" w:eastAsia="Arial" w:hAnsi="Arial"/>
          <w:sz w:val="18"/>
          <w:szCs w:val="18"/>
          <w:color w:val="auto"/>
        </w:rPr>
        <w:t>On January 10, 2024, we sold certain assets and equity interests to EchoStar,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the sale of a financial asset (the “Sale of Assets to EchoStar”).</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i w:val="1"/>
          <w:iCs w:val="1"/>
          <w:color w:val="222222"/>
        </w:rPr>
        <w:t xml:space="preserve">Asset Transfer to EchoStar. </w:t>
      </w:r>
      <w:r>
        <w:rPr>
          <w:rFonts w:ascii="Arial" w:cs="Arial" w:eastAsia="Arial" w:hAnsi="Arial"/>
          <w:sz w:val="18"/>
          <w:szCs w:val="18"/>
          <w:color w:val="000000"/>
        </w:rPr>
        <w:t>On January 10, 2024, we transferred our wholly-owned subsidiaries that hold certain</w:t>
      </w:r>
      <w:r>
        <w:rPr>
          <w:rFonts w:ascii="Arial" w:cs="Arial" w:eastAsia="Arial" w:hAnsi="Arial"/>
          <w:sz w:val="18"/>
          <w:szCs w:val="18"/>
          <w:i w:val="1"/>
          <w:iCs w:val="1"/>
          <w:color w:val="222222"/>
        </w:rPr>
        <w:t xml:space="preserve"> </w:t>
      </w:r>
      <w:r>
        <w:rPr>
          <w:rFonts w:ascii="Arial" w:cs="Arial" w:eastAsia="Arial" w:hAnsi="Arial"/>
          <w:sz w:val="18"/>
          <w:szCs w:val="18"/>
          <w:color w:val="000000"/>
        </w:rPr>
        <w:t>assets, including the EchoStar XXV satellite currently under construction, and our wireless spectrum licenses, including AWS-4, H-Block, CBRS (3550-3650 MHz), C-Band – Cheyenne (3.7-3.98 GHz), 12GHz (MVDDS), LMDS, 24 GHz, 28 GHz, 37GHz, 39GHz and 47GHz to EchoStar Wireless Holding L.L.C., a direct wholly-owned subsidiary of our parent, EchoStar (together with the “DISH 2021 Intercompany Loan 2026 Tranche” as defined in Note 8, the “Asset Transfer to EchoStar”).</w:t>
      </w:r>
    </w:p>
    <w:p>
      <w:pPr>
        <w:spacing w:after="0" w:line="16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i w:val="1"/>
          <w:iCs w:val="1"/>
          <w:color w:val="auto"/>
        </w:rPr>
        <w:t xml:space="preserve">700 MHz Spectrum Sale to EchoStar. </w:t>
      </w:r>
      <w:r>
        <w:rPr>
          <w:rFonts w:ascii="Arial" w:cs="Arial" w:eastAsia="Arial" w:hAnsi="Arial"/>
          <w:sz w:val="18"/>
          <w:szCs w:val="18"/>
          <w:color w:val="auto"/>
        </w:rPr>
        <w:t>On March 12, 2024, we sold our wholly-owned subsidiary which holds the</w:t>
      </w:r>
      <w:r>
        <w:rPr>
          <w:rFonts w:ascii="Arial" w:cs="Arial" w:eastAsia="Arial" w:hAnsi="Arial"/>
          <w:sz w:val="18"/>
          <w:szCs w:val="18"/>
          <w:i w:val="1"/>
          <w:iCs w:val="1"/>
          <w:color w:val="auto"/>
        </w:rPr>
        <w:t xml:space="preserve"> </w:t>
      </w:r>
      <w:r>
        <w:rPr>
          <w:rFonts w:ascii="Arial" w:cs="Arial" w:eastAsia="Arial" w:hAnsi="Arial"/>
          <w:sz w:val="18"/>
          <w:szCs w:val="18"/>
          <w:color w:val="auto"/>
        </w:rPr>
        <w:t>700 MHz spectrum to a wholly-owned subsidiary of our parent, EchoStar (the “700 MHz Spectrum Sale to EchoStar”).</w:t>
      </w:r>
    </w:p>
    <w:p>
      <w:pPr>
        <w:spacing w:after="0" w:line="15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 xml:space="preserve">The Sale of Assets to EchoStar, </w:t>
      </w:r>
      <w:r>
        <w:rPr>
          <w:rFonts w:ascii="Arial" w:cs="Arial" w:eastAsia="Arial" w:hAnsi="Arial"/>
          <w:sz w:val="18"/>
          <w:szCs w:val="18"/>
          <w:color w:val="222222"/>
        </w:rPr>
        <w:t>Asset Transfer to EchoStar and</w:t>
      </w:r>
      <w:r>
        <w:rPr>
          <w:rFonts w:ascii="Arial" w:cs="Arial" w:eastAsia="Arial" w:hAnsi="Arial"/>
          <w:sz w:val="18"/>
          <w:szCs w:val="18"/>
          <w:color w:val="auto"/>
        </w:rPr>
        <w:t xml:space="preserve"> 700 MHz Spectrum Sale to EchoStar together are referred to as (the “Sale and Transfer of Assets to EchoStar”).</w:t>
      </w:r>
    </w:p>
    <w:p>
      <w:pPr>
        <w:spacing w:after="0" w:line="140"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i w:val="1"/>
          <w:iCs w:val="1"/>
          <w:color w:val="auto"/>
        </w:rPr>
        <w:t xml:space="preserve">Orbital II Transfer from EchoStar. </w:t>
      </w:r>
      <w:r>
        <w:rPr>
          <w:rFonts w:ascii="Arial" w:cs="Arial" w:eastAsia="Arial" w:hAnsi="Arial"/>
          <w:sz w:val="18"/>
          <w:szCs w:val="18"/>
          <w:color w:val="auto"/>
        </w:rPr>
        <w:t>On May 2, 2024, EchoStar transferred certain assets to us,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satellite currently under construction.</w:t>
      </w:r>
    </w:p>
    <w:p>
      <w:pPr>
        <w:spacing w:after="0" w:line="140"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2024.</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19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As of June 30, 2025 and December 31, 2024, trade accounts payable to EchoStar was $8 million and $53 million, respectively. These amounts are recorded in “Trade accounts payable” on our Condensed Consolidated Balance Sheets.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three months ended June 30, 2025 and 2024, we received $1 million and $1 million, respectively, for services provided to EchoStar. During the six months ended June 30, 2025 and 2024, we received $3 million and $2 million, respectively, for services provided to EchoStar. These amounts are recorded in “Service revenue” on our Condensed Consolidated Statements of Operations and Comprehensive Income (Loss). The primary agreements pertaining to these revenues are discussed below.</w:t>
      </w:r>
    </w:p>
    <w:p>
      <w:pPr>
        <w:spacing w:after="0" w:line="163"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i w:val="1"/>
          <w:iCs w:val="1"/>
          <w:color w:val="auto"/>
        </w:rPr>
        <w:t>TT&amp;C Agreement – Master Transaction Agreement</w:t>
      </w:r>
      <w:r>
        <w:rPr>
          <w:rFonts w:ascii="Arial" w:cs="Arial" w:eastAsia="Arial" w:hAnsi="Arial"/>
          <w:sz w:val="17"/>
          <w:szCs w:val="17"/>
          <w:color w:val="auto"/>
        </w:rPr>
        <w:t>. In September 2019, we entered into an agreement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which we provide TT&amp;C services to EchoStar for an initial term that ended in September 2021, (the “MTA TT&amp;C Agreement”). In September 2021, we amended the MTA TT&amp;C Agreement to extend the term until September 2022 and added the option for EchoStar to renew for three one-year renewal terms ending in September 2025. Either party is able to terminate the MTA TT&amp;C Agreement for any reason upon 12 months’ notice.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196"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During each of the three months ended June 30, 2025 and 2024, we received $1 million for services provided to EchoStar. During the six months ended June 30, 2025 and 2024, we received $2 million and $1 million, respectively, for services provided to EchoStar. These amounts are recorded in “Equipment sales and other revenue” on our Condensed Consolidated Statements of Operations and Comprehensive Income (Loss). The primary agreements pertaining to these revenues are discussed below.</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have entered into lease agreements pursuant to which we lease certain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to EchoStar. The term of each lease is set forth below:</w:t>
      </w:r>
    </w:p>
    <w:p>
      <w:pPr>
        <w:spacing w:after="0" w:line="140" w:lineRule="exact"/>
        <w:rPr>
          <w:sz w:val="20"/>
          <w:szCs w:val="20"/>
          <w:color w:val="auto"/>
        </w:rPr>
      </w:pPr>
    </w:p>
    <w:p>
      <w:pPr>
        <w:ind w:left="720" w:right="419" w:hanging="319"/>
        <w:spacing w:after="0" w:line="252"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El Paso Lease Agreement. </w:t>
      </w:r>
      <w:r>
        <w:rPr>
          <w:rFonts w:ascii="Arial" w:cs="Arial" w:eastAsia="Arial" w:hAnsi="Arial"/>
          <w:sz w:val="18"/>
          <w:szCs w:val="18"/>
          <w:color w:val="auto"/>
        </w:rPr>
        <w:t>Effective 2012, EchoStar leases certain space from us at 1285 Joe Battle</w:t>
      </w:r>
      <w:r>
        <w:rPr>
          <w:rFonts w:ascii="Arial" w:cs="Arial" w:eastAsia="Arial" w:hAnsi="Arial"/>
          <w:sz w:val="18"/>
          <w:szCs w:val="18"/>
          <w:i w:val="1"/>
          <w:iCs w:val="1"/>
          <w:color w:val="auto"/>
        </w:rPr>
        <w:t xml:space="preserve"> </w:t>
      </w:r>
      <w:r>
        <w:rPr>
          <w:rFonts w:ascii="Arial" w:cs="Arial" w:eastAsia="Arial" w:hAnsi="Arial"/>
          <w:sz w:val="18"/>
          <w:szCs w:val="18"/>
          <w:color w:val="auto"/>
        </w:rPr>
        <w:t>Blvd., El Paso, Texas for an initial term that ended in August 2015 and renewal options for four consecutive three-year terms ending in July 2027.</w:t>
      </w:r>
    </w:p>
    <w:p>
      <w:pPr>
        <w:spacing w:after="0" w:line="157" w:lineRule="exact"/>
        <w:rPr>
          <w:rFonts w:ascii="Times New Roman" w:cs="Times New Roman" w:eastAsia="Times New Roman" w:hAnsi="Times New Roman"/>
          <w:sz w:val="18"/>
          <w:szCs w:val="18"/>
          <w:color w:val="auto"/>
        </w:rPr>
      </w:pPr>
    </w:p>
    <w:p>
      <w:pPr>
        <w:ind w:left="720" w:right="239" w:hanging="319"/>
        <w:spacing w:after="0" w:line="252"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Effective March 2017, EchoStar leases certain space from us at 90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Circle East, Englewood, Colorado for an initial term that ended in February 2022 and renewal options for four consecutive three-year terms ending in February 2034.</w:t>
      </w:r>
    </w:p>
    <w:p>
      <w:pPr>
        <w:spacing w:after="0" w:line="157"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i w:val="1"/>
          <w:iCs w:val="1"/>
          <w:color w:val="auto"/>
        </w:rPr>
        <w:t xml:space="preserve">Whidbey Island 5G Network Test Bed Subcontract. </w:t>
      </w:r>
      <w:r>
        <w:rPr>
          <w:rFonts w:ascii="Arial" w:cs="Arial" w:eastAsia="Arial" w:hAnsi="Arial"/>
          <w:sz w:val="18"/>
          <w:szCs w:val="18"/>
          <w:color w:val="auto"/>
        </w:rPr>
        <w:t>Effective June 2022, we entered into certain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provide EchoStar access and use of a lab, technical support and integration, and testing support for the 5G network test bed. In addition, EchoStar leases certain wireless spectrum and receives construction and related services. EchoStar may terminate this agreement at any time by providing written notice to us.</w:t>
      </w:r>
    </w:p>
    <w:p>
      <w:pPr>
        <w:spacing w:after="0" w:line="16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i w:val="1"/>
          <w:iCs w:val="1"/>
          <w:color w:val="auto"/>
        </w:rPr>
        <w:t>Collocation and Antenna Space Agreements</w:t>
      </w:r>
      <w:r>
        <w:rPr>
          <w:rFonts w:ascii="Arial" w:cs="Arial" w:eastAsia="Arial" w:hAnsi="Arial"/>
          <w:sz w:val="18"/>
          <w:szCs w:val="18"/>
          <w:color w:val="auto"/>
        </w:rPr>
        <w:t>. We entered into certain agreements pursuant to which we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collocation and antenna space to EchoStar. EchoStar may terminate certain of these agreements with 180 days’ prior written notice to us and for certain other agreements with prior written notice no more than 120 days but no less than 90 days prior to the end of the then-current term. The term of each agreement is set forth below:</w:t>
      </w:r>
    </w:p>
    <w:p>
      <w:pPr>
        <w:spacing w:after="0" w:line="163" w:lineRule="exact"/>
        <w:rPr>
          <w:sz w:val="20"/>
          <w:szCs w:val="20"/>
          <w:color w:val="auto"/>
        </w:rPr>
      </w:pPr>
    </w:p>
    <w:p>
      <w:pPr>
        <w:ind w:left="720" w:right="479" w:hanging="319"/>
        <w:spacing w:after="0" w:line="241"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March 2017 for an initial term that ended in February 2022 and renewal options ending in February 2034 at the following locations: Cheyenne, Wyoming; Gilbert, Arizona; Monee, Illinois; Englewood, Colorado; and Spokane, Washington.</w:t>
      </w:r>
    </w:p>
    <w:p>
      <w:pPr>
        <w:spacing w:after="0" w:line="1" w:lineRule="exact"/>
        <w:rPr>
          <w:rFonts w:ascii="Times New Roman" w:cs="Times New Roman" w:eastAsia="Times New Roman" w:hAnsi="Times New Roman"/>
          <w:sz w:val="18"/>
          <w:szCs w:val="18"/>
          <w:color w:val="auto"/>
        </w:rPr>
      </w:pPr>
    </w:p>
    <w:p>
      <w:pPr>
        <w:jc w:val="both"/>
        <w:ind w:left="720" w:right="519" w:hanging="319"/>
        <w:spacing w:after="0" w:line="234"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August 2017 for an initial term that ended in August 2022 and renewal options ending in August 2034 at the following locations: Monee, Illinois and Spokane, Washington. In March 2024, EchoStar provided a termination notice for one of the Spokane, Washington agreements, effective April 2024.</w:t>
      </w:r>
    </w:p>
    <w:p>
      <w:pPr>
        <w:spacing w:after="0" w:line="1" w:lineRule="exact"/>
        <w:rPr>
          <w:rFonts w:ascii="Times New Roman" w:cs="Times New Roman" w:eastAsia="Times New Roman" w:hAnsi="Times New Roman"/>
          <w:sz w:val="18"/>
          <w:szCs w:val="18"/>
          <w:color w:val="auto"/>
        </w:rPr>
      </w:pPr>
    </w:p>
    <w:p>
      <w:pPr>
        <w:ind w:left="720" w:right="719" w:hanging="319"/>
        <w:spacing w:after="0" w:line="234"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January 2022 for an initial term ending December 2026 and renewal options ending in December 2038 at the following location: Englewood, Colorado.</w:t>
      </w:r>
    </w:p>
    <w:p>
      <w:pPr>
        <w:ind w:left="720" w:right="899" w:hanging="319"/>
        <w:spacing w:after="0" w:line="249"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October 2020 with renewal options ending in October 2037 at the following location: Cheyenne, Wyoming.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During each of the three months ended June 30, 2025 and 2024, we incurred $1 million of costs for services provided to us by EchoStar. During each of the six months ended June 30, 2025 and 2024, we incurred $2 million of costs for services provided to us by EchoStar. These amounts are recorded in “Cost of services” on our Condensed Consolidated Statements of Operations and Comprehensive Income (Loss). The primary agreements pertaining to these expenses are discussed below.</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i w:val="1"/>
          <w:iCs w:val="1"/>
          <w:color w:val="auto"/>
        </w:rPr>
        <w:t>Spectrum Manager Lease Agreement</w:t>
      </w:r>
      <w:r>
        <w:rPr>
          <w:rFonts w:ascii="Arial" w:cs="Arial" w:eastAsia="Arial" w:hAnsi="Arial"/>
          <w:sz w:val="18"/>
          <w:szCs w:val="18"/>
          <w:color w:val="auto"/>
        </w:rPr>
        <w:t xml:space="preserve">. Effective January 10, 2024, we and EchoStar, on behalf of certain wholly-owned subsidiaries, entered into the Spectrum Manager Lease Agreement pursuant to which we have the right to lease the wireless spectrum licenses AWS-4, H-Block, CBRS (3550-3650 MHz), C-Band– Cheyenne (3.7-3.98 GHz), 12GHz (MVDDS), LMDS, 24 GHz, 28 GHz, 37GHz, 39GHz and 47GHz, and 700 MHz for a nominal fee. As a result of the Wireless Spectrum License Exchange (as defined in Note 9), effective March 21, 2025, we amended the Spectrum Manager Lease Agreement pursuant to which we currently have the right to lease wireless spectrum licenses AWS-4, H-Block, 12GHz (MVDDS), CBRS (3550-3650 MHz) and 3.45-3.55 GHz for a nominal fee. Under the applicable accounting guidance in Accounting Standards Codification 842, </w:t>
      </w:r>
      <w:r>
        <w:rPr>
          <w:rFonts w:ascii="Arial" w:cs="Arial" w:eastAsia="Arial" w:hAnsi="Arial"/>
          <w:sz w:val="18"/>
          <w:szCs w:val="18"/>
          <w:i w:val="1"/>
          <w:iCs w:val="1"/>
          <w:color w:val="auto"/>
        </w:rPr>
        <w:t>Leases (“ASC 842”)</w:t>
      </w:r>
      <w:r>
        <w:rPr>
          <w:rFonts w:ascii="Arial" w:cs="Arial" w:eastAsia="Arial" w:hAnsi="Arial"/>
          <w:sz w:val="18"/>
          <w:szCs w:val="18"/>
          <w:color w:val="auto"/>
        </w:rPr>
        <w:t>, these wireless spectrum licenses are intangible assets, and therefore excluded from the scope of ASC 842 and are not reflected on our Condensed Consolidated Balance Sheets as right-of-use assets and lease liabilities. We have the right to use the wireless spectrum licenses for as long as EchoStar holds the licenses, subject to certain termination provisions.</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Hughes Broadband Distribution Agreement</w:t>
      </w:r>
      <w:r>
        <w:rPr>
          <w:rFonts w:ascii="Arial" w:cs="Arial" w:eastAsia="Arial" w:hAnsi="Arial"/>
          <w:sz w:val="18"/>
          <w:szCs w:val="18"/>
          <w:color w:val="auto"/>
        </w:rPr>
        <w:t>. Effective October 2012, we and EchoStar entered into a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“Distribution Agreement”) pursuant to which we have the right, but not the obligation, to market, sell and distribute the EchoStar satellite Internet service (the “Service”) and to purchase certain broadband equipment from EchoStar to support the sale of the Service for an extended initial term that ended March 1, 2024. Thereafter, the Distribution Agreement automatically renews for successive one year terms unless either party gives written notice of its intent not to renew to the other party at least 180 days before the expiration of the then-current term. Upon expiration or termination of the Distribution Agreement, the parties will continue to provide the Service pursuant to the terms and conditions of the Distribution Agreement.</w:t>
      </w:r>
    </w:p>
    <w:p>
      <w:pPr>
        <w:spacing w:after="0" w:line="167"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i w:val="1"/>
          <w:iCs w:val="1"/>
          <w:color w:val="auto"/>
        </w:rPr>
        <w:t xml:space="preserve">Hughes Equipment and Services Agreement. </w:t>
      </w:r>
      <w:r>
        <w:rPr>
          <w:rFonts w:ascii="Arial" w:cs="Arial" w:eastAsia="Arial" w:hAnsi="Arial"/>
          <w:sz w:val="18"/>
          <w:szCs w:val="18"/>
          <w:color w:val="auto"/>
        </w:rPr>
        <w:t>In February 2019, we and EchoStar entered into 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EchoStar will provide us with satellite Internet service and equipment for the transmission of certain data related to our 5G Network. This agreement had an initial term that ended February 2024 with automatic renewal for successive one-year terms unless terminated by us with at least 180 days’ written notice to EchoStar or by EchoStar with at least 365 days’ written notice to us.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During the three months ended June 30, 2025 and 2024, we incurred $11 million and $6 million, respectively, for selling, general and administrative expenses for services provided to us by EchoStar. During the six months ended June 30, 2025 and 2024, we incurred $16 million and $11 million, respectively, for selling, general and administrative expenses for services provided to us by EchoStar. These amounts are recorded in “Selling, general and administrative expenses” on our Condensed Consolidated Statements of Operations and Comprehensive Income (Loss). The primary agreements pertaining to these expenses are discussed below.</w:t>
      </w:r>
    </w:p>
    <w:p>
      <w:pPr>
        <w:spacing w:after="0" w:line="16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have entered into lease agreements pursuant to which we lease certain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from EchoStar. The term of each lease is set forth below:</w:t>
      </w:r>
    </w:p>
    <w:p>
      <w:pPr>
        <w:spacing w:after="0" w:line="140" w:lineRule="exact"/>
        <w:rPr>
          <w:sz w:val="20"/>
          <w:szCs w:val="20"/>
          <w:color w:val="auto"/>
        </w:rPr>
      </w:pPr>
    </w:p>
    <w:p>
      <w:pPr>
        <w:ind w:left="720" w:right="99" w:hanging="319"/>
        <w:spacing w:after="0" w:line="252"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We lease all of 9601 S. Meridian Blvd. in Englewood, Colorado. This lease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renews on a month-to-month basis unless either party gives written notice of its intent not to renew to the other party.</w:t>
      </w:r>
    </w:p>
    <w:p>
      <w:pPr>
        <w:spacing w:after="0" w:line="15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Effective March 2017, we leased certain space from EchoStar at 100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Terrace East, Englewood, Colorado. This lease terminated in August 2024.</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i w:val="1"/>
          <w:iCs w:val="1"/>
          <w:color w:val="auto"/>
        </w:rPr>
        <w:t xml:space="preserve">Professional Services Agreement. </w:t>
      </w:r>
      <w:r>
        <w:rPr>
          <w:rFonts w:ascii="Arial" w:cs="Arial" w:eastAsia="Arial" w:hAnsi="Arial"/>
          <w:sz w:val="18"/>
          <w:szCs w:val="18"/>
          <w:color w:val="auto"/>
        </w:rPr>
        <w:t>Effective January 2010, we and EchoStar entered into the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Agreement, pursuant to which EchoStar has the right, but not the obligation, to receive the following services from us, among others: information technology, travel and event coordination, internal audit, legal, accounting and tax, benefits administration, program acquisition services and other support services. Additionally, we and EchoStar agreed that we shall continue to have the right, but not the obligation, to engage EchoStar to manage the process of procuring new satellite capacity for us and receive logistics, procurement and quality assurance services from EchoStar and other support services. In February 2017 and in September 2019, we and EchoStar amended the Professional Services Agreement to, among other things, provide certain transition services to each other. The Professional Services Agreement renews automatically for successive one-year periods,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69" w:lineRule="exact"/>
        <w:rPr>
          <w:sz w:val="20"/>
          <w:szCs w:val="20"/>
          <w:color w:val="auto"/>
        </w:rPr>
      </w:pPr>
    </w:p>
    <w:p>
      <w:pPr>
        <w:jc w:val="both"/>
        <w:ind w:left="60" w:right="579"/>
        <w:spacing w:after="0" w:line="253" w:lineRule="auto"/>
        <w:rPr>
          <w:sz w:val="20"/>
          <w:szCs w:val="20"/>
          <w:color w:val="auto"/>
        </w:rPr>
      </w:pPr>
      <w:r>
        <w:rPr>
          <w:rFonts w:ascii="Arial" w:cs="Arial" w:eastAsia="Arial" w:hAnsi="Arial"/>
          <w:sz w:val="18"/>
          <w:szCs w:val="18"/>
          <w:color w:val="auto"/>
        </w:rPr>
        <w:t>Revenue for services provided by us to EchoStar under the Professional Services Agreement is recorded in “Service revenue” and “Equipment sales and other revenue” on our Condensed Consolidated Statements of Operations and Comprehensive Income (Loss).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i w:val="1"/>
          <w:iCs w:val="1"/>
          <w:color w:val="auto"/>
        </w:rPr>
        <w:t xml:space="preserve">Tax Sharing Agreement. </w:t>
      </w:r>
      <w:r>
        <w:rPr>
          <w:rFonts w:ascii="Arial" w:cs="Arial" w:eastAsia="Arial" w:hAnsi="Arial"/>
          <w:sz w:val="18"/>
          <w:szCs w:val="18"/>
          <w:color w:val="auto"/>
        </w:rPr>
        <w:t>We entered into a tax sharing agreement (the “Tax Sharing Agreement”) with EchoStar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us, and we will indemnify EchoStar for such taxes. However, we are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 (iii) 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us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light of the Tax Sharing Agreement, among other things, and in connection with our consolidated federal income tax returns for certain tax years prior to and for the year of the Spin-off, during 2013, we and EchoStar agreed upon a supplemental allocation of the tax benefits arising from certain tax items resolved in the course of the IRS’ examination of these consolidated tax returns. As a result, we agreed to pay EchoStar $82 million of the tax benefit we received or will receive. Any payment to EchoStar, including accrued interest, will be made at such time as EchoStar would have otherwise been able to realize such tax benefit. As of June 30, 2025, we have paid $13 million of the tax benefit received, leaving $69 million remaining to be paid.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During the third quarter of 2018, we and EchoStar amended the Tax Sharing Agreement and the 2013 agreements (the “Amendment”). Under the Amendment, among other things, we are entitled to apply the benefit of EchoStar’s 2009 net operating losses to our federal tax return for the year ended December 31, 2008, in exchange for paying EchoStar over time the value of the net annual federal income taxes paid by EchoStar that would have been otherwise offset by their 2009 net operating loss.</w:t>
      </w:r>
    </w:p>
    <w:p>
      <w:pPr>
        <w:spacing w:after="0" w:line="163"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Patent Cross-License Agreements</w:t>
      </w:r>
      <w:r>
        <w:rPr>
          <w:rFonts w:ascii="Arial" w:cs="Arial" w:eastAsia="Arial" w:hAnsi="Arial"/>
          <w:sz w:val="18"/>
          <w:szCs w:val="18"/>
          <w:color w:val="auto"/>
        </w:rPr>
        <w:t>. In December 2011, we and EchoStar entered into separate patent cross-license agreements with the same third-party whereby: (i) EchoStar and such third-party licensed their respective patents to each other subject to certain conditions; and (ii) we and such third-party licensed our respective patents to each other subject to certain conditions (each, a “Cross-License Agreement”). Each Cross License Agreement covers patents acquired by the respective party prior to January 1, 2017 and aggregate payments under both Cross-License Agreements total less than $10 million. In December 2016, we and EchoStar independently exercised our respective options to extend each Cross-License Agreement to include patents acquired by the respective party prior to January 1, 2022.</w:t>
      </w:r>
    </w:p>
    <w:p>
      <w:pPr>
        <w:spacing w:after="0" w:line="167"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i w:val="1"/>
          <w:iCs w:val="1"/>
          <w:color w:val="auto"/>
        </w:rPr>
        <w:t xml:space="preserve">Rovi License Agreement. </w:t>
      </w:r>
      <w:r>
        <w:rPr>
          <w:rFonts w:ascii="Arial" w:cs="Arial" w:eastAsia="Arial" w:hAnsi="Arial"/>
          <w:sz w:val="18"/>
          <w:szCs w:val="18"/>
          <w:color w:val="auto"/>
        </w:rPr>
        <w:t>On August 19, 2016, we entered into a ten-year patent license agreement (the “Rovi</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with Rovi Corporation (“Rovi”) and, for certain limited purposes, EchoStar. EchoStar is a party to the Rovi License Agreement solely with respect to certain provisions relating to the prior patent license agreement between EchoStar and Rovi. There are no payments between us and EchoStar under the Rovi License Agreement.</w:t>
      </w:r>
    </w:p>
    <w:p>
      <w:pPr>
        <w:spacing w:after="0" w:line="16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i w:val="1"/>
          <w:iCs w:val="1"/>
          <w:color w:val="auto"/>
        </w:rPr>
        <w:t xml:space="preserve">Hughes Broadband Master Services Agreement. </w:t>
      </w:r>
      <w:r>
        <w:rPr>
          <w:rFonts w:ascii="Arial" w:cs="Arial" w:eastAsia="Arial" w:hAnsi="Arial"/>
          <w:sz w:val="18"/>
          <w:szCs w:val="18"/>
          <w:color w:val="auto"/>
        </w:rPr>
        <w:t>In March 2017, we and EchoStar entered into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Agreement (“MSA”) pursuant to which we, among other things: (i) have the right, but not the obligation, to market, promote and solicit orders for the EchoStar satellite Internet service and related equipment; and (ii) install service equipment with respect to activations we generate. Payments from EchoStar for services provided are recorded in “Service revenue” on our Condensed Consolidated Statements of Operations and Comprehensive Income (Loss). For the three months ended June 30, 2025 and 2024, these payments were $1 million and less than $1 million, respectively. For the six months ended June 30, 2025 and 2024, these payments were $2 million and $1 million, respectively. The MSA had an initial term that ended March 2022 with automatic renewal for successive one-year terms. Either party has the ability to terminate the MSA, in whole or in part, for any reason upon at least 90 days’ notice to the other party. Upon expiration or termination of the MSA, EchoStar will continue to provide the satellite Internet service to subscribers and make certain payments to us pursuant to the terms and conditions of the MSA. For each of the three months ended June 30, 2025 and 2024, we purchased zero broadband equipment from EchoStar under the MSA.</w:t>
      </w:r>
    </w:p>
    <w:p>
      <w:pPr>
        <w:spacing w:after="0" w:line="167"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i w:val="1"/>
          <w:iCs w:val="1"/>
          <w:color w:val="auto"/>
        </w:rPr>
        <w:t>Intellectual Property and Technology License Agreement – Share Exchange</w:t>
      </w:r>
      <w:r>
        <w:rPr>
          <w:rFonts w:ascii="Arial" w:cs="Arial" w:eastAsia="Arial" w:hAnsi="Arial"/>
          <w:sz w:val="18"/>
          <w:szCs w:val="18"/>
          <w:color w:val="auto"/>
        </w:rPr>
        <w:t>. Effective March 1, 2017, we and</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entered into an Intellectual Property and Technology License Agreement (“IPTLA”), pursuant to which we and EchoStar license to each other certain intellectual property and technology. The IPTLA will continue in perpetuity, unless mutually terminated by the parties. Pursuant to the IPTLA, EchoStar granted to us a license to its intellectual property and technology for use by us, among other things, in connection with our continued operation of the Transferred Businesses acquired pursuant to the Share Exchange Agreement, including a limited license to use the “ECHOSTAR” trademark during a transition period. EchoStar retains full ownership of the “ECHOSTAR” trademark. In addition, we granted a license back to EchoStar, among other things, for the continued use of all intellectual property and technology transferred to us pursuant to the Share Exchange Agreement that is used in EchoStar’s retained businesses.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i w:val="1"/>
          <w:iCs w:val="1"/>
          <w:color w:val="auto"/>
        </w:rPr>
        <w:t>Intellectual Property and Technology License Agreement – Master Transaction Agreement</w:t>
      </w:r>
      <w:r>
        <w:rPr>
          <w:rFonts w:ascii="Arial" w:cs="Arial" w:eastAsia="Arial" w:hAnsi="Arial"/>
          <w:sz w:val="17"/>
          <w:szCs w:val="17"/>
          <w:color w:val="auto"/>
        </w:rPr>
        <w:t>. Effective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10, 2019, we and EchoStar entered into an IPTLA (the “MTA IPTLA”), pursuant to which we and EchoStar license to each other certain intellectual property and technology. The MTA IPTLA will continue in perpetuity, unless mutually terminated by the parties. Pursuant to the MTA IPTLA, EchoStar granted to us a license to its intellectual property and technology for use by us, among other things, in connection with our continued operation of the BSS Business acquired pursuant to the Master Transaction Agreement, including a limited license to use the “ESS” and “ECHOSTAR SATELLITE SERVICES” trademarks during a transition period. EchoStar retains full ownership of the “ESS” and “ECHOSTAR SATELLITE SERVICES” trademarks. In addition, we granted a license back to EchoStar, among other things, for the continued use of all intellectual property and technology transferred to us pursuant to the Master Transaction Agreement that is used in EchoStar’s retained businesses.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CONX Corp.</w:t>
      </w:r>
    </w:p>
    <w:p>
      <w:pPr>
        <w:spacing w:after="0" w:line="198" w:lineRule="exact"/>
        <w:rPr>
          <w:sz w:val="20"/>
          <w:szCs w:val="20"/>
          <w:color w:val="auto"/>
        </w:rPr>
      </w:pPr>
    </w:p>
    <w:p>
      <w:pPr>
        <w:ind w:left="60" w:right="119" w:hanging="12"/>
        <w:spacing w:after="0"/>
        <w:rPr>
          <w:sz w:val="20"/>
          <w:szCs w:val="20"/>
          <w:color w:val="auto"/>
        </w:rPr>
      </w:pPr>
      <w:r>
        <w:rPr>
          <w:rFonts w:ascii="Arial" w:cs="Arial" w:eastAsia="Arial" w:hAnsi="Arial"/>
          <w:sz w:val="18"/>
          <w:szCs w:val="18"/>
          <w:color w:val="auto"/>
        </w:rPr>
        <w:t>CONX Corp. (“CONX”) is an entity partially owned by Charles W. Ergen, our Chairman. On May 1, 2024, we entered into an agreement to lease a commercial real estate property in Littleton, Colorado, comprising the corporate headquarters of DISH Wireless, from CONX for an initial 10 year term. During the three months ended June 30, 2025 and 2024, we recorded $1 million and $1 million, respectively, for this lease in “Selling, general and administrative expenses” on our Condensed Consolidated Statements of Operations and Comprehensive Income (Loss). During the six months ended June 30, 2025 and 2024, we recorded $2 million and $1 million, respectively, for this lease in “Selling, general and administrative expenses” on our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NagraStar L.L.C.</w:t>
      </w:r>
    </w:p>
    <w:p>
      <w:pPr>
        <w:spacing w:after="0" w:line="198"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24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w w:val="99"/>
              </w:rPr>
              <w:t>June 30,</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b w:val="1"/>
                <w:bCs w:val="1"/>
                <w:color w:val="auto"/>
                <w:w w:val="99"/>
              </w:rPr>
              <w:t>June 30,</w:t>
            </w:r>
          </w:p>
        </w:tc>
        <w:tc>
          <w:tcPr>
            <w:tcW w:w="880" w:type="dxa"/>
            <w:vAlign w:val="bottom"/>
            <w:tcBorders>
              <w:bottom w:val="single" w:sz="8" w:color="auto"/>
            </w:tcBorders>
          </w:tcPr>
          <w:p>
            <w:pPr>
              <w:spacing w:after="0"/>
              <w:rPr>
                <w:sz w:val="18"/>
                <w:szCs w:val="18"/>
                <w:color w:val="auto"/>
              </w:rPr>
            </w:pPr>
          </w:p>
        </w:tc>
      </w:tr>
      <w:tr>
        <w:trPr>
          <w:trHeight w:val="189"/>
        </w:trPr>
        <w:tc>
          <w:tcPr>
            <w:tcW w:w="3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169"/>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4"/>
          </w:tcPr>
          <w:p>
            <w:pPr>
              <w:ind w:left="420"/>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Purchases (including fees):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Purchases from NagraStar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w:t>
            </w:r>
          </w:p>
        </w:tc>
        <w:tc>
          <w:tcPr>
            <w:tcW w:w="18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8,526</w:t>
            </w: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14,278</w:t>
            </w:r>
          </w:p>
        </w:tc>
        <w:tc>
          <w:tcPr>
            <w:tcW w:w="200" w:type="dxa"/>
            <w:vAlign w:val="bottom"/>
          </w:tcPr>
          <w:p>
            <w:pPr>
              <w:spacing w:after="0"/>
              <w:rPr>
                <w:sz w:val="16"/>
                <w:szCs w:val="16"/>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17,127</w:t>
            </w: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w w:val="94"/>
              </w:rPr>
              <w:t>As of</w:t>
            </w:r>
          </w:p>
        </w:tc>
        <w:tc>
          <w:tcPr>
            <w:tcW w:w="940" w:type="dxa"/>
            <w:vAlign w:val="bottom"/>
            <w:tcBorders>
              <w:bottom w:val="single" w:sz="8" w:color="auto"/>
            </w:tcBorders>
          </w:tcPr>
          <w:p>
            <w:pPr>
              <w:spacing w:after="0"/>
              <w:rPr>
                <w:sz w:val="18"/>
                <w:szCs w:val="18"/>
                <w:color w:val="auto"/>
              </w:rPr>
            </w:pPr>
          </w:p>
        </w:tc>
        <w:tc>
          <w:tcPr>
            <w:tcW w:w="2660" w:type="dxa"/>
            <w:vAlign w:val="bottom"/>
          </w:tcPr>
          <w:p>
            <w:pPr>
              <w:spacing w:after="0"/>
              <w:rPr>
                <w:sz w:val="18"/>
                <w:szCs w:val="18"/>
                <w:color w:val="auto"/>
              </w:rPr>
            </w:pPr>
          </w:p>
        </w:tc>
      </w:tr>
      <w:tr>
        <w:trPr>
          <w:trHeight w:val="175"/>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9"/>
              <w:spacing w:after="0" w:line="175" w:lineRule="exact"/>
              <w:rPr>
                <w:sz w:val="20"/>
                <w:szCs w:val="20"/>
                <w:color w:val="auto"/>
              </w:rPr>
            </w:pPr>
            <w:r>
              <w:rPr>
                <w:rFonts w:ascii="Arial" w:cs="Arial" w:eastAsia="Arial" w:hAnsi="Arial"/>
                <w:sz w:val="16"/>
                <w:szCs w:val="16"/>
                <w:b w:val="1"/>
                <w:bCs w:val="1"/>
                <w:color w:val="auto"/>
              </w:rPr>
              <w:t>December 31,</w:t>
            </w:r>
          </w:p>
        </w:tc>
        <w:tc>
          <w:tcPr>
            <w:tcW w:w="2660" w:type="dxa"/>
            <w:vAlign w:val="bottom"/>
          </w:tcPr>
          <w:p>
            <w:pPr>
              <w:spacing w:after="0"/>
              <w:rPr>
                <w:sz w:val="15"/>
                <w:szCs w:val="15"/>
                <w:color w:val="auto"/>
              </w:rPr>
            </w:pPr>
          </w:p>
        </w:tc>
      </w:tr>
      <w:tr>
        <w:trPr>
          <w:trHeight w:val="203"/>
        </w:trPr>
        <w:tc>
          <w:tcPr>
            <w:tcW w:w="3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660" w:type="dxa"/>
            <w:vAlign w:val="bottom"/>
          </w:tcPr>
          <w:p>
            <w:pPr>
              <w:spacing w:after="0"/>
              <w:rPr>
                <w:sz w:val="17"/>
                <w:szCs w:val="17"/>
                <w:color w:val="auto"/>
              </w:rPr>
            </w:pPr>
          </w:p>
        </w:tc>
      </w:tr>
      <w:tr>
        <w:trPr>
          <w:trHeight w:val="169"/>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679"/>
              <w:spacing w:after="0" w:line="169" w:lineRule="exact"/>
              <w:rPr>
                <w:sz w:val="20"/>
                <w:szCs w:val="20"/>
                <w:color w:val="auto"/>
              </w:rPr>
            </w:pPr>
            <w:r>
              <w:rPr>
                <w:rFonts w:ascii="Arial" w:cs="Arial" w:eastAsia="Arial" w:hAnsi="Arial"/>
                <w:sz w:val="16"/>
                <w:szCs w:val="16"/>
                <w:color w:val="auto"/>
              </w:rPr>
              <w:t>(In thousands)</w:t>
            </w:r>
          </w:p>
        </w:tc>
        <w:tc>
          <w:tcPr>
            <w:tcW w:w="2660" w:type="dxa"/>
            <w:vAlign w:val="bottom"/>
          </w:tcPr>
          <w:p>
            <w:pPr>
              <w:spacing w:after="0"/>
              <w:rPr>
                <w:sz w:val="14"/>
                <w:szCs w:val="14"/>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 and Commitments: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6"/>
                <w:szCs w:val="16"/>
                <w:color w:val="auto"/>
              </w:rPr>
              <w:t>Amounts payable to NagraStar</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4,517</w:t>
            </w:r>
          </w:p>
        </w:tc>
        <w:tc>
          <w:tcPr>
            <w:tcW w:w="54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5,569</w:t>
            </w:r>
          </w:p>
        </w:tc>
        <w:tc>
          <w:tcPr>
            <w:tcW w:w="2660" w:type="dxa"/>
            <w:vAlign w:val="bottom"/>
          </w:tcPr>
          <w:p>
            <w:pPr>
              <w:spacing w:after="0"/>
              <w:rPr>
                <w:sz w:val="19"/>
                <w:szCs w:val="19"/>
                <w:color w:val="auto"/>
              </w:rPr>
            </w:pPr>
          </w:p>
        </w:tc>
      </w:tr>
      <w:tr>
        <w:trPr>
          <w:trHeight w:val="170"/>
        </w:trPr>
        <w:tc>
          <w:tcPr>
            <w:tcW w:w="3700" w:type="dxa"/>
            <w:vAlign w:val="bottom"/>
            <w:tcBorders>
              <w:top w:val="single" w:sz="8" w:color="CCEEFF"/>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Commitments to NagraStar</w:t>
            </w:r>
          </w:p>
        </w:tc>
        <w:tc>
          <w:tcPr>
            <w:tcW w:w="160" w:type="dxa"/>
            <w:vAlign w:val="bottom"/>
            <w:tcBorders>
              <w:top w:val="single" w:sz="8" w:color="auto"/>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1,702</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19"/>
              <w:spacing w:after="0" w:line="170"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883</w:t>
            </w:r>
          </w:p>
        </w:tc>
        <w:tc>
          <w:tcPr>
            <w:tcW w:w="26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w:t>
      </w:r>
    </w:p>
    <w:p>
      <w:pPr>
        <w:spacing w:after="0" w:line="200"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i w:val="1"/>
          <w:iCs w:val="1"/>
          <w:color w:val="auto"/>
        </w:rPr>
        <w:t>You should read the following Management’s Narrative Analysis of our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2024 and this Quarterly Report on Form 10-Q under the caption “Item 1A. Risk Factors.” Furthermore, such forward-looking statements speak only as of the date of this Quarterly Report on Form 10-Q, and we expressly disclaim any obligation to update any forward-looking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6"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 xml:space="preserve">EchoStar </w:t>
      </w:r>
      <w:r>
        <w:rPr>
          <w:rFonts w:ascii="Arial" w:cs="Arial" w:eastAsia="Arial" w:hAnsi="Arial"/>
          <w:sz w:val="17"/>
          <w:szCs w:val="17"/>
          <w:color w:val="222222"/>
        </w:rPr>
        <w:t>received a letter from the Federal Communications Commission (the “FCC”) on May 9, 2025, indicating</w:t>
      </w:r>
      <w:r>
        <w:rPr>
          <w:rFonts w:ascii="Arial" w:cs="Arial" w:eastAsia="Arial" w:hAnsi="Arial"/>
          <w:sz w:val="17"/>
          <w:szCs w:val="17"/>
          <w:color w:val="auto"/>
        </w:rPr>
        <w:t xml:space="preserve"> </w:t>
      </w:r>
      <w:r>
        <w:rPr>
          <w:rFonts w:ascii="Arial" w:cs="Arial" w:eastAsia="Arial" w:hAnsi="Arial"/>
          <w:sz w:val="17"/>
          <w:szCs w:val="17"/>
          <w:color w:val="222222"/>
        </w:rPr>
        <w:t xml:space="preserve">that the FCC was beginning a review of EchoStar’s and our compliance with certain obligations to provide 5G broadband service and raising certain questions regarding the September 2024 build-out extension granted by the FCC and mobile-satellite service (“MSS”) utilization in the 2 GHz band (the “Letter”). We collectively responded to the FCC’s subsequent public notices with filings on May 27, 2025 and June 6, 2025. </w:t>
      </w:r>
      <w:r>
        <w:rPr>
          <w:rFonts w:ascii="Arial" w:cs="Arial" w:eastAsia="Arial" w:hAnsi="Arial"/>
          <w:sz w:val="17"/>
          <w:szCs w:val="17"/>
          <w:color w:val="000000"/>
        </w:rPr>
        <w:t>On June 11, 2025, our</w:t>
      </w:r>
      <w:r>
        <w:rPr>
          <w:rFonts w:ascii="Arial" w:cs="Arial" w:eastAsia="Arial" w:hAnsi="Arial"/>
          <w:sz w:val="17"/>
          <w:szCs w:val="17"/>
          <w:color w:val="222222"/>
        </w:rPr>
        <w:t xml:space="preserve"> </w:t>
      </w:r>
      <w:r>
        <w:rPr>
          <w:rFonts w:ascii="Arial" w:cs="Arial" w:eastAsia="Arial" w:hAnsi="Arial"/>
          <w:sz w:val="17"/>
          <w:szCs w:val="17"/>
          <w:color w:val="000000"/>
        </w:rPr>
        <w:t>Chairman met with the FCC; during this meeting we explained that any reconsideration of the September 2024 grant of our construction deadline extensions, any after-the-fact change to the criteria upon which our build-out is judged, or any decision to upend the 2 GHz band’s sharing rules would threaten the viability of our current operations and future plans. While no resolution has been achieved yet, and it is possible that no such resolution will ultimately be achieved, we continue to explore an acceptable resolution of the FCC’s stated concerns in a manner that minimizes disruption to our businesses and lifts the regulatory uncertainty created by the inquiries. The FCC review has introduced the possibility of reversing prior FCC grants of authority to us and EchoStar. This uncertainty over our spectrum rights has effectively frozen our ability to make decisions regarding our 5G network build-out, has materially adversely impacted our ability to implement and adjust our overall business plan and has required us to re-evaluate the deployment of our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 See Note 8 in the Notes to our Condensed Consolidated Financial Statements for further details. We remain focused on resolving the FCC’s stated concerns. We continue to progress wide-ranging efforts to explore alternative or complementary pathways that could, if successfully implemented, resolve the FCC’s stated concerns in a manner acceptable to us.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currently operate two primary business segments: (1) Pay-TV and (2) Wireless.</w:t>
      </w:r>
    </w:p>
    <w:p>
      <w:pPr>
        <w:spacing w:after="0" w:line="19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offer pay-TV services under the DISH® brand and the SLING® brand (collectively “Pay-TV” services). We promote our Pay-TV services by providing our subscribers with a better “price-to-value” relationship and experience than those available from other subscription television service providers.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w:t>
      </w:r>
    </w:p>
    <w:p>
      <w:pPr>
        <w:spacing w:after="0" w:line="17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spacing w:after="0" w:line="163"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Our Wireless segment provides wireless communication services (“Wireless” services) and products. We currently offer our Wireless services for 5G voice over new radio (“5G VoNR”) to over 223 million Americans and for 5G broadband service to over 269 million Americans, as well as a competitive portfolio of wireless devices. We offer customers value by providing choice and flexibility in our Wireless services. We offer competitive consumer plans with no annual service contracts and device financing arrangements for certain qualified subscribers.</w:t>
      </w:r>
    </w:p>
    <w:p>
      <w:pPr>
        <w:spacing w:after="0" w:line="152" w:lineRule="exact"/>
        <w:rPr>
          <w:sz w:val="20"/>
          <w:szCs w:val="20"/>
          <w:color w:val="auto"/>
        </w:rPr>
      </w:pPr>
    </w:p>
    <w:p>
      <w:pPr>
        <w:ind w:left="60" w:right="299"/>
        <w:spacing w:after="0" w:line="266" w:lineRule="auto"/>
        <w:rPr>
          <w:sz w:val="20"/>
          <w:szCs w:val="20"/>
          <w:color w:val="auto"/>
        </w:rPr>
      </w:pPr>
      <w:r>
        <w:rPr>
          <w:rFonts w:ascii="Arial" w:cs="Arial" w:eastAsia="Arial" w:hAnsi="Arial"/>
          <w:sz w:val="17"/>
          <w:szCs w:val="17"/>
          <w:color w:val="auto"/>
        </w:rPr>
        <w:t>Our Wireless segment business strategy is to expand our current target segments and profitably grow our Wireless subscriber base and commercialize and grow customer traffic on our 5G Network, defined below. We intend to grow our Wireless subscriber base by acquiring and retaining high quality subscribers with competitive offers, choice and outstanding customer service that better meet those subscribers’ needs and budget.</w:t>
      </w:r>
    </w:p>
    <w:p>
      <w:pPr>
        <w:spacing w:after="0" w:line="146"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7"/>
          <w:szCs w:val="17"/>
          <w:color w:val="auto"/>
        </w:rPr>
        <w:t xml:space="preserve">We are currently operating primarily as a mobile virtual network operator (“MVNO”) as we continue to commercialize our Wireless spectrum licenses through the completion of the nation’s first cloud-native, Open Radio Access Network (“O-RAN”) based 5G VoNR and broadband network (our “5G Network”) and grow customer traffic on our 5G Network. We are transitioning to a mobile network operator (“MNO”) as our 5G Network has become commercially available and we grow customer traffic on our 5G Network. We are currently activating Boost Mobile subscribers with compatible devices onto our 5G Network in markets where we have reached 5G </w:t>
      </w:r>
      <w:r>
        <w:rPr>
          <w:rFonts w:ascii="Arial" w:cs="Arial" w:eastAsia="Arial" w:hAnsi="Arial"/>
          <w:sz w:val="17"/>
          <w:szCs w:val="17"/>
          <w:color w:val="0A0A0A"/>
        </w:rPr>
        <w:t>VoNR</w:t>
      </w:r>
      <w:r>
        <w:rPr>
          <w:rFonts w:ascii="Arial" w:cs="Arial" w:eastAsia="Arial" w:hAnsi="Arial"/>
          <w:sz w:val="17"/>
          <w:szCs w:val="17"/>
          <w:color w:val="000000"/>
        </w:rPr>
        <w:t>. We currently offer a broad range of premium wireless devices on our 5G Network, including the Apple</w:t>
      </w:r>
      <w:r>
        <w:rPr>
          <w:rFonts w:ascii="Arial" w:cs="Arial" w:eastAsia="Arial" w:hAnsi="Arial"/>
          <w:sz w:val="17"/>
          <w:szCs w:val="17"/>
          <w:color w:val="0A0A0A"/>
        </w:rPr>
        <w:t xml:space="preserve"> </w:t>
      </w:r>
      <w:r>
        <w:rPr>
          <w:rFonts w:ascii="Arial" w:cs="Arial" w:eastAsia="Arial" w:hAnsi="Arial"/>
          <w:sz w:val="17"/>
          <w:szCs w:val="17"/>
          <w:color w:val="000000"/>
        </w:rPr>
        <w:t xml:space="preserve">iPhone 15 and newer generation iPhones, as well as a wide selection of Samsung, Motorola and other premium devices. We have deployed </w:t>
      </w:r>
      <w:r>
        <w:rPr>
          <w:rFonts w:ascii="Arial" w:cs="Arial" w:eastAsia="Arial" w:hAnsi="Arial"/>
          <w:sz w:val="17"/>
          <w:szCs w:val="17"/>
          <w:color w:val="0A0A0A"/>
        </w:rPr>
        <w:t>5G VoNR covering over 223 million Americans.</w:t>
      </w:r>
      <w:r>
        <w:rPr>
          <w:rFonts w:ascii="Arial" w:cs="Arial" w:eastAsia="Arial" w:hAnsi="Arial"/>
          <w:sz w:val="17"/>
          <w:szCs w:val="17"/>
          <w:color w:val="000000"/>
        </w:rPr>
        <w:t xml:space="preserve"> Within our MVNO operations, today we depend in part on T-Mobile and AT&amp;T to provide us with network services under the amended Master Network Services Agreement (“MNSA”) and Network Services Agreement (the “NSA”), respectively.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committed to the FCC to deploy a facilities-based 5G broadband network capable of serving increasingly larger portions of the U.S. population at different deadlines. In September 2024, the FCC conditionally granted our requests to extend the 5G deployment deadlines for certain of our Wireless spectrum licenses based on several commitments and in a January 10, 2025 filing to the FCC, we certified to meeting the accelerated build-out (Commitments #2 and #3 of the Extension Request) and the nationwide 80% coverage obligations (Commitment #1 of the Extension Request) due by December 31, 2024. Thus, pursuant to the Extension Request, the final deployment deadlines for the licenses subject to the Extension Request (listed in Appendix G) shall be extended to December 14, 2026. 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as long as we satisfy the remaining Extension Request commitments. See Note 9 in the Notes to our Condensed Consolidated Financial Statements for definitions and further details. Also see Note 1 “</w:t>
      </w:r>
      <w:r>
        <w:rPr>
          <w:rFonts w:ascii="Arial" w:cs="Arial" w:eastAsia="Arial" w:hAnsi="Arial"/>
          <w:sz w:val="18"/>
          <w:szCs w:val="18"/>
          <w:i w:val="1"/>
          <w:iCs w:val="1"/>
          <w:color w:val="auto"/>
        </w:rPr>
        <w:t>Recent Developments</w:t>
      </w:r>
      <w:r>
        <w:rPr>
          <w:rFonts w:ascii="Arial" w:cs="Arial" w:eastAsia="Arial" w:hAnsi="Arial"/>
          <w:sz w:val="18"/>
          <w:szCs w:val="18"/>
          <w:color w:val="auto"/>
        </w:rPr>
        <w:t>” in the Notes to our Condensed Consolidated Financial Statements for additional information.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96"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 xml:space="preserve">During 2024 and the first six months of 2025, we experienced inflationary pressures in our commodity and labor costs resulting from the macroeconomic environment in the United States, which has impacted our overall operating results. In addition, </w:t>
      </w:r>
      <w:r>
        <w:rPr>
          <w:rFonts w:ascii="Arial" w:cs="Arial" w:eastAsia="Arial" w:hAnsi="Arial"/>
          <w:sz w:val="18"/>
          <w:szCs w:val="18"/>
          <w:color w:val="222222"/>
        </w:rPr>
        <w:t>changes in trade policies, including, but not limited to, tariffs and other restrictions,</w:t>
      </w:r>
      <w:r>
        <w:rPr>
          <w:rFonts w:ascii="Arial" w:cs="Arial" w:eastAsia="Arial" w:hAnsi="Arial"/>
          <w:sz w:val="18"/>
          <w:szCs w:val="18"/>
          <w:color w:val="auto"/>
        </w:rPr>
        <w:t xml:space="preserve"> </w:t>
      </w:r>
      <w:r>
        <w:rPr>
          <w:rFonts w:ascii="Arial" w:cs="Arial" w:eastAsia="Arial" w:hAnsi="Arial"/>
          <w:sz w:val="18"/>
          <w:szCs w:val="18"/>
          <w:color w:val="222222"/>
        </w:rPr>
        <w:t>could increase, among other things, our costs, disrupt our supply chain and negatively affect our business, operations and financial condition.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Operational Liquidity</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make general investments in property such as, among others, satellites, wireless devices, set-top boxes, information technology and facilities that support our Pay-TV and Wireless segments. For some of these investments, changes in trade policies, including, but not limited to, tariffs and other restrictions, could increase, among other things, our costs, disrupt our supply chain and negatively affect our business, operations and financial condition.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migrate Wireless subscribers onto our 5G Network. The third factor is the rate at which we acquire new Pay-TV and Wireless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69" w:lineRule="exact"/>
        <w:rPr>
          <w:sz w:val="20"/>
          <w:szCs w:val="20"/>
          <w:color w:val="auto"/>
        </w:rPr>
      </w:pPr>
    </w:p>
    <w:p>
      <w:pPr>
        <w:ind w:left="60" w:right="159" w:hanging="6"/>
        <w:spacing w:after="0" w:line="251" w:lineRule="auto"/>
        <w:rPr>
          <w:sz w:val="20"/>
          <w:szCs w:val="20"/>
          <w:color w:val="auto"/>
        </w:rPr>
      </w:pPr>
      <w:r>
        <w:rPr>
          <w:rFonts w:ascii="Arial" w:cs="Arial" w:eastAsia="Arial" w:hAnsi="Arial"/>
          <w:sz w:val="17"/>
          <w:szCs w:val="17"/>
          <w:color w:val="auto"/>
        </w:rPr>
        <w:t>Finally, our future cash flow is impacted by, among other things, the rate at which we complete our 5G Network, incur litigation expense, make cash interest payments, participate in FCC wireless spectrum auctions and any cash flow from financing activities. We anticipate operating expenditures for our 5G Network to increase for 2025 as we continue to, among other things, deploy cell sites and communication towers to continue to commercialize our 5G Network. We expect our capital expenditures (excluding capitalized interest) may decrease in the near term. However, as we prepare for our next build-out requirement deadlines, we expect our capital expenditures to increase as we approach these deadlines. As a result, our historical cash flow is not necessarily indicative of our future cash flows. As of June 30, 2025, we experienced negative “Net cash flows from operating activities” less:</w:t>
      </w:r>
    </w:p>
    <w:p>
      <w:pPr>
        <w:spacing w:after="0" w:line="3" w:lineRule="exact"/>
        <w:rPr>
          <w:sz w:val="20"/>
          <w:szCs w:val="20"/>
          <w:color w:val="auto"/>
        </w:rPr>
      </w:pPr>
    </w:p>
    <w:p>
      <w:pPr>
        <w:jc w:val="both"/>
        <w:ind w:left="60" w:right="219" w:hanging="2"/>
        <w:spacing w:after="0" w:line="239" w:lineRule="auto"/>
        <w:tabs>
          <w:tab w:leader="none" w:pos="2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and other receipts of purchases of property and equipment,” and (ii) “Capitalized interest related to regulatory authorizations.” We expect that this trend will continue in 2025 and in future periods. In addition, declines in our Pay-TV and Wireless subscriber base and any decrease in subscriber-related margins negatively impact our cash flow, and there can be no assurance that our subscriber declines for some if not all of our segments will not continue.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contributions or intercompany loans from our parent, EchoStar, and cash generated through raising additional capital. We do not currently have cash, cash equivalents, marketable investment securities balances and/or projected future cash flows to fully fund our 2026 debt maturities. We will need to obtain new financing and/or refinance or restructure all or a portion of such obligations prior to maturity. Furthermore, because reaching an acceptable resolution of the FCC inquiries is not assured, we must continue to evaluate the deployment of our resources. In light of this continued uncertainty,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w:t>
      </w:r>
    </w:p>
    <w:p>
      <w:pPr>
        <w:spacing w:after="0" w:line="17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will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and we will need to raise additional capital, depending on, among other things, the rate at which we complete our 5G Network, the potential purchase of additional wireless spectrum licenses and the rate at which we acquire new subscribers and the cost of subscriber acquisition and retention.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859"/>
        <w:spacing w:after="0" w:line="247" w:lineRule="auto"/>
        <w:rPr>
          <w:sz w:val="20"/>
          <w:szCs w:val="20"/>
          <w:color w:val="auto"/>
        </w:rPr>
      </w:pPr>
      <w:r>
        <w:rPr>
          <w:rFonts w:ascii="Arial" w:cs="Arial" w:eastAsia="Arial" w:hAnsi="Arial"/>
          <w:sz w:val="18"/>
          <w:szCs w:val="18"/>
          <w:color w:val="auto"/>
        </w:rPr>
        <w:t>Certain of our capital expenditures for 2025 are expected to be driven by the rate of our 5G Network deployment as well as costs associated with subscriber premises equipment. These expenditures are necessary for our 5G Network deployment as well as to operate and maintain our DISH TV services. Consequently, we consider certain of them to be non-discretionary.</w:t>
      </w:r>
    </w:p>
    <w:p>
      <w:pPr>
        <w:spacing w:after="0" w:line="133" w:lineRule="exact"/>
        <w:rPr>
          <w:sz w:val="20"/>
          <w:szCs w:val="20"/>
          <w:color w:val="auto"/>
        </w:rPr>
      </w:pPr>
    </w:p>
    <w:p>
      <w:pPr>
        <w:ind w:left="60" w:right="279"/>
        <w:spacing w:after="0" w:line="259" w:lineRule="auto"/>
        <w:rPr>
          <w:sz w:val="20"/>
          <w:szCs w:val="20"/>
          <w:color w:val="auto"/>
        </w:rPr>
      </w:pPr>
      <w:r>
        <w:rPr>
          <w:rFonts w:ascii="Arial" w:cs="Arial" w:eastAsia="Arial" w:hAnsi="Arial"/>
          <w:sz w:val="17"/>
          <w:szCs w:val="17"/>
          <w:color w:val="auto"/>
        </w:rPr>
        <w:t>Our capital expenditures vary depending on, among other things, the number of satellites leased or under construction at any point in time and could increase materially as a result of increased competition, significant</w:t>
      </w:r>
    </w:p>
    <w:p>
      <w:pPr>
        <w:spacing w:after="0" w:line="1" w:lineRule="exact"/>
        <w:rPr>
          <w:sz w:val="20"/>
          <w:szCs w:val="20"/>
          <w:color w:val="auto"/>
        </w:rPr>
      </w:pPr>
    </w:p>
    <w:p>
      <w:pPr>
        <w:ind w:left="60" w:right="159"/>
        <w:spacing w:after="0" w:line="226" w:lineRule="auto"/>
        <w:rPr>
          <w:sz w:val="20"/>
          <w:szCs w:val="20"/>
          <w:color w:val="auto"/>
        </w:rPr>
      </w:pPr>
      <w:r>
        <w:rPr>
          <w:rFonts w:ascii="Arial" w:cs="Arial" w:eastAsia="Arial" w:hAnsi="Arial"/>
          <w:sz w:val="18"/>
          <w:szCs w:val="18"/>
          <w:color w:val="auto"/>
        </w:rPr>
        <w:t>satellite failures or economic weakness and uncertainty. Our DISH TV subscriber base has been declining and there can be no assurance that our DISH TV subscriber base will not continue to decline and that the pace of</w:t>
      </w:r>
    </w:p>
    <w:p>
      <w:pPr>
        <w:spacing w:after="0" w:line="2" w:lineRule="exact"/>
        <w:rPr>
          <w:sz w:val="20"/>
          <w:szCs w:val="20"/>
          <w:color w:val="auto"/>
        </w:rPr>
      </w:pPr>
    </w:p>
    <w:p>
      <w:pPr>
        <w:ind w:left="60" w:right="79"/>
        <w:spacing w:after="0" w:line="250" w:lineRule="auto"/>
        <w:rPr>
          <w:sz w:val="20"/>
          <w:szCs w:val="20"/>
          <w:color w:val="auto"/>
        </w:rPr>
      </w:pPr>
      <w:r>
        <w:rPr>
          <w:rFonts w:ascii="Arial" w:cs="Arial" w:eastAsia="Arial" w:hAnsi="Arial"/>
          <w:sz w:val="18"/>
          <w:szCs w:val="18"/>
          <w:color w:val="auto"/>
        </w:rPr>
        <w:t>such decline will not accelerate. In the event that our DISH TV subscriber base continues to decline, it will have a material adverse long-term effect on our cash flow.</w:t>
      </w:r>
    </w:p>
    <w:p>
      <w:pPr>
        <w:spacing w:after="0" w:line="15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and expect to continue to incur expenditures related to our 5G Network deployment, including, but not limited to, capital expenditures associated with our 5G Network deployment and the potential purchase of additional wireless spectrum licenses, including any potential Northstar Re-Auction Payment and SNR Re-Auction Payment for the AWS-3 licenses retained by the FCC. The amount of capital required will also depend on, among other things, our available liquidity, the growth of our Wireless segment and the levels of investment necessary to support potential strategic initiatives that may arise from time to time. These factors, including, but not limited to, a reduction in our available future cash flows as a result of our 5G Network deployment, will require us to raise additional capital in the future, which may not be available on favorable terms or at all.</w:t>
      </w:r>
    </w:p>
    <w:p>
      <w:pPr>
        <w:spacing w:after="0" w:line="167"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ability to raise capital has generally existed for us despite economic weakness and uncertainty. However,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 Although cured, this could negatively impact our ability to raise capital on favorable terms or at all. While modest fluctuations in the cost of capital will not likely impact our current operational plans, significant fluctuations could have a material adverse effect on our business, results of operations and financial condition.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EchoStar 2024 Intercompany Loan</w:t>
      </w:r>
    </w:p>
    <w:p>
      <w:pPr>
        <w:spacing w:after="0" w:line="196" w:lineRule="exact"/>
        <w:rPr>
          <w:sz w:val="20"/>
          <w:szCs w:val="20"/>
          <w:color w:val="auto"/>
        </w:rPr>
      </w:pPr>
    </w:p>
    <w:p>
      <w:pPr>
        <w:jc w:val="both"/>
        <w:ind w:left="60" w:right="99"/>
        <w:spacing w:after="0" w:line="275" w:lineRule="auto"/>
        <w:rPr>
          <w:sz w:val="20"/>
          <w:szCs w:val="20"/>
          <w:color w:val="auto"/>
        </w:rPr>
      </w:pPr>
      <w:r>
        <w:rPr>
          <w:rFonts w:ascii="Arial" w:cs="Arial" w:eastAsia="Arial" w:hAnsi="Arial"/>
          <w:sz w:val="17"/>
          <w:szCs w:val="17"/>
          <w:color w:val="auto"/>
        </w:rPr>
        <w:t>During the three and six months ended June 30, 2025, we borrowed an additional principal amount of $847 million and $1.557 billion, respectively, under the EchoStar 2024 Intercompany Loan. The EchoStar 2024 Intercompany Loan matures on November 30, 2030. Interest accrues at an annual rate of 11.50% and is payable monthly.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 Due 2025</w:t>
      </w:r>
    </w:p>
    <w:p>
      <w:pPr>
        <w:spacing w:after="0" w:line="19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During the three and six months ended June 30, 2025, we redeemed approximately $166 million and $333 million, respectively, of our Term Loan due 2025. The remaining balance of approximately $167 million is paid monthly and the final payment is due September 30, 2025. We expect to fund this obligation from our current restricted and unrestricted cash, cash equivalents and marketable investment securities balances on hand and/or projected future cash flows.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and Restrictions Related to our Long-Term Debt</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subject to the covenants and restrictions set forth in the indentures related to our long-term debt. 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w:t>
      </w:r>
    </w:p>
    <w:p>
      <w:pPr>
        <w:spacing w:after="0" w:line="169"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w:t>
      </w:r>
    </w:p>
    <w:p>
      <w:pPr>
        <w:spacing w:after="0" w:line="163"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As of the date of filing of this Quarterly Report on Form 10-Q, we and DISH DBS were in compliance with the covenants and restrictions related to our respective long-term debt.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revenue” consists principally of Pay-TV and Wireless subscriber revenue.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amounts included in “Service revenue” are not recurring on a monthly basis.</w:t>
      </w:r>
    </w:p>
    <w:p>
      <w:pPr>
        <w:spacing w:after="0" w:line="140"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b w:val="1"/>
          <w:bCs w:val="1"/>
          <w:i w:val="1"/>
          <w:iCs w:val="1"/>
          <w:color w:val="auto"/>
        </w:rPr>
        <w:t>Equipment sales and 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sales and other revenue” principally includes the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the non-subsidized sales of Pay-TV equipment and the licensing of certain intellectual property.</w:t>
      </w:r>
    </w:p>
    <w:p>
      <w:pPr>
        <w:spacing w:after="0" w:line="155"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and costs of Wireless services (including costs incurred under the MNSA and NSA). Beginning on January 1, 2024, “Cost of services” includes certain direct costs related to our 5G Network deployment, including lease expense on communication towers, transport, cloud services and other costs as a significant portion of our 5G Network was placed into service.</w:t>
      </w:r>
    </w:p>
    <w:p>
      <w:pPr>
        <w:spacing w:after="0" w:line="163" w:lineRule="exact"/>
        <w:rPr>
          <w:sz w:val="20"/>
          <w:szCs w:val="20"/>
          <w:color w:val="auto"/>
        </w:rPr>
      </w:pPr>
    </w:p>
    <w:p>
      <w:pPr>
        <w:ind w:left="60" w:right="219"/>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Condensed Consolidated Statements of Operations and Comprehensive Income (Loss).</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the sale of businesses or business assets gains and losses, foreign currency transaction gains and losses, debt extinguishment gains and losses, and equity in earnings and losses of our affiliates.</w:t>
      </w:r>
    </w:p>
    <w:p>
      <w:pPr>
        <w:spacing w:after="0" w:line="152" w:lineRule="exact"/>
        <w:rPr>
          <w:sz w:val="20"/>
          <w:szCs w:val="20"/>
          <w:color w:val="auto"/>
        </w:rPr>
      </w:pPr>
    </w:p>
    <w:p>
      <w:pPr>
        <w:ind w:left="60" w:right="599"/>
        <w:spacing w:after="0" w:line="237"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(loss)” in our discussion of “Results of Operations”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01" w:lineRule="exact"/>
        <w:rPr>
          <w:sz w:val="20"/>
          <w:szCs w:val="20"/>
          <w:color w:val="auto"/>
        </w:rPr>
      </w:pPr>
    </w:p>
    <w:p>
      <w:pPr>
        <w:jc w:val="both"/>
        <w:ind w:left="60" w:right="139"/>
        <w:spacing w:after="0" w:line="244"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63" w:lineRule="exact"/>
        <w:rPr>
          <w:sz w:val="20"/>
          <w:szCs w:val="20"/>
          <w:color w:val="auto"/>
        </w:rPr>
      </w:pPr>
    </w:p>
    <w:p>
      <w:pPr>
        <w:ind w:left="60" w:right="259" w:hanging="12"/>
        <w:spacing w:after="0" w:line="247" w:lineRule="auto"/>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 our 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p>
    <w:p>
      <w:pPr>
        <w:spacing w:after="0" w:line="14" w:lineRule="exact"/>
        <w:rPr>
          <w:sz w:val="20"/>
          <w:szCs w:val="20"/>
          <w:color w:val="auto"/>
        </w:rPr>
      </w:pPr>
    </w:p>
    <w:p>
      <w:pPr>
        <w:ind w:left="60" w:right="859"/>
        <w:spacing w:after="0" w:line="237" w:lineRule="auto"/>
        <w:rPr>
          <w:sz w:val="20"/>
          <w:szCs w:val="20"/>
          <w:color w:val="auto"/>
        </w:rPr>
      </w:pP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81"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172"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w:t>
      </w:r>
    </w:p>
    <w:p>
      <w:pPr>
        <w:spacing w:after="0" w:line="165"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47" w:lineRule="exact"/>
        <w:rPr>
          <w:sz w:val="20"/>
          <w:szCs w:val="20"/>
          <w:color w:val="auto"/>
        </w:rPr>
      </w:pPr>
    </w:p>
    <w:p>
      <w:pPr>
        <w:ind w:left="60" w:right="499"/>
        <w:spacing w:after="0" w:line="237"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w:t>
      </w:r>
    </w:p>
    <w:p>
      <w:pPr>
        <w:ind w:left="60"/>
        <w:spacing w:after="0" w:line="235" w:lineRule="auto"/>
        <w:rPr>
          <w:sz w:val="20"/>
          <w:szCs w:val="20"/>
          <w:color w:val="auto"/>
        </w:rPr>
      </w:pPr>
      <w:r>
        <w:rPr>
          <w:rFonts w:ascii="Arial" w:cs="Arial" w:eastAsia="Arial" w:hAnsi="Arial"/>
          <w:sz w:val="18"/>
          <w:szCs w:val="18"/>
          <w:color w:val="auto"/>
        </w:rPr>
        <w:t>subscriber acquisition costs per new DISH TV subscriber activation,” or DISH TV SAC, and we believe</w:t>
      </w:r>
    </w:p>
    <w:p>
      <w:pPr>
        <w:spacing w:after="0" w:line="1" w:lineRule="exact"/>
        <w:rPr>
          <w:sz w:val="20"/>
          <w:szCs w:val="20"/>
          <w:color w:val="auto"/>
        </w:rPr>
      </w:pPr>
    </w:p>
    <w:p>
      <w:pPr>
        <w:ind w:left="60" w:right="139"/>
        <w:spacing w:after="0" w:line="226" w:lineRule="auto"/>
        <w:rPr>
          <w:sz w:val="20"/>
          <w:szCs w:val="20"/>
          <w:color w:val="auto"/>
        </w:rPr>
      </w:pPr>
      <w:r>
        <w:rPr>
          <w:rFonts w:ascii="Arial" w:cs="Arial" w:eastAsia="Arial" w:hAnsi="Arial"/>
          <w:sz w:val="18"/>
          <w:szCs w:val="18"/>
          <w:color w:val="auto"/>
        </w:rPr>
        <w:t>presentations of pay-TV SAC may not be calculated consistently by different companies in the same or similar businesses. Our DISH TV SAC is calculated using all costs of acquiring DISH TV subscribers (e.g., subsidized</w:t>
      </w:r>
    </w:p>
    <w:p>
      <w:pPr>
        <w:ind w:left="60"/>
        <w:spacing w:after="0" w:line="236" w:lineRule="auto"/>
        <w:rPr>
          <w:sz w:val="20"/>
          <w:szCs w:val="20"/>
          <w:color w:val="auto"/>
        </w:rPr>
      </w:pPr>
      <w:r>
        <w:rPr>
          <w:rFonts w:ascii="Arial" w:cs="Arial" w:eastAsia="Arial" w:hAnsi="Arial"/>
          <w:sz w:val="18"/>
          <w:szCs w:val="18"/>
          <w:color w:val="auto"/>
        </w:rPr>
        <w:t>equipment, advertising, installation, commissions and direct sales, etc.) which are included in “Selling, general</w:t>
      </w:r>
    </w:p>
    <w:p>
      <w:pPr>
        <w:spacing w:after="0" w:line="1" w:lineRule="exact"/>
        <w:rPr>
          <w:sz w:val="20"/>
          <w:szCs w:val="20"/>
          <w:color w:val="auto"/>
        </w:rPr>
      </w:pPr>
    </w:p>
    <w:p>
      <w:pPr>
        <w:ind w:left="60" w:right="179"/>
        <w:spacing w:after="0"/>
        <w:rPr>
          <w:sz w:val="20"/>
          <w:szCs w:val="20"/>
          <w:color w:val="auto"/>
        </w:rPr>
      </w:pPr>
      <w:r>
        <w:rPr>
          <w:rFonts w:ascii="Arial" w:cs="Arial" w:eastAsia="Arial" w:hAnsi="Arial"/>
          <w:sz w:val="17"/>
          <w:szCs w:val="17"/>
          <w:color w:val="auto"/>
        </w:rPr>
        <w:t>and administrative expenses,” plus capitalized payments made under certain sales incentive programs and the value of equipment capitalized under our lease program for new DISH TV subscribers, divided by gross new</w:t>
      </w:r>
    </w:p>
    <w:p>
      <w:pPr>
        <w:spacing w:after="0" w:line="1"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DISH TV subscriber activations. We include all new DISH TV subscribers in our calculation, including DISH TV subscribers added with little or no subscriber acquisition costs.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139" w:hanging="12"/>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customers obtained through direct sales, independent third-party retailers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spacing w:after="0" w:line="165" w:lineRule="exact"/>
        <w:rPr>
          <w:sz w:val="20"/>
          <w:szCs w:val="20"/>
          <w:color w:val="auto"/>
        </w:rPr>
      </w:pPr>
    </w:p>
    <w:p>
      <w:pPr>
        <w:ind w:left="60" w:right="139" w:hanging="12"/>
        <w:spacing w:after="0" w:line="238" w:lineRule="auto"/>
        <w:rPr>
          <w:sz w:val="20"/>
          <w:szCs w:val="20"/>
          <w:color w:val="auto"/>
        </w:rPr>
      </w:pPr>
      <w:r>
        <w:rPr>
          <w:rFonts w:ascii="Arial" w:cs="Arial" w:eastAsia="Arial" w:hAnsi="Arial"/>
          <w:sz w:val="18"/>
          <w:szCs w:val="18"/>
          <w:b w:val="1"/>
          <w:bCs w:val="1"/>
          <w:i w:val="1"/>
          <w:iCs w:val="1"/>
          <w:color w:val="auto"/>
        </w:rPr>
        <w:t xml:space="preserve">Government subsidized wireless subscribers and other wireless subscribers (“Government subsidized subscribers”). </w:t>
      </w:r>
      <w:r>
        <w:rPr>
          <w:rFonts w:ascii="Arial" w:cs="Arial" w:eastAsia="Arial" w:hAnsi="Arial"/>
          <w:sz w:val="18"/>
          <w:szCs w:val="18"/>
          <w:color w:val="auto"/>
        </w:rPr>
        <w:t>Our Government subsidized subscribers have different subscriber economics than our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or participated in government subsidized programs, including the ACP program and Lifeline program, defined below, and other subscribers acquired under the Gen Mobile brand. The Affordable Connectivity Program (“ACP”) was a federal program offering broadband services and devices discounts to help low-income individuals that meet certain eligibility criteria. The ACP program funding concluded on June 1, 2024. The Lifeline Program is a federal program offering broadband services discounts to help low-income individuals that meet certain eligibility criteria. Certain states also offer a separate Lifeline program.</w:t>
      </w:r>
    </w:p>
    <w:p>
      <w:pPr>
        <w:spacing w:after="0" w:line="170"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b w:val="1"/>
          <w:bCs w:val="1"/>
          <w:i w:val="1"/>
          <w:iCs w:val="1"/>
          <w:color w:val="auto"/>
        </w:rPr>
        <w:t xml:space="preserve">Wireless average monthly revenue per subscriber (“Wireless ARPU”).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spacing w:after="0" w:line="154" w:lineRule="exact"/>
        <w:rPr>
          <w:sz w:val="20"/>
          <w:szCs w:val="20"/>
          <w:color w:val="auto"/>
        </w:rPr>
      </w:pPr>
    </w:p>
    <w:p>
      <w:pPr>
        <w:ind w:left="60" w:right="59" w:hanging="12"/>
        <w:spacing w:after="0" w:line="239" w:lineRule="auto"/>
        <w:rPr>
          <w:sz w:val="20"/>
          <w:szCs w:val="20"/>
          <w:color w:val="auto"/>
        </w:rPr>
      </w:pPr>
      <w:r>
        <w:rPr>
          <w:rFonts w:ascii="Arial" w:cs="Arial" w:eastAsia="Arial" w:hAnsi="Arial"/>
          <w:sz w:val="18"/>
          <w:szCs w:val="18"/>
          <w:b w:val="1"/>
          <w:bCs w:val="1"/>
          <w:i w:val="1"/>
          <w:iCs w:val="1"/>
          <w:color w:val="auto"/>
        </w:rPr>
        <w:t xml:space="preserve">Wireless average monthly subscriber churn rate (“Wireless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We currently operate two primary business segments: (1) Pay-TV and (2) Wireless. Revenue and operating income (loss) by segment are shown in the table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240" w:type="dxa"/>
            <w:vAlign w:val="bottom"/>
          </w:tcPr>
          <w:p>
            <w:pPr>
              <w:spacing w:after="0"/>
              <w:rPr>
                <w:sz w:val="18"/>
                <w:szCs w:val="18"/>
                <w:color w:val="auto"/>
              </w:rPr>
            </w:pPr>
          </w:p>
        </w:tc>
        <w:tc>
          <w:tcPr>
            <w:tcW w:w="1440" w:type="dxa"/>
            <w:vAlign w:val="bottom"/>
            <w:gridSpan w:val="4"/>
          </w:tcPr>
          <w:p>
            <w:pPr>
              <w:ind w:left="640"/>
              <w:spacing w:after="0"/>
              <w:rPr>
                <w:sz w:val="20"/>
                <w:szCs w:val="20"/>
                <w:color w:val="auto"/>
              </w:rPr>
            </w:pPr>
            <w:r>
              <w:rPr>
                <w:rFonts w:ascii="Arial" w:cs="Arial" w:eastAsia="Arial" w:hAnsi="Arial"/>
                <w:sz w:val="16"/>
                <w:szCs w:val="16"/>
                <w:b w:val="1"/>
                <w:bCs w:val="1"/>
                <w:color w:val="auto"/>
              </w:rPr>
              <w:t>Variance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Amount</w:t>
            </w:r>
          </w:p>
        </w:tc>
        <w:tc>
          <w:tcPr>
            <w:tcW w:w="7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9"/>
              </w:rPr>
              <w:t>(In thousands)</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2,462,249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2,676,284</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(214,035)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6"/>
                <w:szCs w:val="16"/>
                <w:color w:val="auto"/>
              </w:rPr>
              <w:t>Wireless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934,552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892,106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42,446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(120)</w:t>
            </w:r>
          </w:p>
        </w:tc>
        <w:tc>
          <w:tcPr>
            <w:tcW w:w="24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(1,139)</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3,395,542</w:t>
            </w:r>
          </w:p>
        </w:tc>
        <w:tc>
          <w:tcPr>
            <w:tcW w:w="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3,568,270</w:t>
            </w:r>
          </w:p>
        </w:tc>
        <w:tc>
          <w:tcPr>
            <w:tcW w:w="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(172,728)</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595,552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667,797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(72,245)</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6"/>
                <w:szCs w:val="16"/>
                <w:color w:val="auto"/>
              </w:rPr>
              <w:t>Wireless</w:t>
            </w:r>
          </w:p>
        </w:tc>
        <w:tc>
          <w:tcPr>
            <w:tcW w:w="18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(768,801)</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(699,568)</w:t>
            </w:r>
          </w:p>
        </w:tc>
        <w:tc>
          <w:tcPr>
            <w:tcW w:w="24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(69,233)</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40" w:type="dxa"/>
            <w:vAlign w:val="bottom"/>
            <w:gridSpan w:val="4"/>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(173,249)</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(31,771)</w:t>
            </w:r>
          </w:p>
        </w:tc>
        <w:tc>
          <w:tcPr>
            <w:tcW w:w="1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(141,478)</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$3.396 billion for the three months ended June 30, 2025,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$173 million or 4.8% compared to the same period in 2024. The net decrease primarily resulted from the decrease in revenue from our Pay-TV segment, partially offset by the increase in revenue from our Wireless segment.</w:t>
      </w:r>
    </w:p>
    <w:p>
      <w:pPr>
        <w:spacing w:after="0" w:line="160" w:lineRule="exact"/>
        <w:rPr>
          <w:sz w:val="20"/>
          <w:szCs w:val="20"/>
          <w:color w:val="auto"/>
        </w:rPr>
      </w:pPr>
    </w:p>
    <w:p>
      <w:pPr>
        <w:ind w:left="60" w:right="179" w:hanging="12"/>
        <w:spacing w:after="0" w:line="247"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$173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an increase in operating loss of $141 million compared to the same period in 2024. This change primarily resulted from an increase in operating loss from our Wireless segment and a decrease in operating income from our Pay-TV segment.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For the Six Months Ended</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9"/>
              </w:rPr>
              <w:t>June 30,</w:t>
            </w:r>
          </w:p>
        </w:tc>
        <w:tc>
          <w:tcPr>
            <w:tcW w:w="300" w:type="dxa"/>
            <w:vAlign w:val="bottom"/>
          </w:tcPr>
          <w:p>
            <w:pPr>
              <w:spacing w:after="0"/>
              <w:rPr>
                <w:sz w:val="18"/>
                <w:szCs w:val="18"/>
                <w:color w:val="auto"/>
              </w:rPr>
            </w:pPr>
          </w:p>
        </w:tc>
        <w:tc>
          <w:tcPr>
            <w:tcW w:w="1400" w:type="dxa"/>
            <w:vAlign w:val="bottom"/>
            <w:gridSpan w:val="3"/>
          </w:tcPr>
          <w:p>
            <w:pPr>
              <w:ind w:left="560"/>
              <w:spacing w:after="0"/>
              <w:rPr>
                <w:sz w:val="20"/>
                <w:szCs w:val="20"/>
                <w:color w:val="auto"/>
              </w:rPr>
            </w:pPr>
            <w:r>
              <w:rPr>
                <w:rFonts w:ascii="Arial" w:cs="Arial" w:eastAsia="Arial" w:hAnsi="Arial"/>
                <w:sz w:val="16"/>
                <w:szCs w:val="16"/>
                <w:b w:val="1"/>
                <w:bCs w:val="1"/>
                <w:color w:val="auto"/>
              </w:rPr>
              <w:t>Variance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6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3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5,000,976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5,402,862</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(401,886)</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6"/>
                <w:szCs w:val="16"/>
                <w:color w:val="auto"/>
              </w:rPr>
              <w:t>Wireless</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1,907,100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1,805,536</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101,564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(2,174)</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(1,935)</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6,905,902</w:t>
            </w: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7,208,159</w:t>
            </w:r>
          </w:p>
        </w:tc>
        <w:tc>
          <w:tcPr>
            <w:tcW w:w="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(302,257)</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1,248,982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1,338,040</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(89,058)</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6"/>
                <w:szCs w:val="16"/>
                <w:color w:val="auto"/>
              </w:rPr>
              <w:t>Wireless</w:t>
            </w:r>
          </w:p>
        </w:tc>
        <w:tc>
          <w:tcPr>
            <w:tcW w:w="3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(1,487,335)</w:t>
            </w:r>
          </w:p>
        </w:tc>
        <w:tc>
          <w:tcPr>
            <w:tcW w:w="120" w:type="dxa"/>
            <w:vAlign w:val="bottom"/>
          </w:tcPr>
          <w:p>
            <w:pPr>
              <w:spacing w:after="0"/>
              <w:rPr>
                <w:sz w:val="16"/>
                <w:szCs w:val="16"/>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auto"/>
              </w:rPr>
              <w:t>(1,344,019)</w:t>
            </w:r>
          </w:p>
        </w:tc>
        <w:tc>
          <w:tcPr>
            <w:tcW w:w="3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(143,316)</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(187)</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(238,353)</w:t>
            </w: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(5,792)</w:t>
            </w:r>
          </w:p>
        </w:tc>
        <w:tc>
          <w:tcPr>
            <w:tcW w:w="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(232,561)</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hanging="330"/>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$6.906 billion for the six months ended June 30, 2025,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$302 million or 4.2% compared to the same period in 2024. The net decrease primarily resulted from the decrease in revenue from our Pay-TV segment, partially offset by the increase in revenue from our Wireless segment.</w:t>
      </w:r>
    </w:p>
    <w:p>
      <w:pPr>
        <w:spacing w:after="0" w:line="160" w:lineRule="exact"/>
        <w:rPr>
          <w:sz w:val="20"/>
          <w:szCs w:val="20"/>
          <w:color w:val="auto"/>
        </w:rPr>
      </w:pPr>
    </w:p>
    <w:p>
      <w:pPr>
        <w:ind w:left="60" w:right="299" w:hanging="12"/>
        <w:spacing w:after="0" w:line="247"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$238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an increase in operating loss of $233 million compared to the same period in 2024. This change primarily resulted from an increase in operating loss from our Wireless segment and a decrease in operating income from our Pay-TV segment.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Segment</w:t>
      </w:r>
    </w:p>
    <w:p>
      <w:pPr>
        <w:spacing w:after="0" w:line="26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We offer Pay-TV services under the DISH brand and the SLING brand. As of June 30, 2025, we had 7.108 million Pay-TV subscribers in the United States, including 5.323 million DISH TV subscribers and 1.785 million SLING TV subscribers.</w:t>
      </w:r>
    </w:p>
    <w:p>
      <w:pPr>
        <w:spacing w:after="0" w:line="155"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119" w:hanging="7"/>
        <w:spacing w:after="0" w:line="256" w:lineRule="auto"/>
        <w:rPr>
          <w:sz w:val="20"/>
          <w:szCs w:val="20"/>
          <w:color w:val="auto"/>
        </w:rPr>
      </w:pPr>
      <w:r>
        <w:rPr>
          <w:rFonts w:ascii="Arial" w:cs="Arial" w:eastAsia="Arial" w:hAnsi="Arial"/>
          <w:sz w:val="17"/>
          <w:szCs w:val="17"/>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54" w:lineRule="exact"/>
        <w:rPr>
          <w:sz w:val="20"/>
          <w:szCs w:val="20"/>
          <w:color w:val="auto"/>
        </w:rPr>
      </w:pPr>
    </w:p>
    <w:p>
      <w:pPr>
        <w:jc w:val="both"/>
        <w:ind w:left="60" w:right="519" w:hanging="7"/>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119" w:hanging="12"/>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179" w:hanging="12"/>
        <w:spacing w:after="0" w:line="255" w:lineRule="auto"/>
        <w:rPr>
          <w:sz w:val="20"/>
          <w:szCs w:val="20"/>
          <w:color w:val="auto"/>
        </w:rPr>
      </w:pPr>
      <w:r>
        <w:rPr>
          <w:rFonts w:ascii="Arial" w:cs="Arial" w:eastAsia="Arial" w:hAnsi="Arial"/>
          <w:sz w:val="17"/>
          <w:szCs w:val="17"/>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HBO Max, STARZ, Peacock, Fubo, Philo and Tubi and certain bundles of these offerings.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279" w:hanging="7"/>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55"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line="257" w:lineRule="auto"/>
        <w:rPr>
          <w:sz w:val="20"/>
          <w:szCs w:val="20"/>
          <w:color w:val="auto"/>
        </w:rPr>
      </w:pPr>
      <w:r>
        <w:rPr>
          <w:rFonts w:ascii="Arial" w:cs="Arial" w:eastAsia="Arial" w:hAnsi="Arial"/>
          <w:sz w:val="17"/>
          <w:szCs w:val="17"/>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2024 and elsewhere in our public filings. These transactions may affect us adversely by, among other things, making it more difficult for us to obtain access to certain programming networks on nondiscriminatory and fair terms, or at all.</w:t>
      </w:r>
    </w:p>
    <w:p>
      <w:pPr>
        <w:spacing w:after="0" w:line="155"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239" w:hanging="7"/>
        <w:spacing w:after="0" w:line="245" w:lineRule="auto"/>
        <w:rPr>
          <w:sz w:val="20"/>
          <w:szCs w:val="20"/>
          <w:color w:val="auto"/>
        </w:rPr>
      </w:pPr>
      <w:r>
        <w:rPr>
          <w:rFonts w:ascii="Arial" w:cs="Arial" w:eastAsia="Arial" w:hAnsi="Arial"/>
          <w:sz w:val="18"/>
          <w:szCs w:val="18"/>
          <w:color w:val="auto"/>
        </w:rPr>
        <w:t>Our ability to compete successfully will depend, among other things, on our ability to continue to obtain desirable programming and deliver it to our subscribers at competitive prices. Programming costs represent a</w:t>
      </w:r>
    </w:p>
    <w:p>
      <w:pPr>
        <w:ind w:left="60" w:right="59"/>
        <w:spacing w:after="0" w:line="252" w:lineRule="auto"/>
        <w:rPr>
          <w:sz w:val="20"/>
          <w:szCs w:val="20"/>
          <w:color w:val="auto"/>
        </w:rPr>
      </w:pPr>
      <w:r>
        <w:rPr>
          <w:rFonts w:ascii="Arial" w:cs="Arial" w:eastAsia="Arial" w:hAnsi="Arial"/>
          <w:sz w:val="17"/>
          <w:szCs w:val="17"/>
          <w:color w:val="auto"/>
        </w:rPr>
        <w:t>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7"/>
          </w:tcPr>
          <w:p>
            <w:pPr>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Variance</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54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7"/>
              </w:rPr>
              <w:t>(In thousands)</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2,446,844</w:t>
            </w:r>
          </w:p>
        </w:tc>
        <w:tc>
          <w:tcPr>
            <w:tcW w:w="180" w:type="dxa"/>
            <w:vAlign w:val="bottom"/>
          </w:tcPr>
          <w:p>
            <w:pPr>
              <w:spacing w:after="0"/>
              <w:rPr>
                <w:sz w:val="16"/>
                <w:szCs w:val="16"/>
                <w:color w:val="auto"/>
              </w:rPr>
            </w:pPr>
          </w:p>
        </w:tc>
        <w:tc>
          <w:tcPr>
            <w:tcW w:w="2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2,658,381</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(211,537)</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15,405</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(2,498)</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2,462,249</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2,676,284</w:t>
            </w: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(214,035)</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1,548,971</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1,638,683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(89,712)</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6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63.3 %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61.6 %</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9,446</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(8,391)</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240,455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266,718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(26,263)</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9.8 %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10.0 %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67,825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85,249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(17,424)</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1,866,697</w:t>
            </w: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2,008,487</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(141,790)</w:t>
            </w: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595,552</w:t>
            </w:r>
          </w:p>
        </w:tc>
        <w:tc>
          <w:tcPr>
            <w:tcW w:w="1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667,797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(72,245)</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7.108</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8.074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(0.966)</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(0.753)</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(0.213)</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(0.261)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(0.104)</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(0.157)</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(0.152)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(0.182)</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0.030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(0.109)</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(0.187)</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Pay-TV ARPU</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111.74</w:t>
            </w:r>
          </w:p>
        </w:tc>
        <w:tc>
          <w:tcPr>
            <w:tcW w:w="180" w:type="dxa"/>
            <w:vAlign w:val="bottom"/>
          </w:tcPr>
          <w:p>
            <w:pPr>
              <w:spacing w:after="0"/>
              <w:rPr>
                <w:sz w:val="16"/>
                <w:szCs w:val="16"/>
                <w:color w:val="auto"/>
              </w:rPr>
            </w:pPr>
          </w:p>
        </w:tc>
        <w:tc>
          <w:tcPr>
            <w:tcW w:w="2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108.42</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0.057</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(0.019)</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DISH TV churn rate</w:t>
            </w:r>
          </w:p>
        </w:tc>
        <w:tc>
          <w:tcPr>
            <w:tcW w:w="16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(0.10)</w:t>
            </w: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SAC</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Purchases of property and equipment, net of refunds</w:t>
            </w:r>
          </w:p>
        </w:tc>
        <w:tc>
          <w:tcPr>
            <w:tcW w:w="1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78,580</w:t>
            </w:r>
          </w:p>
        </w:tc>
        <w:tc>
          <w:tcPr>
            <w:tcW w:w="180" w:type="dxa"/>
            <w:vAlign w:val="bottom"/>
          </w:tcPr>
          <w:p>
            <w:pPr>
              <w:spacing w:after="0"/>
              <w:rPr>
                <w:sz w:val="15"/>
                <w:szCs w:val="15"/>
                <w:color w:val="auto"/>
              </w:rPr>
            </w:pPr>
          </w:p>
        </w:tc>
        <w:tc>
          <w:tcPr>
            <w:tcW w:w="28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37,877</w:t>
            </w:r>
          </w:p>
        </w:tc>
        <w:tc>
          <w:tcPr>
            <w:tcW w:w="20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40,703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663,377</w:t>
            </w:r>
          </w:p>
        </w:tc>
        <w:tc>
          <w:tcPr>
            <w:tcW w:w="180" w:type="dxa"/>
            <w:vAlign w:val="bottom"/>
          </w:tcPr>
          <w:p>
            <w:pPr>
              <w:spacing w:after="0"/>
              <w:rPr>
                <w:sz w:val="17"/>
                <w:szCs w:val="17"/>
                <w:color w:val="auto"/>
              </w:rPr>
            </w:pPr>
          </w:p>
        </w:tc>
        <w:tc>
          <w:tcPr>
            <w:tcW w:w="2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753,046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(89,669)</w:t>
            </w:r>
          </w:p>
        </w:tc>
        <w:tc>
          <w:tcPr>
            <w:tcW w:w="1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-118745</wp:posOffset>
            </wp:positionV>
            <wp:extent cx="564896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380" w:hanging="330"/>
        <w:spacing w:after="0" w:line="234"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 w:lineRule="exact"/>
        <w:rPr>
          <w:sz w:val="20"/>
          <w:szCs w:val="20"/>
          <w:color w:val="auto"/>
        </w:rPr>
      </w:pPr>
    </w:p>
    <w:p>
      <w:pPr>
        <w:jc w:val="both"/>
        <w:ind w:left="380" w:right="79" w:hanging="330"/>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8"/>
          <w:szCs w:val="18"/>
          <w:color w:val="auto"/>
        </w:rPr>
        <w:t>During the second quarter of 2025, we removed approximately 28,000 subscribers from our period end DISH TV subscriber count representing DISH TV subscribers sold during the three months ended June 30, 2025 as part of the sale of our Fiber business. This removal had no material impact on any other reported subscriber metrics, other than our period end DISH TV subscriber count.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152,000 net DISH TV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compared to the loss of approximately 182,000 net DISH TV subscribers during the same period in 2024. This decrease in net DISH TV subscriber losses primarily resulted from a lower DISH TV churn rate, partially offset by lower gross new DISH TV subscriber activations.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99" w:hanging="12"/>
        <w:spacing w:after="0"/>
        <w:rPr>
          <w:sz w:val="20"/>
          <w:szCs w:val="20"/>
          <w:color w:val="auto"/>
        </w:rPr>
      </w:pPr>
      <w:r>
        <w:rPr>
          <w:rFonts w:ascii="Arial" w:cs="Arial" w:eastAsia="Arial" w:hAnsi="Arial"/>
          <w:sz w:val="18"/>
          <w:szCs w:val="18"/>
          <w:b w:val="1"/>
          <w:bCs w:val="1"/>
          <w:i w:val="1"/>
          <w:iCs w:val="1"/>
          <w:color w:val="auto"/>
        </w:rPr>
        <w:t>SLING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109,000 net SLING TV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2025 compared to the addition of approximately 78,000 net SLING TV subscribers during the same period in 2024. The change in net SLING TV subscribers was primarily related to lower SLING TV subscriber activations due to our emphasis on acquiring higher quality subscribers.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71"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b w:val="1"/>
          <w:bCs w:val="1"/>
          <w:i w:val="1"/>
          <w:iCs w:val="1"/>
          <w:color w:val="auto"/>
        </w:rPr>
        <w:t>DISH TV subscribers, gross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three months ended June 30, 2025, we activated approximately 57,000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gross new DISH TV subscribers compared to approximately 76,000 gross new DISH TV subscribers during the same period in 2024, a decrease of 25.0%. This decrease in our gross new DISH TV subscriber activations was primarily related to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54" w:lineRule="exact"/>
        <w:rPr>
          <w:sz w:val="20"/>
          <w:szCs w:val="20"/>
          <w:color w:val="auto"/>
        </w:rPr>
      </w:pPr>
    </w:p>
    <w:p>
      <w:pPr>
        <w:ind w:left="60" w:right="59" w:hanging="7"/>
        <w:spacing w:after="0" w:line="245"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three months ended June 30, 2025 was 1.29%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1.39% for the same period in 2024. Our DISH TV churn rates for the three months ended June 30, 2025 and</w:t>
      </w:r>
    </w:p>
    <w:p>
      <w:pPr>
        <w:ind w:left="60" w:right="259"/>
        <w:spacing w:after="0" w:line="253" w:lineRule="auto"/>
        <w:rPr>
          <w:sz w:val="20"/>
          <w:szCs w:val="20"/>
          <w:color w:val="auto"/>
        </w:rPr>
      </w:pPr>
      <w:r>
        <w:rPr>
          <w:rFonts w:ascii="Arial" w:cs="Arial" w:eastAsia="Arial" w:hAnsi="Arial"/>
          <w:sz w:val="17"/>
          <w:szCs w:val="17"/>
          <w:color w:val="auto"/>
        </w:rPr>
        <w:t>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6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$2.447 billion for the three months ended June 30, 2025,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$212 million or 8.0% compared to the same period in 2024. The decrease in “Service revenue” compared to the same period in 2024 was primarily related to lower average Pay-TV subscriber base, partially offset by an increase in Pay-TV ARPU, discussed below.</w:t>
      </w:r>
    </w:p>
    <w:p>
      <w:pPr>
        <w:spacing w:after="0" w:line="160" w:lineRule="exact"/>
        <w:rPr>
          <w:sz w:val="20"/>
          <w:szCs w:val="20"/>
          <w:color w:val="auto"/>
        </w:rPr>
      </w:pPr>
    </w:p>
    <w:p>
      <w:pPr>
        <w:jc w:val="both"/>
        <w:ind w:left="60" w:right="119" w:hanging="7"/>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$111.74 during the three months ended June 30, 2025 versus $108.42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2024. The $3.32 or 3.1% increase in Pay-TV ARPU was primarily attributable to the DISH TV and SLING TV programming price increases. The DISH TV and SLING TV programming package price increases were effective in the third and fourth quarter of 2024, respectively.</w:t>
      </w:r>
    </w:p>
    <w:p>
      <w:pPr>
        <w:spacing w:after="0" w:line="160"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$1.549 billion during the three months ended June 30, 2025,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$90 million or 5.5% compared to the same period in 2024. The decrease in “Cost of services” was primarily attributable to a lower average Pay-TV subscriber base, partially offset by higher programming costs per subscriber. Programming costs per subscriber increased during the three months ended June 30, 2025 due to rate increases in certain of our programming contracts, including the renewal of certain contracts at higher rates, particularly for local broadcast channels. “Cost of services” represented 63.3% and 61.6% of “Service revenue” during the three months ended June 30, 2025 and 2024, respectively. This increase primarily related to higher programming costs per subscriber.</w:t>
      </w:r>
    </w:p>
    <w:p>
      <w:pPr>
        <w:spacing w:after="0" w:line="16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63" w:lineRule="exact"/>
        <w:rPr>
          <w:sz w:val="20"/>
          <w:szCs w:val="20"/>
          <w:color w:val="auto"/>
        </w:rPr>
      </w:pPr>
    </w:p>
    <w:p>
      <w:pPr>
        <w:ind w:left="60" w:right="19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2025, a $26 million or 9.8% decrease compared to the same period in 2024.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$68 million during the</w:t>
      </w:r>
    </w:p>
    <w:p>
      <w:pPr>
        <w:spacing w:after="0" w:line="14"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three months ended June 30, 2025, a $17 million or 20.4% decrease compared to the same period in 2024. This change was primarily driven by a decrease in depreciation expense from equipment leased to new and existing DISH TV subscribers and the expiration of our Nimiq 5 finance lease in September 2024.</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299" w:hanging="12"/>
        <w:spacing w:after="0" w:line="244"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$1,150 during the three months ended June 30, 2025 compared to $938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2024, an increase of $212 or 22.6%.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w:t>
      </w:r>
    </w:p>
    <w:p>
      <w:pPr>
        <w:spacing w:after="0" w:line="163"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During the three months ended June 30, 2025 and 2024, the amount of equipment capitalized under our lease program for new DISH TV subscribers totaled $8 million and $6 million, respectively.</w:t>
      </w:r>
    </w:p>
    <w:p>
      <w:pPr>
        <w:spacing w:after="0" w:line="14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63"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Our “DISH TV SAC” may materially increase in the future to the extent that we, among other things, transition to newer technologies, introduce more aggressive promotions, or provide greater equipment subsidies.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For the Six Months Ended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vMerge w:val="restart"/>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8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Variance</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4,971,196</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5,359,560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(388,364)</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29,780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43,302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(13,522)</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5,000,976</w:t>
            </w: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5,402,862</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(401,886)</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3,105,607</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3,303,128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(197,521)</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62.5 %</w:t>
            </w: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61.6 %</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19,118</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34,829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(15,711)</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483,001</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556,214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(73,213)</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9.7 %</w:t>
            </w:r>
          </w:p>
        </w:tc>
        <w:tc>
          <w:tcPr>
            <w:tcW w:w="30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10.3 %</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144,268</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(26,383)</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3,751,994</w:t>
            </w:r>
          </w:p>
        </w:tc>
        <w:tc>
          <w:tcPr>
            <w:tcW w:w="1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4,064,822</w:t>
            </w: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(312,828)</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1,248,982</w:t>
            </w:r>
          </w:p>
        </w:tc>
        <w:tc>
          <w:tcPr>
            <w:tcW w:w="1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1,338,040</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(89,058)</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7.108</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(0.966)</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5.323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6.076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(0.753)</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(0.213)</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(0.642)</w:t>
            </w:r>
          </w:p>
        </w:tc>
        <w:tc>
          <w:tcPr>
            <w:tcW w:w="3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(0.452)</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(0.190)</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(0.335)</w:t>
            </w: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(0.395)</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(0.307)</w:t>
            </w:r>
          </w:p>
        </w:tc>
        <w:tc>
          <w:tcPr>
            <w:tcW w:w="3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(0.057)</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(0.250)</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111.18</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0.103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0.155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(0.052)</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(0.13)</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DISH TV SAC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1,150</w:t>
            </w:r>
          </w:p>
        </w:tc>
        <w:tc>
          <w:tcPr>
            <w:tcW w:w="18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140,968</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65,754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75,214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1,393,250</w:t>
            </w:r>
          </w:p>
        </w:tc>
        <w:tc>
          <w:tcPr>
            <w:tcW w:w="1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1,508,691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(115,441)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80" w:hanging="330"/>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179" w:hanging="330"/>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second quarter of 2025, we removed approximately 28,000 subscribers from our period end DISH TV subscriber count representing DISH TV subscribers sold during the six months ended June 30, 2025 as part of the sale of our Fiber business. This removal had no material impact on any other reported subscriber metrics, other than our period end DISH TV subscriber count.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335,000 net DISH TV subscribers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compared to the loss of approximately 395,000 net DISH TV subscribers during the same period in 2024. This decrease in net DISH TV subscriber losses primarily resulted from a lower DISH TV churn rate, partially offset by lower gross new DISH TV subscriber activations.</w:t>
      </w:r>
    </w:p>
    <w:p>
      <w:pPr>
        <w:spacing w:after="0" w:line="160" w:lineRule="exact"/>
        <w:rPr>
          <w:sz w:val="20"/>
          <w:szCs w:val="20"/>
          <w:color w:val="auto"/>
        </w:rPr>
      </w:pPr>
    </w:p>
    <w:p>
      <w:pPr>
        <w:ind w:left="60" w:right="99" w:hanging="12"/>
        <w:spacing w:after="0"/>
        <w:rPr>
          <w:sz w:val="20"/>
          <w:szCs w:val="20"/>
          <w:color w:val="auto"/>
        </w:rPr>
      </w:pPr>
      <w:r>
        <w:rPr>
          <w:rFonts w:ascii="Arial" w:cs="Arial" w:eastAsia="Arial" w:hAnsi="Arial"/>
          <w:sz w:val="18"/>
          <w:szCs w:val="18"/>
          <w:b w:val="1"/>
          <w:bCs w:val="1"/>
          <w:i w:val="1"/>
          <w:iCs w:val="1"/>
          <w:color w:val="auto"/>
        </w:rPr>
        <w:t>SLING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307,000 net SLING TV subscribers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compared to the loss of approximately 57,000 net SLING TV subscribers during the same period in 2024. The increase in net SLING TV subscriber losses was primarily related to lower SLING TV subscriber activations due to our emphasis on acquiring higher quality subscribers and higher SLING TV subscriber disconnects in 2025.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71" w:lineRule="exact"/>
        <w:rPr>
          <w:sz w:val="20"/>
          <w:szCs w:val="20"/>
          <w:color w:val="auto"/>
        </w:rPr>
      </w:pPr>
    </w:p>
    <w:p>
      <w:pPr>
        <w:ind w:left="60" w:right="219" w:hanging="7"/>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months ended June 30, 2025, we activated approximately 103,000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new DISH TV subscribers compared to approximately 155,000 gross new DISH TV subscribers during the same period in 2024, a decrease of 33.5%.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279" w:hanging="7"/>
        <w:spacing w:after="0" w:line="255" w:lineRule="auto"/>
        <w:rPr>
          <w:sz w:val="20"/>
          <w:szCs w:val="20"/>
          <w:color w:val="auto"/>
        </w:rPr>
      </w:pPr>
      <w:r>
        <w:rPr>
          <w:rFonts w:ascii="Arial" w:cs="Arial" w:eastAsia="Arial" w:hAnsi="Arial"/>
          <w:sz w:val="17"/>
          <w:szCs w:val="17"/>
          <w:b w:val="1"/>
          <w:bCs w:val="1"/>
          <w:i w:val="1"/>
          <w:iCs w:val="1"/>
          <w:color w:val="auto"/>
        </w:rPr>
        <w:t>DISH TV churn rate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DISH TV churn rate for the six months ended June 30, 2025 was 1.33%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1.46% for the same period in 2024. Our DISH TV churn rates for the six months ended June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56" w:lineRule="exact"/>
        <w:rPr>
          <w:sz w:val="20"/>
          <w:szCs w:val="20"/>
          <w:color w:val="auto"/>
        </w:rPr>
      </w:pPr>
    </w:p>
    <w:p>
      <w:pPr>
        <w:ind w:left="60" w:right="15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$4.971 billion for the six months ended June 30, 2025,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$388 million or 7.2% compared to the same period in 2024. The decrease in “Service revenue” compared to the same period in 2024 was primarily related to lower average Pay-TV subscriber base, partially offset by an increase in Pay-TV ARPU, discussed below.</w:t>
      </w:r>
    </w:p>
    <w:p>
      <w:pPr>
        <w:spacing w:after="0" w:line="160"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$111.18 during the six months ended June 30, 2025 versus $107.89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2024. The $3.29 or 3.0% increase in Pay-TV ARPU was primarily attributable to the DISH TV and SLING TV programming price increases. The DISH TV and SLING TV programming package price increases were effective in the third and fourth quarter of 2024, respectively.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79" w:hanging="7"/>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$3.106 billion during the six months ended June 30, 2025,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$198 million or 6.0% compared to the same period in 2024. The decrease in “Cost of services” was primarily attributable to a lower average Pay-TV subscriber base, partially offset by higher programming costs per subscriber. Programming costs per subscriber increased during the six months ended June 30, 2025 due to rate increases in certain of our programming contracts, including the renewal of certain contracts at higher rates, particularly for local broadcast channels. “Cost of services” represented 62.5% and 61.6% of “Service revenue” during the six months ended June 30, 2025 and 2024, respectively. This increase primarily related to higher programming costs per subscriber.</w:t>
      </w:r>
    </w:p>
    <w:p>
      <w:pPr>
        <w:spacing w:after="0" w:line="167" w:lineRule="exact"/>
        <w:rPr>
          <w:sz w:val="20"/>
          <w:szCs w:val="20"/>
          <w:color w:val="auto"/>
        </w:rPr>
      </w:pPr>
    </w:p>
    <w:p>
      <w:pPr>
        <w:ind w:left="60" w:right="79" w:hanging="7"/>
        <w:spacing w:after="0" w:line="26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totaled $483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during the six months ended June 30, 2025, a $73 million or 13.2% decrease compared to the same period in 2024. This change was primarily driven by a decrease in subscriber acquisition costs resulting from lower marketing expenditures and lower gross new DISH TV subscriber activations and a decrease in personnel costs.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$144 million during the</w:t>
      </w:r>
    </w:p>
    <w:p>
      <w:pPr>
        <w:spacing w:after="0" w:line="14" w:lineRule="exact"/>
        <w:rPr>
          <w:sz w:val="20"/>
          <w:szCs w:val="20"/>
          <w:color w:val="auto"/>
        </w:rPr>
      </w:pPr>
    </w:p>
    <w:p>
      <w:pPr>
        <w:jc w:val="both"/>
        <w:ind w:left="60" w:right="419"/>
        <w:spacing w:after="0" w:line="242" w:lineRule="auto"/>
        <w:rPr>
          <w:sz w:val="20"/>
          <w:szCs w:val="20"/>
          <w:color w:val="auto"/>
        </w:rPr>
      </w:pPr>
      <w:r>
        <w:rPr>
          <w:rFonts w:ascii="Arial" w:cs="Arial" w:eastAsia="Arial" w:hAnsi="Arial"/>
          <w:sz w:val="18"/>
          <w:szCs w:val="18"/>
          <w:color w:val="auto"/>
        </w:rPr>
        <w:t>six months ended June 30, 2025, a $26 million or 15.5% decrease compared to the same period in 2024. This change was primarily driven by a decrease in depreciation expense from equipment leased to new and existing DISH TV subscribers and the expiration of our Nimiq 5 finance lease in September 2024.</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$1,150 during the six months ended June 30, 2025 compared to $997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2024, an increase of $153 or 15.3%.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 While our marketing expenditures decreased during the six months ended June 30, 2025 compared to the same period in 2024, our gross new DISH TV subscriber activations decreased at a higher rate, resulting in an increase in advertising costs per subscriber.</w:t>
      </w:r>
    </w:p>
    <w:p>
      <w:pPr>
        <w:spacing w:after="0" w:line="171"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During the six months ended June 30, 2025 and 2024, the amount of equipment capitalized under our lease program for new DISH TV subscribers totaled $15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Wireless Segment</w:t>
      </w:r>
    </w:p>
    <w:p>
      <w:pPr>
        <w:spacing w:after="0" w:line="19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w:t>
      </w:r>
    </w:p>
    <w:p>
      <w:pPr>
        <w:spacing w:after="0" w:line="16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 xml:space="preserve">Our Wireless segment provides Wireless communication services and products. We currently offer our Wireless services for </w:t>
      </w:r>
      <w:r>
        <w:rPr>
          <w:rFonts w:ascii="Arial" w:cs="Arial" w:eastAsia="Arial" w:hAnsi="Arial"/>
          <w:sz w:val="18"/>
          <w:szCs w:val="18"/>
          <w:color w:val="0A0A0A"/>
        </w:rPr>
        <w:t>5G VoNR</w:t>
      </w:r>
      <w:r>
        <w:rPr>
          <w:rFonts w:ascii="Arial" w:cs="Arial" w:eastAsia="Arial" w:hAnsi="Arial"/>
          <w:sz w:val="18"/>
          <w:szCs w:val="18"/>
          <w:color w:val="auto"/>
        </w:rPr>
        <w:t xml:space="preserve"> to over 223 million Americans and for 5G broadband service to over 269 million Americans, as well as a competitive portfolio of wireless devices. We offer nationwide Wireless services to subscribers primarily under our Boost Mobile and Gen Mobile brands.</w:t>
      </w:r>
    </w:p>
    <w:p>
      <w:pPr>
        <w:spacing w:after="0" w:line="16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We are currently operating primarily as an MVNO as we continue to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5G </w:t>
      </w:r>
      <w:r>
        <w:rPr>
          <w:rFonts w:ascii="Arial" w:cs="Arial" w:eastAsia="Arial" w:hAnsi="Arial"/>
          <w:sz w:val="18"/>
          <w:szCs w:val="18"/>
          <w:color w:val="0A0A0A"/>
        </w:rPr>
        <w:t>VoNR</w:t>
      </w:r>
      <w:r>
        <w:rPr>
          <w:rFonts w:ascii="Arial" w:cs="Arial" w:eastAsia="Arial" w:hAnsi="Arial"/>
          <w:sz w:val="18"/>
          <w:szCs w:val="18"/>
          <w:color w:val="auto"/>
        </w:rPr>
        <w:t xml:space="preserve">. We currently offer a broad range of premium wireless devices on our 5G Network, including the Apple iPhone 15 and newer generation iPhones, as well as a wide selection of Samsung, Motorola and other premium devices and accessories. We have deployed </w:t>
      </w:r>
      <w:r>
        <w:rPr>
          <w:rFonts w:ascii="Arial" w:cs="Arial" w:eastAsia="Arial" w:hAnsi="Arial"/>
          <w:sz w:val="18"/>
          <w:szCs w:val="18"/>
          <w:color w:val="0A0A0A"/>
        </w:rPr>
        <w:t>5G VoNR covering over 223 million Americans.</w:t>
      </w:r>
      <w:r>
        <w:rPr>
          <w:rFonts w:ascii="Arial" w:cs="Arial" w:eastAsia="Arial" w:hAnsi="Arial"/>
          <w:sz w:val="18"/>
          <w:szCs w:val="18"/>
          <w:color w:val="auto"/>
        </w:rPr>
        <w:t xml:space="preserve"> Within our MVNO operations, today we depend in part on T-Mobile and AT&amp;T to provide us with network services under the MNSA and NSA, respectively. As of June 30, 2025, we had 7.357 million Wireless subscribers.</w:t>
      </w:r>
    </w:p>
    <w:p>
      <w:pPr>
        <w:spacing w:after="0" w:line="17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international calling and text plans, and device financing arrangements for certain qualified subscribers.</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i w:val="1"/>
          <w:iCs w:val="1"/>
          <w:color w:val="auto"/>
        </w:rPr>
        <w:t xml:space="preserve">ACP Subscribers. </w:t>
      </w:r>
      <w:r>
        <w:rPr>
          <w:rFonts w:ascii="Arial" w:cs="Arial" w:eastAsia="Arial" w:hAnsi="Arial"/>
          <w:sz w:val="18"/>
          <w:szCs w:val="18"/>
          <w:color w:val="auto"/>
        </w:rPr>
        <w:t>Historically, a portion of our Wireless subscriber base and revenue was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who received benefits under the ACP program. The FCC began taking steps to wind down the ACP program and stopped accepting new applications and enrollments on February 7, 2024. Households enrolled in the ACP program continued to receive the benefit on their service through April 2024. In May 2024, households received a partial benefit and on June 1, 2024 the ACP program funding concluded and households no longer received their benefit. Although we implemented plans to retain and/or migrate these subscribers to lower priced service plans, these subscribers began deactivating in the second and third quarters of 2024. As of December 31, 2024, we had no Wireless ACP subscribers. Generally, ACP subscribers have lower Wireless ARPU than other Wireless subscribers and as a result, any loss of ACP subscribers had a nominal impact on pre-tax net income.</w:t>
      </w:r>
    </w:p>
    <w:p>
      <w:pPr>
        <w:spacing w:after="0" w:line="16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Wireless Spectrum License Exchange and the Sale and Transfer of Assets to EchoStar. We currently have $ 24 billion of investments related to Wireless spectrum licenses, which does not include $7 billion of capitalized interest related to the carrying value of such licenses. See Note 2, Note 9 and Note 12 in the Notes to our Condensed Consolidated Financial Statements for further information. We continue to commercialize our Wireless spectrum licenses through the completion of our 5G Network. We have committed to the FCC to deploy a facilities-based 5G broadband network capable of serving increasingly larger portions of the U.S. population at different deadlines.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We will need to raise additional capital in the future</w:t>
      </w:r>
      <w:r>
        <w:rPr>
          <w:rFonts w:ascii="Arial" w:cs="Arial" w:eastAsia="Arial" w:hAnsi="Arial"/>
          <w:sz w:val="17"/>
          <w:szCs w:val="17"/>
          <w:color w:val="222222"/>
        </w:rPr>
        <w:t>,</w:t>
      </w:r>
      <w:r>
        <w:rPr>
          <w:rFonts w:ascii="Arial" w:cs="Arial" w:eastAsia="Arial" w:hAnsi="Arial"/>
          <w:sz w:val="17"/>
          <w:szCs w:val="17"/>
          <w:color w:val="auto"/>
        </w:rPr>
        <w:t xml:space="preserv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9 in the Notes to our Condensed Consolidated Financial Statements for further information.</w:t>
      </w:r>
    </w:p>
    <w:p>
      <w:pPr>
        <w:spacing w:after="0" w:line="152" w:lineRule="exact"/>
        <w:rPr>
          <w:sz w:val="20"/>
          <w:szCs w:val="20"/>
          <w:color w:val="auto"/>
        </w:rPr>
      </w:pPr>
    </w:p>
    <w:p>
      <w:pPr>
        <w:ind w:left="60" w:right="119" w:hanging="7"/>
        <w:spacing w:after="0" w:line="254" w:lineRule="auto"/>
        <w:rPr>
          <w:sz w:val="20"/>
          <w:szCs w:val="20"/>
          <w:color w:val="auto"/>
        </w:rPr>
      </w:pPr>
      <w:r>
        <w:rPr>
          <w:rFonts w:ascii="Arial" w:cs="Arial" w:eastAsia="Arial" w:hAnsi="Arial"/>
          <w:sz w:val="17"/>
          <w:szCs w:val="17"/>
          <w:color w:val="auto"/>
        </w:rPr>
        <w:t xml:space="preserve">Our Wireless spectrum licenses are subject to certain interim and final build-out requirements, as well as certain renewal requirements. </w:t>
      </w:r>
      <w:r>
        <w:rPr>
          <w:rFonts w:ascii="Arial" w:cs="Arial" w:eastAsia="Arial" w:hAnsi="Arial"/>
          <w:sz w:val="17"/>
          <w:szCs w:val="17"/>
          <w:color w:val="0A0A0A"/>
        </w:rPr>
        <w:t>In September 2024, the FCC conditionally granted our requests to extend the 5G</w:t>
      </w:r>
      <w:r>
        <w:rPr>
          <w:rFonts w:ascii="Arial" w:cs="Arial" w:eastAsia="Arial" w:hAnsi="Arial"/>
          <w:sz w:val="17"/>
          <w:szCs w:val="17"/>
          <w:color w:val="auto"/>
        </w:rPr>
        <w:t xml:space="preserve"> </w:t>
      </w:r>
      <w:r>
        <w:rPr>
          <w:rFonts w:ascii="Arial" w:cs="Arial" w:eastAsia="Arial" w:hAnsi="Arial"/>
          <w:sz w:val="17"/>
          <w:szCs w:val="17"/>
          <w:color w:val="0A0A0A"/>
        </w:rPr>
        <w:t xml:space="preserve">deployment deadlines for certain of our </w:t>
      </w:r>
      <w:r>
        <w:rPr>
          <w:rFonts w:ascii="Arial" w:cs="Arial" w:eastAsia="Arial" w:hAnsi="Arial"/>
          <w:sz w:val="17"/>
          <w:szCs w:val="17"/>
          <w:color w:val="000000"/>
        </w:rPr>
        <w:t>Wireless spectrum licenses</w:t>
      </w:r>
      <w:r>
        <w:rPr>
          <w:rFonts w:ascii="Arial" w:cs="Arial" w:eastAsia="Arial" w:hAnsi="Arial"/>
          <w:sz w:val="17"/>
          <w:szCs w:val="17"/>
          <w:color w:val="0A0A0A"/>
        </w:rPr>
        <w:t xml:space="preserve"> based on several commitments and </w:t>
      </w:r>
      <w:r>
        <w:rPr>
          <w:rFonts w:ascii="Arial" w:cs="Arial" w:eastAsia="Arial" w:hAnsi="Arial"/>
          <w:sz w:val="17"/>
          <w:szCs w:val="17"/>
          <w:color w:val="222222"/>
        </w:rPr>
        <w:t>in a</w:t>
      </w:r>
      <w:r>
        <w:rPr>
          <w:rFonts w:ascii="Arial" w:cs="Arial" w:eastAsia="Arial" w:hAnsi="Arial"/>
          <w:sz w:val="17"/>
          <w:szCs w:val="17"/>
          <w:color w:val="0A0A0A"/>
        </w:rPr>
        <w:t xml:space="preserve"> </w:t>
      </w:r>
      <w:r>
        <w:rPr>
          <w:rFonts w:ascii="Arial" w:cs="Arial" w:eastAsia="Arial" w:hAnsi="Arial"/>
          <w:sz w:val="17"/>
          <w:szCs w:val="17"/>
          <w:color w:val="222222"/>
        </w:rPr>
        <w:t>January 10, 2025 filing to the FCC</w:t>
      </w:r>
      <w:r>
        <w:rPr>
          <w:rFonts w:ascii="Arial" w:cs="Arial" w:eastAsia="Arial" w:hAnsi="Arial"/>
          <w:sz w:val="17"/>
          <w:szCs w:val="17"/>
          <w:color w:val="0A0A0A"/>
        </w:rPr>
        <w:t>,</w:t>
      </w:r>
      <w:r>
        <w:rPr>
          <w:rFonts w:ascii="Arial" w:cs="Arial" w:eastAsia="Arial" w:hAnsi="Arial"/>
          <w:sz w:val="17"/>
          <w:szCs w:val="17"/>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7"/>
          <w:szCs w:val="17"/>
          <w:color w:val="000000"/>
        </w:rPr>
        <w:t xml:space="preserve">due by December 31, 2024. Thus, pursuant to the Extension Request, the final deployment deadlines for the licenses subject to the Extension Request (listed in Appendix G) shall be extended to December 14, 2026. 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as long as we satisfy the remaining Extension Request commitments. See Note 9 in the Notes to our Condensed Consolidated Financial Statements </w:t>
      </w:r>
      <w:r>
        <w:rPr>
          <w:rFonts w:ascii="Arial" w:cs="Arial" w:eastAsia="Arial" w:hAnsi="Arial"/>
          <w:sz w:val="17"/>
          <w:szCs w:val="17"/>
          <w:color w:val="0A0A0A"/>
        </w:rPr>
        <w:t>for definitions and further details. Also see Note 1 “</w:t>
      </w:r>
      <w:r>
        <w:rPr>
          <w:rFonts w:ascii="Arial" w:cs="Arial" w:eastAsia="Arial" w:hAnsi="Arial"/>
          <w:sz w:val="17"/>
          <w:szCs w:val="17"/>
          <w:i w:val="1"/>
          <w:iCs w:val="1"/>
          <w:color w:val="0A0A0A"/>
        </w:rPr>
        <w:t>Recent Developments</w:t>
      </w:r>
      <w:r>
        <w:rPr>
          <w:rFonts w:ascii="Arial" w:cs="Arial" w:eastAsia="Arial" w:hAnsi="Arial"/>
          <w:sz w:val="17"/>
          <w:szCs w:val="17"/>
          <w:color w:val="0A0A0A"/>
        </w:rPr>
        <w:t>” in</w:t>
      </w:r>
      <w:r>
        <w:rPr>
          <w:rFonts w:ascii="Arial" w:cs="Arial" w:eastAsia="Arial" w:hAnsi="Arial"/>
          <w:sz w:val="17"/>
          <w:szCs w:val="17"/>
          <w:color w:val="000000"/>
        </w:rPr>
        <w:t xml:space="preserve"> </w:t>
      </w:r>
      <w:r>
        <w:rPr>
          <w:rFonts w:ascii="Arial" w:cs="Arial" w:eastAsia="Arial" w:hAnsi="Arial"/>
          <w:sz w:val="17"/>
          <w:szCs w:val="17"/>
          <w:color w:val="0A0A0A"/>
        </w:rPr>
        <w:t>the Notes to our Condensed Consolidated Financial Statements for additional information.</w:t>
      </w:r>
    </w:p>
    <w:p>
      <w:pPr>
        <w:spacing w:after="0" w:line="159" w:lineRule="exact"/>
        <w:rPr>
          <w:sz w:val="20"/>
          <w:szCs w:val="20"/>
          <w:color w:val="auto"/>
        </w:rPr>
      </w:pPr>
    </w:p>
    <w:p>
      <w:pPr>
        <w:ind w:left="60" w:right="99" w:hanging="7"/>
        <w:spacing w:after="0" w:line="254" w:lineRule="auto"/>
        <w:rPr>
          <w:sz w:val="20"/>
          <w:szCs w:val="20"/>
          <w:color w:val="auto"/>
        </w:rPr>
      </w:pPr>
      <w:r>
        <w:rPr>
          <w:rFonts w:ascii="Arial" w:cs="Arial" w:eastAsia="Arial" w:hAnsi="Arial"/>
          <w:sz w:val="17"/>
          <w:szCs w:val="17"/>
          <w:color w:val="auto"/>
        </w:rPr>
        <w:t>We will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will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86" w:lineRule="exact"/>
        <w:rPr>
          <w:sz w:val="20"/>
          <w:szCs w:val="20"/>
          <w:color w:val="auto"/>
        </w:rPr>
      </w:pPr>
    </w:p>
    <w:p>
      <w:pPr>
        <w:ind w:left="60" w:right="79"/>
        <w:spacing w:after="0"/>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Wireless communication services is a mature market with moderate year over year organic</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6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Additional primary competitors to our Wireless segment include, but are not limited to, Metro PCS (owned by T-Mobile), Cricket Wireless (owned by AT&amp;T), Visible (owned by Verizon), Tracfone Wireless (owned by Verizon), Total Wireless (owned by Verizon), Mint Mobile (owned by T-Mobile) and other MVNOs such as Consumer Cellular, Spectrum Mobile and Xfinity Mobile.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vMerge w:val="restart"/>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Variance</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gridSpan w:val="3"/>
          </w:tcPr>
          <w:p>
            <w:pPr>
              <w:jc w:val="right"/>
              <w:ind w:right="59"/>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823,722</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785,135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110,830</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106,971</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934,552</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892,106</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42,446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800,051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744,427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97.1 %</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94.8 %</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282,045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312,983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(30,938)</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300,297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228,403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71,894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32.1 %</w:t>
            </w:r>
          </w:p>
        </w:tc>
        <w:tc>
          <w:tcPr>
            <w:tcW w:w="26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25.6 %</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320,960</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305,861</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1,703,353</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1,591,674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111,679</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19"/>
              <w:spacing w:after="0"/>
              <w:rPr>
                <w:sz w:val="20"/>
                <w:szCs w:val="20"/>
                <w:color w:val="auto"/>
              </w:rPr>
            </w:pPr>
            <w:r>
              <w:rPr>
                <w:rFonts w:ascii="Arial" w:cs="Arial" w:eastAsia="Arial" w:hAnsi="Arial"/>
                <w:sz w:val="16"/>
                <w:szCs w:val="16"/>
                <w:color w:val="auto"/>
              </w:rPr>
              <w:t>(768,801)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(699,568)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(69,233)</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0.634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0.606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0.212</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(0.016)</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Wireless ARPU</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37.40</w:t>
            </w:r>
          </w:p>
        </w:tc>
        <w:tc>
          <w:tcPr>
            <w:tcW w:w="2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35.91</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churn rate</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2.69 </w:t>
            </w:r>
            <w:r>
              <w:rPr>
                <w:rFonts w:ascii="Arial" w:cs="Arial" w:eastAsia="Arial" w:hAnsi="Arial"/>
                <w:sz w:val="16"/>
                <w:szCs w:val="16"/>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2.93 </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(0.24)</w:t>
            </w:r>
            <w:r>
              <w:rPr>
                <w:rFonts w:ascii="Arial" w:cs="Arial" w:eastAsia="Arial" w:hAnsi="Arial"/>
                <w:sz w:val="16"/>
                <w:szCs w:val="16"/>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171,475</w:t>
            </w:r>
          </w:p>
        </w:tc>
        <w:tc>
          <w:tcPr>
            <w:tcW w:w="2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238,896</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(67,421)</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(447,841)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(393,707)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(54,134)</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Includes Government subsidized subscribers.</w:t>
      </w:r>
    </w:p>
    <w:p>
      <w:pPr>
        <w:spacing w:after="0" w:line="180" w:lineRule="exact"/>
        <w:rPr>
          <w:sz w:val="20"/>
          <w:szCs w:val="20"/>
          <w:color w:val="auto"/>
        </w:rPr>
      </w:pPr>
    </w:p>
    <w:p>
      <w:pPr>
        <w:ind w:left="60" w:right="99" w:hanging="12"/>
        <w:spacing w:after="0"/>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added approximately 212,000 net Wireless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2025 compared to the loss of approximately 16,000 net Wireless subscribers during the same period in 2024. The change in net Wireless subscribers primarily resulted from higher net Government subsidized subscribers, a lower Wireless churn rate, and higher gross new Wireless subscriber activations compared to the same period in 2024. In addition, the three months ended June 30, 2024 was negatively impacted by net losses of Government subsidized subscribers as a result of the ACP program funding concluding on June 1, 2024. See “Wireless Segment – ACP Subscribers” for further information.</w:t>
      </w:r>
    </w:p>
    <w:p>
      <w:pPr>
        <w:spacing w:after="0" w:line="171"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June 30, 2025,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634,000 gross new Wireless subscribers compared to approximately 606,000 gross new Wireless subscribers during the same period in 2024, an increase of 4.6%. This increase in gross new Wireless subscribers primarily resulted from higher marketing expenditures, new subscriber offers and promotions and growth in digital channels.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jc w:val="both"/>
        <w:ind w:left="60" w:right="59" w:hanging="7"/>
        <w:spacing w:after="0" w:line="247"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three months ended June 30, 2025 was 2.69%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2.93% for the same period in 2024. Our Wireless churn rates for the three months ended June 30, 2025 and 2024 were positively impacted by our emphasis on acquiring and retaining higher quality subscribers, partially offset by competitive pressures, including deeper wireless device subsidies.</w:t>
      </w:r>
    </w:p>
    <w:p>
      <w:pPr>
        <w:spacing w:after="0" w:line="160"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Service revenue. </w:t>
      </w:r>
      <w:r>
        <w:rPr>
          <w:rFonts w:ascii="Arial" w:cs="Arial" w:eastAsia="Arial" w:hAnsi="Arial"/>
          <w:sz w:val="17"/>
          <w:szCs w:val="17"/>
          <w:color w:val="auto"/>
        </w:rPr>
        <w:t>“Service revenue” totaled $824 million for the three months ended June 30, 2025,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$ 39 million or 4.9% compared to the same period in 2024. The increase in “Service revenue” compared to the same period in 2024 was primarily related to an increase in Wireless ARPU, discussed below.</w:t>
      </w:r>
    </w:p>
    <w:p>
      <w:pPr>
        <w:spacing w:after="0" w:line="138" w:lineRule="exact"/>
        <w:rPr>
          <w:sz w:val="20"/>
          <w:szCs w:val="20"/>
          <w:color w:val="auto"/>
        </w:rPr>
      </w:pPr>
    </w:p>
    <w:p>
      <w:pPr>
        <w:jc w:val="both"/>
        <w:ind w:left="60" w:right="339"/>
        <w:spacing w:after="0" w:line="247"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$37.40 during the three months ended June 30, 2025 versus $35.91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2024. The $1.49 or 4.1% increase in Wireless ARPU was primarily attributable to, among other things, a shift in subscriber plan mix to higher priced service plans and increased sales of value added services.</w:t>
      </w:r>
    </w:p>
    <w:p>
      <w:pPr>
        <w:spacing w:after="0" w:line="16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$ 111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an increase of $4 million or 3.6% compared to the same period in 2024. The increase in “Equipment sales and other revenue” compared to the same period in 2024 was primarily related to an increase in sales of wireless devices with higher revenue per unit, partially offset by a decrease in units shipped. During the three months ended June 30, 2025, we sold a higher percentage of devices that are compatible with our 5G Network and other devices that have a higher revenue per unit.</w:t>
      </w:r>
    </w:p>
    <w:p>
      <w:pPr>
        <w:spacing w:after="0" w:line="165" w:lineRule="exact"/>
        <w:rPr>
          <w:sz w:val="20"/>
          <w:szCs w:val="20"/>
          <w:color w:val="auto"/>
        </w:rPr>
      </w:pPr>
    </w:p>
    <w:p>
      <w:pPr>
        <w:ind w:left="60" w:right="239"/>
        <w:spacing w:after="0" w:line="259"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totaled $800 million for the three months ended June 30, 2025,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$ 56 million or 7.5% compared to the same period in 2024. The increase in “Cost of services” compared to the same period in 2024 was primarily attributable to an increase in lease expense on communication towers, transport and other related costs for our 5G Network, higher monthly dealer incentive costs due to our emphasis on acquiring higher quality, long-term subscribers and higher other variable costs, partially offset by lower network services costs per subscriber as we grow customer traffic on our 5G Network.</w:t>
      </w:r>
    </w:p>
    <w:p>
      <w:pPr>
        <w:spacing w:after="0" w:line="152"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b w:val="1"/>
          <w:bCs w:val="1"/>
          <w:i w:val="1"/>
          <w:iCs w:val="1"/>
          <w:color w:val="auto"/>
        </w:rPr>
        <w:t xml:space="preserve">Cost of sales – equipment and other. </w:t>
      </w:r>
      <w:r>
        <w:rPr>
          <w:rFonts w:ascii="Arial" w:cs="Arial" w:eastAsia="Arial" w:hAnsi="Arial"/>
          <w:sz w:val="17"/>
          <w:szCs w:val="17"/>
          <w:color w:val="auto"/>
        </w:rPr>
        <w:t>“Cost of sales – equipment and other” totaled $282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2025, a decrease of $31 million or 9.9% compared to the same period in 2024. The decrease in “Cost of sales – equipment and other” compared to the same period in 2024 primarily resulted from a decrease in units shipped and higher vendor rebates, partially offset by an increase in sales of wireless devices with higher costs per unit. During the three months ended June 30, 2025, we sold a higher percentage of devices that are compatible with our 5G Network and other devices that have a higher cost per unit.</w:t>
      </w:r>
    </w:p>
    <w:p>
      <w:pPr>
        <w:spacing w:after="0" w:line="15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$300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2025, a $72 million or 31.5% increase compared to the same period in 2024. This increase was primarily driven by higher marketing expenditures and an increase in costs to support the Wireless segment.</w:t>
      </w:r>
    </w:p>
    <w:p>
      <w:pPr>
        <w:spacing w:after="0" w:line="16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$321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 $15 million or 4.9% increase compared to the same period in 2024. This change was primarily driven by an increase in depreciation and amortization expense related to 5G Network assets being placed in service during 2024 and 2025. This increase was partially offset by a decrease in amortization expense from subscriber relationships related to the Boost Mobile acquisition in 2020, which became fully amortized during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rPr>
              <w:t>For the Six Months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left="659"/>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Variance</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1,633,329</w:t>
            </w:r>
          </w:p>
        </w:tc>
        <w:tc>
          <w:tcPr>
            <w:tcW w:w="1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1,589,401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273,771</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216,135</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57,636</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1,907,100</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1,805,536</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101,564</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1,565,384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1,507,460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57,924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95.8 %</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94.8 %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631,290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602,525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28,765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569,563</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452,037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117,526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29.9 %</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25.0 %</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628,198</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587,533</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40,665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3,394,435</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3,149,555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244,880</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(1,487,335)</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(1,344,019)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(143,316)</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0.105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(0.097)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Wireless ARPU</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37.64</w:t>
            </w:r>
          </w:p>
        </w:tc>
        <w:tc>
          <w:tcPr>
            <w:tcW w:w="16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36.30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churn rate</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xml:space="preserve">2.75 </w:t>
            </w:r>
            <w:r>
              <w:rPr>
                <w:rFonts w:ascii="Arial" w:cs="Arial" w:eastAsia="Arial" w:hAnsi="Arial"/>
                <w:sz w:val="16"/>
                <w:szCs w:val="16"/>
                <w:b w:val="1"/>
                <w:bCs w:val="1"/>
                <w:color w:val="auto"/>
              </w:rPr>
              <w: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(0.24)</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335,411</w:t>
            </w:r>
          </w:p>
        </w:tc>
        <w:tc>
          <w:tcPr>
            <w:tcW w:w="16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626,598</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(291,187)</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(859,137)</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(756,486)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(102,651)</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hanging="33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hanging="33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219" w:hanging="12"/>
        <w:spacing w:after="0"/>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added approximately 362,000 net Wireless subscribers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compared to the loss of approximately 97,000 net Wireless subscribers during the same period in 2024. The change in net Wireless subscribers primarily resulted from higher net Government subsidized subscribers, a lower Wireless churn rate, and higher gross new Wireless subscriber activations compared to the same period in 2024. In addition, the six months ended June 30, 2024 was negatively impacted by net losses of Government subsidized subscribers as a result of the ACP program funding concluding on June 1, 2024. See “Wireless Segment – ACP Subscribers” for further information.</w:t>
      </w:r>
    </w:p>
    <w:p>
      <w:pPr>
        <w:spacing w:after="0" w:line="171" w:lineRule="exact"/>
        <w:rPr>
          <w:sz w:val="20"/>
          <w:szCs w:val="20"/>
          <w:color w:val="auto"/>
        </w:rPr>
      </w:pPr>
    </w:p>
    <w:p>
      <w:pPr>
        <w:ind w:left="60" w:right="79" w:hanging="12"/>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months ended June 30, 2025, we activated approximately 1.291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gross new Wireless subscribers compared to approximately 1.186 million gross new Wireless subscribers during the same period in 2024, an increase of 8.9%. This increase in gross new Wireless subscribers primarily resulted from higher marketing expenditures, new subscriber offers and promotions and growth in digital channels.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six months ended June 30, 2025 was 2.75%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2.99% for the same period in 2024. Our Wireless churn rates for the six months ended June 30, 2025 and 2024 were positively impacted by our emphasis on acquiring and retaining higher quality subscribers, partially offset by competitive pressures, including deeper wireless device subsidies.</w:t>
      </w:r>
    </w:p>
    <w:p>
      <w:pPr>
        <w:spacing w:after="0" w:line="160"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$1.633 billion for the six months ended June 30, 2025,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 million or 2.8% compared to the same period in 2024. The increase in “Service revenue” compared to the same period in 2024 was primarily related to an increase in Wireless ARPU, discussed below, partially offset by a lower average Wireless subscriber base.</w:t>
      </w:r>
    </w:p>
    <w:p>
      <w:pPr>
        <w:spacing w:after="0" w:line="160" w:lineRule="exact"/>
        <w:rPr>
          <w:sz w:val="20"/>
          <w:szCs w:val="20"/>
          <w:color w:val="auto"/>
        </w:rPr>
      </w:pPr>
    </w:p>
    <w:p>
      <w:pPr>
        <w:ind w:left="60" w:right="79" w:hanging="12"/>
        <w:spacing w:after="0" w:line="275" w:lineRule="auto"/>
        <w:rPr>
          <w:sz w:val="20"/>
          <w:szCs w:val="20"/>
          <w:color w:val="auto"/>
        </w:rPr>
      </w:pPr>
      <w:r>
        <w:rPr>
          <w:rFonts w:ascii="Arial" w:cs="Arial" w:eastAsia="Arial" w:hAnsi="Arial"/>
          <w:sz w:val="17"/>
          <w:szCs w:val="17"/>
          <w:b w:val="1"/>
          <w:bCs w:val="1"/>
          <w:i w:val="1"/>
          <w:iCs w:val="1"/>
          <w:color w:val="auto"/>
        </w:rPr>
        <w:t xml:space="preserve">Wireless ARPU. </w:t>
      </w:r>
      <w:r>
        <w:rPr>
          <w:rFonts w:ascii="Arial" w:cs="Arial" w:eastAsia="Arial" w:hAnsi="Arial"/>
          <w:sz w:val="17"/>
          <w:szCs w:val="17"/>
          <w:color w:val="auto"/>
        </w:rPr>
        <w:t>Wireless ARPU was $37.64 during the six months ended June 30, 2025 versus $36.30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same period in 2024. The $1.34 or 3.7% increase in Wireless ARPU was primarily attributable to, among other things, a shift in subscriber plan mix to higher priced service plans and increased sales of value added services.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$274 million for the</w:t>
      </w:r>
    </w:p>
    <w:p>
      <w:pPr>
        <w:spacing w:after="0" w:line="14" w:lineRule="exact"/>
        <w:rPr>
          <w:sz w:val="20"/>
          <w:szCs w:val="20"/>
          <w:color w:val="auto"/>
        </w:rPr>
      </w:pPr>
    </w:p>
    <w:p>
      <w:pPr>
        <w:jc w:val="both"/>
        <w:ind w:left="60" w:right="99"/>
        <w:spacing w:after="0" w:line="248" w:lineRule="auto"/>
        <w:rPr>
          <w:sz w:val="20"/>
          <w:szCs w:val="20"/>
          <w:color w:val="auto"/>
        </w:rPr>
      </w:pPr>
      <w:r>
        <w:rPr>
          <w:rFonts w:ascii="Arial" w:cs="Arial" w:eastAsia="Arial" w:hAnsi="Arial"/>
          <w:sz w:val="17"/>
          <w:szCs w:val="17"/>
          <w:color w:val="auto"/>
        </w:rPr>
        <w:t>six months ended June 30, 2025, an increase of $58 million or 26.7% compared to the same period in 2024. The increase in “Equipment sales and other revenue” compared to the same period in 2024 was primarily related to an increase in sales of wireless devices with higher revenue per unit, partially offset by a decrease in units shipped.</w:t>
      </w:r>
    </w:p>
    <w:p>
      <w:pPr>
        <w:spacing w:after="0" w:line="2" w:lineRule="exact"/>
        <w:rPr>
          <w:sz w:val="20"/>
          <w:szCs w:val="20"/>
          <w:color w:val="auto"/>
        </w:rPr>
      </w:pPr>
    </w:p>
    <w:p>
      <w:pPr>
        <w:ind w:left="60" w:right="199"/>
        <w:spacing w:after="0" w:line="250" w:lineRule="auto"/>
        <w:rPr>
          <w:sz w:val="20"/>
          <w:szCs w:val="20"/>
          <w:color w:val="auto"/>
        </w:rPr>
      </w:pPr>
      <w:r>
        <w:rPr>
          <w:rFonts w:ascii="Arial" w:cs="Arial" w:eastAsia="Arial" w:hAnsi="Arial"/>
          <w:sz w:val="18"/>
          <w:szCs w:val="18"/>
          <w:color w:val="auto"/>
        </w:rPr>
        <w:t>During the six months ended June 30, 2025, we sold a higher percentage of devices that are compatible with our 5G Network and other devices that have a higher revenue per unit.</w:t>
      </w:r>
    </w:p>
    <w:p>
      <w:pPr>
        <w:spacing w:after="0" w:line="158" w:lineRule="exact"/>
        <w:rPr>
          <w:sz w:val="20"/>
          <w:szCs w:val="20"/>
          <w:color w:val="auto"/>
        </w:rPr>
      </w:pPr>
    </w:p>
    <w:p>
      <w:pPr>
        <w:ind w:left="60" w:right="139" w:hanging="7"/>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$1.565 billion for the six months ended June 30, 2025,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 million or 3.8% compared to the same period in 2024. The increase in “Cost of services” compared to the same period in 2024 was primarily attributable to an increase in lease expense on communication towers, transport and other related costs for our 5G Network, higher monthly dealer incentive costs due to our emphasis on acquiring higher quality, long-term subscribers and higher other variable costs. These increases were partially offset by a lower average Wireless subscriber base and lower network services costs per subscriber as we grow customer traffic on our 5G Network.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$631 million for the</w:t>
      </w:r>
    </w:p>
    <w:p>
      <w:pPr>
        <w:spacing w:after="0" w:line="1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six months ended June 30, 2025, an increase of $29 million or 4.8% compared to the same period in 2024. The increase in “Cost of sales – equipment and other” compared to the same period in 2024 primarily resulted from an increase in sales of wireless devices with higher costs per unit, partially offset by a decrease in units shipped and higher vendor rebates. During the six months ended June 30, 2025, we sold a higher percentage of devices that are compatible with our 5G Network and other devices that have a higher cost per unit.</w:t>
      </w:r>
    </w:p>
    <w:p>
      <w:pPr>
        <w:spacing w:after="0" w:line="166" w:lineRule="exact"/>
        <w:rPr>
          <w:sz w:val="20"/>
          <w:szCs w:val="20"/>
          <w:color w:val="auto"/>
        </w:rPr>
      </w:pPr>
    </w:p>
    <w:p>
      <w:pPr>
        <w:ind w:left="60" w:right="59" w:hanging="7"/>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$570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2025, a $118 million or 26.0% increase compared to the same period in 2024. This increase was primarily driven by higher marketing expenditures and an increase in costs to support the Wireless segment.</w:t>
      </w:r>
    </w:p>
    <w:p>
      <w:pPr>
        <w:spacing w:after="0" w:line="16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$628 million during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 $41 million or 6.9% increase compared to the same period in 2024. This change was primarily driven by an increase in depreciation and amortization expense related to 5G Network assets being placed in service during 2024 and 2025. This increase was partially offset by a decrease in amortization expense from subscriber relationships related to the Boost Mobile acquisition in 2020, which became fully amortized during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7"/>
          </w:tcPr>
          <w:p>
            <w:pPr>
              <w:jc w:val="right"/>
              <w:ind w:right="34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Variance</w:t>
            </w: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60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w w:val="87"/>
              </w:rPr>
              <w:t>(In thousands)</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(173,249)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(31,771)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(141,478)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15,397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10,514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4,883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(230,249)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(164,561)</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(65,688)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25,698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(64,477)</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90,175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(189,154)</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(218,524)</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29,370</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(362,403)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(250,295)</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(112,108)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89,302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38,471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50,831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24.6 %</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15.4 %</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(273,101)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(211,824)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(61,277)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(28.9)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 noncontrolling</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interests, net of tax</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DISH Network</w:t>
            </w: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(273,125)</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(211,849)</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(61,276)</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$15 million during the three months ended June 30, 2025,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 million compared to the same period in 2024. This increase primarily resulted from higher average cash and marketable investment securities balances during the three months ended June 30, 2025.</w:t>
      </w:r>
    </w:p>
    <w:p>
      <w:pPr>
        <w:spacing w:after="0" w:line="155" w:lineRule="exact"/>
        <w:rPr>
          <w:sz w:val="20"/>
          <w:szCs w:val="20"/>
          <w:color w:val="auto"/>
        </w:rPr>
      </w:pPr>
    </w:p>
    <w:p>
      <w:pPr>
        <w:ind w:left="60" w:right="159" w:hanging="7"/>
        <w:spacing w:after="0"/>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$230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2025, an increase of $66 million compared to the same period in 2024. This increase primarily resulted from interest expense related to debt issuances in the third quarter of 2024 and the EchoStar 2024 Intercompany Loan, partially offset by the redemption of debt that matured in November 2024 and the extinguishment of substantially all of our convertible notes in the fourth quarter of 2024. In addition, the three months ended June 30, 2025 was positively impacted by a $15 million increase in capitalized interest compared to the same period in 2024 due to a higher capitalization rate. See Note 2 in the Notes to our Condensed Consolidated Financial Statements for further information.</w:t>
      </w:r>
    </w:p>
    <w:p>
      <w:pPr>
        <w:spacing w:after="0" w:line="167" w:lineRule="exact"/>
        <w:rPr>
          <w:sz w:val="20"/>
          <w:szCs w:val="20"/>
          <w:color w:val="auto"/>
        </w:rPr>
      </w:pPr>
    </w:p>
    <w:p>
      <w:pPr>
        <w:ind w:left="60" w:right="319" w:hanging="7"/>
        <w:spacing w:after="0"/>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$26 million during the three months ended June 30, 2025,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$64 million during the same period in 2024. The three months ended June 30, 2025 was positively impacted by a $37 million gain on the sale of our Fiber business, partially offset by $12 million in net losses and impairments on marketable and non-marketable investment securities. The three months ended June 30, 2024 was negatively impacted by a $64 million loss in equity in earnings, including $63 million from our portion of Invidi’s goodwill impairment. See Note 4 in the Notes to our Condensed Consolidated Financial Statements for further information.</w:t>
      </w:r>
    </w:p>
    <w:p>
      <w:pPr>
        <w:spacing w:after="0" w:line="171" w:lineRule="exact"/>
        <w:rPr>
          <w:sz w:val="20"/>
          <w:szCs w:val="20"/>
          <w:color w:val="auto"/>
        </w:rPr>
      </w:pPr>
    </w:p>
    <w:p>
      <w:pPr>
        <w:ind w:left="60" w:right="47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$89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an increase of $51 million compared to the same period in 2024. The change was primarily related to a decrease in “Income (loss) before income taxes” and the change in our effective tax rate. Our effective tax rate during the three months ended June 30, 2024 was impacted by federal and state valuation allowances.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For the Six Months Ended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Variance</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60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3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top w:val="single" w:sz="8" w:color="auto"/>
            </w:tcBorders>
            <w:gridSpan w:val="3"/>
          </w:tcPr>
          <w:p>
            <w:pPr>
              <w:ind w:left="20"/>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(238,353)</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(5,792)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(232,561)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25,198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23,167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(427,504)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(335,196)</w:t>
            </w:r>
          </w:p>
        </w:tc>
        <w:tc>
          <w:tcPr>
            <w:tcW w:w="1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(92,308)</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62,865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(37,647)</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(377,088)</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(249,164)</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(127,924)</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(615,441)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(254,956)</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(360,485)</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152,845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32,901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119,944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24.8 %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12.9 %</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(462,596)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(222,055)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(240,541)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(3,615)</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183"/>
        </w:trPr>
        <w:tc>
          <w:tcPr>
            <w:tcW w:w="40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DISH Network</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(462,654)</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(225,728)</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(236,926)</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$25 million during the six months ended June 30, 2025,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 million compared to the same period in 2024. This increase primarily resulted from higher average cash and marketable investment securities balances, partially offset by lower percentage returns earned on our cash and marketable investment securities during the six months ended June 30, 2025.</w:t>
      </w:r>
    </w:p>
    <w:p>
      <w:pPr>
        <w:spacing w:after="0" w:line="160" w:lineRule="exact"/>
        <w:rPr>
          <w:sz w:val="20"/>
          <w:szCs w:val="20"/>
          <w:color w:val="auto"/>
        </w:rPr>
      </w:pPr>
    </w:p>
    <w:p>
      <w:pPr>
        <w:ind w:left="60" w:right="179" w:hanging="7"/>
        <w:spacing w:after="0"/>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$428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2025, an increase of $92 million compared to the same period in 2024. This increase primarily resulted from interest expense related to debt issuances in the third quarter of 2024 and the EchoStar 2024 Intercompany Loan, partially offset by the redemption of debt that matured in March and November 2024 and the extinguishment of substantially all of our convertible notes in the fourth quarter of 2024. In addition, the six months ended June 30, 2025 was positively impacted by a $61 million increase in capitalized interest compared to the same period in 2024 due to a higher capitalization rate. See Note 2 in the Notes to our Condensed Consolidated Financial Statements for further information.</w:t>
      </w:r>
    </w:p>
    <w:p>
      <w:pPr>
        <w:spacing w:after="0" w:line="167" w:lineRule="exact"/>
        <w:rPr>
          <w:sz w:val="20"/>
          <w:szCs w:val="20"/>
          <w:color w:val="auto"/>
        </w:rPr>
      </w:pPr>
    </w:p>
    <w:p>
      <w:pPr>
        <w:ind w:left="60" w:right="79" w:hanging="7"/>
        <w:spacing w:after="0"/>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$25 million during the six months ended June 30, 2025, a decrease of $38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compared to the same period in 2024. The six months ended June 30, 2025 was positively impacted by a $37 million gain on the sale of our Fiber business, partially offset by $12 million in net losses and impairments on marketable and non-marketable investment securities. The six months ended June 30, 2024 was positively impacted by the $129 million gain on a sale of a financial asset to EchoStar, partially offset by a $65 million loss in equity in earnings, including $63 million from our portion of Invidi’s goodwill impairment. See Note 4 in the Notes to our Condensed Consolidated Financial Statements for further information.</w:t>
      </w:r>
    </w:p>
    <w:p>
      <w:pPr>
        <w:spacing w:after="0" w:line="171" w:lineRule="exact"/>
        <w:rPr>
          <w:sz w:val="20"/>
          <w:szCs w:val="20"/>
          <w:color w:val="auto"/>
        </w:rPr>
      </w:pPr>
    </w:p>
    <w:p>
      <w:pPr>
        <w:jc w:val="both"/>
        <w:ind w:left="60" w:right="139"/>
        <w:spacing w:after="0" w:line="266" w:lineRule="auto"/>
        <w:rPr>
          <w:sz w:val="20"/>
          <w:szCs w:val="20"/>
          <w:color w:val="auto"/>
        </w:rPr>
      </w:pPr>
      <w:r>
        <w:rPr>
          <w:rFonts w:ascii="Arial" w:cs="Arial" w:eastAsia="Arial" w:hAnsi="Arial"/>
          <w:sz w:val="17"/>
          <w:szCs w:val="17"/>
          <w:b w:val="1"/>
          <w:bCs w:val="1"/>
          <w:i w:val="1"/>
          <w:iCs w:val="1"/>
          <w:color w:val="auto"/>
        </w:rPr>
        <w:t xml:space="preserve">Income tax (provision) benefit, net. </w:t>
      </w:r>
      <w:r>
        <w:rPr>
          <w:rFonts w:ascii="Arial" w:cs="Arial" w:eastAsia="Arial" w:hAnsi="Arial"/>
          <w:sz w:val="17"/>
          <w:szCs w:val="17"/>
          <w:color w:val="auto"/>
        </w:rPr>
        <w:t>Our income tax benefit was $153 million during the six months ended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2025, an increase of $120 million compared to the same period in 2024. The change was primarily related to a decrease in “Income (loss) before income taxes” and the change in our effective tax rate. Our effective tax rate during the six months ended June 30, 2024 was impacted by federal and state valuation allowances.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w:t>
      </w:r>
    </w:p>
    <w:p>
      <w:pPr>
        <w:spacing w:after="0" w:line="198" w:lineRule="exact"/>
        <w:rPr>
          <w:sz w:val="20"/>
          <w:szCs w:val="20"/>
          <w:color w:val="auto"/>
        </w:rPr>
      </w:pPr>
    </w:p>
    <w:p>
      <w:pPr>
        <w:ind w:left="60" w:right="199" w:hanging="12"/>
        <w:spacing w:after="0"/>
        <w:rPr>
          <w:sz w:val="20"/>
          <w:szCs w:val="20"/>
          <w:color w:val="auto"/>
        </w:rPr>
      </w:pPr>
      <w:r>
        <w:rPr>
          <w:rFonts w:ascii="Arial" w:cs="Arial" w:eastAsia="Arial" w:hAnsi="Arial"/>
          <w:sz w:val="18"/>
          <w:szCs w:val="18"/>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10 to the Notes to our Condensed Consolidated Financial Statements for further information.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Three Months Ended June 30, 2025</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Pay-TV</w:t>
            </w: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Wireless</w:t>
            </w:r>
          </w:p>
        </w:tc>
        <w:tc>
          <w:tcPr>
            <w:tcW w:w="1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83"/>
        </w:trPr>
        <w:tc>
          <w:tcPr>
            <w:tcW w:w="3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(In</w:t>
            </w:r>
          </w:p>
        </w:tc>
        <w:tc>
          <w:tcPr>
            <w:tcW w:w="40" w:type="dxa"/>
            <w:vAlign w:val="bottom"/>
          </w:tcPr>
          <w:p>
            <w:pPr>
              <w:spacing w:after="0"/>
              <w:rPr>
                <w:sz w:val="15"/>
                <w:szCs w:val="15"/>
                <w:color w:val="auto"/>
              </w:rPr>
            </w:pPr>
          </w:p>
        </w:tc>
        <w:tc>
          <w:tcPr>
            <w:tcW w:w="114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rPr>
              <w:t>thousands)</w:t>
            </w: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(768,801)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67,825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320,960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388,785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663,377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(447,841)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ind w:left="840"/>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215,536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June 30, 2024</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667,797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(699,568)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85,249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305,861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753,046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(393,707)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ind w:left="840"/>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359,339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Six Months Ended June 30, 2025</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Pay-TV</w:t>
            </w: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Wireless</w:t>
            </w:r>
          </w:p>
        </w:tc>
        <w:tc>
          <w:tcPr>
            <w:tcW w:w="1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83"/>
        </w:trPr>
        <w:tc>
          <w:tcPr>
            <w:tcW w:w="3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(In</w:t>
            </w:r>
          </w:p>
        </w:tc>
        <w:tc>
          <w:tcPr>
            <w:tcW w:w="40" w:type="dxa"/>
            <w:vAlign w:val="bottom"/>
          </w:tcPr>
          <w:p>
            <w:pPr>
              <w:spacing w:after="0"/>
              <w:rPr>
                <w:sz w:val="15"/>
                <w:szCs w:val="15"/>
                <w:color w:val="auto"/>
              </w:rPr>
            </w:pPr>
          </w:p>
        </w:tc>
        <w:tc>
          <w:tcPr>
            <w:tcW w:w="114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rPr>
              <w:t>thousands)</w:t>
            </w: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1,248,982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(1,487,335)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144,268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628,198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772,466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1,393,250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(859,137)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534,113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 2024</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1,338,040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(1,344,019)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170,651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587,533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758,184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1,508,691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(756,486)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752,392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changes in OIBDA during the three and six months ended June 30, 2025, compared to the same period in 2024, were primarily a result of the factors described in connection with operating revenues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198" w:lineRule="exact"/>
        <w:rPr>
          <w:sz w:val="20"/>
          <w:szCs w:val="20"/>
          <w:color w:val="auto"/>
        </w:rPr>
      </w:pPr>
    </w:p>
    <w:p>
      <w:pPr>
        <w:jc w:val="both"/>
        <w:ind w:left="60" w:right="379"/>
        <w:spacing w:after="0" w:line="255"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w:t>
      </w:r>
    </w:p>
    <w:p>
      <w:pPr>
        <w:spacing w:after="0" w:line="2" w:lineRule="exact"/>
        <w:rPr>
          <w:sz w:val="20"/>
          <w:szCs w:val="20"/>
          <w:color w:val="auto"/>
        </w:rPr>
      </w:pPr>
    </w:p>
    <w:p>
      <w:pPr>
        <w:ind w:left="60" w:right="199"/>
        <w:spacing w:after="0" w:line="250" w:lineRule="auto"/>
        <w:rPr>
          <w:sz w:val="20"/>
          <w:szCs w:val="20"/>
          <w:color w:val="auto"/>
        </w:rPr>
      </w:pPr>
      <w:r>
        <w:rPr>
          <w:rFonts w:ascii="Arial" w:cs="Arial" w:eastAsia="Arial" w:hAnsi="Arial"/>
          <w:sz w:val="18"/>
          <w:szCs w:val="18"/>
          <w:color w:val="auto"/>
        </w:rPr>
        <w:t>Based upon that evaluation, our Chief Executive Officer and Chief Financial Officer concluded that our disclosure controls and procedures were effective as of the end of the period covered by this report.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See Note 9 “</w:t>
      </w:r>
      <w:r>
        <w:rPr>
          <w:rFonts w:ascii="Arial" w:cs="Arial" w:eastAsia="Arial" w:hAnsi="Arial"/>
          <w:sz w:val="17"/>
          <w:szCs w:val="17"/>
          <w:i w:val="1"/>
          <w:iCs w:val="1"/>
          <w:color w:val="auto"/>
        </w:rPr>
        <w:t>Commitments and Contingencies – Contingencies – Litigation</w:t>
      </w:r>
      <w:r>
        <w:rPr>
          <w:rFonts w:ascii="Arial" w:cs="Arial" w:eastAsia="Arial" w:hAnsi="Arial"/>
          <w:sz w:val="17"/>
          <w:szCs w:val="17"/>
          <w:color w:val="auto"/>
        </w:rPr>
        <w:t>” in the Notes to our Condensed Consolidated Financial Statements for information regarding certain legal proceedings in which we are involved.</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Item 1A, “Risk Factors,” of our Annual Report on Form 10-K for the year ended December 31, 2024 includes a detailed discussion of our risk factors. The information presented below updates, and should be read in conjunction with, the risk factors and information disclosed in our Annual Report on Form 10-K for the year ended December 31, 2024.</w:t>
      </w:r>
    </w:p>
    <w:p>
      <w:pPr>
        <w:spacing w:after="0" w:line="162"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In response to the uncertainty created by the FCC inquiries, we and our parent, EchoStar, may take one or more significant actions in order to protect our interests in the Wireless Licenses and other assets held by us and EchoStar, which actions could negatively impact your investment.</w:t>
      </w:r>
    </w:p>
    <w:p>
      <w:pPr>
        <w:spacing w:after="0" w:line="14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order to protect our interest in the Wireless Licenses and other assets held by us and EchoStar, we and EchoStar, may take one or more actions that may negatively impact the value of your investment in our securities, including, under certain circumstances, filing for relief under Chapter 11 of the United States Bankruptcy Code, if we or EchoStar determine that such an action is in the best interests of either company and its stakeholders. Such a decision could be driven by a range of strategic considerations, including, but not limited to, the uncertainty created by the FCC inquiries and effective deployment of capital.</w:t>
      </w:r>
    </w:p>
    <w:p>
      <w:pPr>
        <w:spacing w:after="0" w:line="16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Certain actions that we and EchoStar may take, including a potential voluntary Chapter 11 bankruptcy filing could have material adverse consequences, including, but not limited to: (i) disruption of our relationships with vendors, suppliers, employees and customers; (ii) limitations on our ability to access capital markets or otherwise obtain financing on favorable terms or at all; (iii) limitations on our ability to take advantage of business opportunities; (iv) reputational harm; and (v) significant administrative costs and diversion of management attention. Furthermore, the outcome of any of the actions that we or EchoStar may take, including a filing for relief under Chapter 11, is inherently uncertain and may result in a material reduction in the value or change in the relative priority of existing debt securities.</w:t>
      </w:r>
    </w:p>
    <w:p>
      <w:pPr>
        <w:spacing w:after="0" w:line="167"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There can be no assurance that any protective actions we or EchoStar may take, including a restructuring or reorganization process, whether pursued in or outside of bankruptcy, would be successful or would not materially adversely affect our business, financial condition, results of operations, liquidity or the market value of our debt securities.</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right="59"/>
        <w:spacing w:after="0" w:line="278" w:lineRule="auto"/>
        <w:rPr>
          <w:sz w:val="20"/>
          <w:szCs w:val="20"/>
          <w:color w:val="auto"/>
        </w:rPr>
      </w:pPr>
      <w:r>
        <w:rPr>
          <w:rFonts w:ascii="Arial" w:cs="Arial" w:eastAsia="Arial" w:hAnsi="Arial"/>
          <w:sz w:val="18"/>
          <w:szCs w:val="18"/>
          <w:b w:val="1"/>
          <w:bCs w:val="1"/>
          <w:i w:val="1"/>
          <w:iCs w:val="1"/>
          <w:color w:val="auto"/>
        </w:rPr>
        <w:t>The FCC’s review of our and our parent EchoStar’s compliance with network build-out requirements could lead to the loss or impairment of certain of our existing spectrum licenses.</w:t>
      </w:r>
    </w:p>
    <w:p>
      <w:pPr>
        <w:spacing w:after="0" w:line="12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As previously disclosed, on May 9, 2025, the FCC informed EchoStar that it had begun a review of our and EchoStar’s compliance with certain of our federal obligations to provide 5G service in the United States and raising certain questions regarding our September 2024 build-out extension and mobile-satellite service utilization in the 2 GHz band. While we are currently working to address the concerns raised by the FCC in a way that is acceptable to us, there can be no assurance that such a resolution will be reached.</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FCC review has introduced the possibility of reversing prior FCC grants of authority to us and EchoStar. This uncertainty over our spectrum rights has effectively frozen our ability to make decisions regarding our 5G network build-out, has materially adversely impacted our ability to implement and adjust our overall business plan and has required us to re-evaluate the deployment of our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w:t>
      </w:r>
    </w:p>
    <w:p>
      <w:pPr>
        <w:spacing w:after="0" w:line="171"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If we fail to reach an acceptable resolution with the FCC, one or more of our wireless spectrum licenses could be cancelled or modified and/or our build-out requirements could be accelerated, any of which would have a material adverse effect on our business, results of operations and financial condition. During the pendency of the FCC review, our ability to make decisions with respect to our 5G network build-out and implement our business plans will continue to be materially adversely impacted, the attention of our management will continue to be diverted to this matter, and we will continue to evaluate the deployment of our resources and consider all strategic options.</w:t>
      </w:r>
    </w:p>
    <w:p>
      <w:pPr>
        <w:spacing w:after="0" w:line="154" w:lineRule="exact"/>
        <w:rPr>
          <w:sz w:val="20"/>
          <w:szCs w:val="20"/>
          <w:color w:val="auto"/>
        </w:rPr>
      </w:pPr>
    </w:p>
    <w:p>
      <w:pPr>
        <w:ind w:left="60" w:right="159"/>
        <w:spacing w:after="0" w:line="256" w:lineRule="auto"/>
        <w:rPr>
          <w:sz w:val="20"/>
          <w:szCs w:val="20"/>
          <w:color w:val="auto"/>
        </w:rPr>
      </w:pPr>
      <w:r>
        <w:rPr>
          <w:rFonts w:ascii="Arial" w:cs="Arial" w:eastAsia="Arial" w:hAnsi="Arial"/>
          <w:sz w:val="18"/>
          <w:szCs w:val="18"/>
          <w:b w:val="1"/>
          <w:bCs w:val="1"/>
          <w:i w:val="1"/>
          <w:iCs w:val="1"/>
          <w:color w:val="222222"/>
        </w:rPr>
        <w:t>Changes in trade policies, including, but not limited to, tariffs and other restrictions, could increase, among other things, our costs, disrupt our supply chain and negatively affect our business, operations and financial condition.</w:t>
      </w:r>
    </w:p>
    <w:p>
      <w:pPr>
        <w:spacing w:after="0" w:line="14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depend on suppliers, including suppliers with manufacturing in China and other countries, for various materials in our 5G Network, satellite and related infrastructure, Pay-TV and Wireless businesses. Changes in U.S. or foreign trade policies, including, but not limited to, new or increased tariffs, export controls, trade restrictions or sanctions, have resulted, and may continue to result, in higher costs for the wireless devices and other equipment we procure.</w:t>
      </w:r>
    </w:p>
    <w:p>
      <w:pPr>
        <w:spacing w:after="0" w:line="163"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222222"/>
        </w:rPr>
        <w:t>Supply chain disruptions, customs delays, new compliance requirements and other challenges may cause delays in deploying network infrastructure and customer equipment, increase our operational expenses, and impact our ability to meet customer demand. Although we attempt to mitigate these risks through alternative sourcing and operational efficiencies, these efforts may not be successful or sufficient.</w:t>
      </w:r>
    </w:p>
    <w:p>
      <w:pPr>
        <w:spacing w:after="0" w:line="16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222222"/>
        </w:rPr>
        <w:t>If we are unable to pass increased costs to customers without negatively impacting demand, or offset them through other measures, our business, financial condition and results of operations could be materially adversely affected.</w:t>
      </w:r>
    </w:p>
    <w:p>
      <w:pPr>
        <w:spacing w:after="0" w:line="144" w:lineRule="exact"/>
        <w:rPr>
          <w:sz w:val="20"/>
          <w:szCs w:val="20"/>
          <w:color w:val="auto"/>
        </w:rPr>
      </w:pPr>
    </w:p>
    <w:p>
      <w:pPr>
        <w:ind w:left="60" w:right="79"/>
        <w:spacing w:after="0" w:line="256" w:lineRule="auto"/>
        <w:rPr>
          <w:sz w:val="20"/>
          <w:szCs w:val="20"/>
          <w:color w:val="auto"/>
        </w:rPr>
      </w:pPr>
      <w:r>
        <w:rPr>
          <w:rFonts w:ascii="Arial" w:cs="Arial" w:eastAsia="Arial" w:hAnsi="Arial"/>
          <w:sz w:val="18"/>
          <w:szCs w:val="18"/>
          <w:b w:val="1"/>
          <w:bCs w:val="1"/>
          <w:i w:val="1"/>
          <w:iCs w:val="1"/>
          <w:color w:val="auto"/>
        </w:rPr>
        <w:t>We currently do not have the necessary cash on hand, projected future cash flows or committed financing to fund our obligations over the next twelve months, which raises substantial doubt about our ability to continue as a going concern.</w:t>
      </w:r>
    </w:p>
    <w:p>
      <w:pPr>
        <w:spacing w:after="0" w:line="14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of the date of this report, we currently do not have the necessary cash on hand, projected future cash flows or committed financing to fund our anticipated working capital needs, capital expenditures, interest payments and other contractual obligations over the next twelve months. These conditions raise substantial doubt about our ability to continue as a going concern and, as a result, a ‘going concern’ disclosure appears in the Notes to our Condensed Consolidated Financial Statements in this Quarterly Report on Form 10-Q.</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Among other things, our business and financial condition is negatively impacted by upcoming debt maturities and interest payments which may further constrain available liquidity. In addition, our cash flow from operations is negative and may continue and/or accelerate. If we are unable to improve our operating performance, raise additional capital, negotiate with debt holders or otherwise secure adequate sources of liquidity, we may be unable to achieve our business objectives and may be forced to delay, curtail or forego strategic initiatives.</w:t>
      </w:r>
    </w:p>
    <w:p>
      <w:pPr>
        <w:spacing w:after="0" w:line="15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presence of a going concern uncertainty may also adversely impact the price of our securities, harm our current, future and potential relationships with suppliers, vendors, customers, employees and creditors, and may limit our ability to access additional financing on acceptable terms or at all. There can be no assurance that management’s plans to mitigate these risks will be successful on a timely basis or at all. If we are unable to secure adequate liquidity on an acceptable timeline or at all, we may not be able to continue as a going concern, which could result in a total loss of your investment. In addition, as our cash and cash equivalents balance declines, the risks described above may continue, increase or accelerate at any time and with or without notice. We cannot guarantee the timing or outcome of any resolution and any resolution we may negotiate may materially adversely impact our business, financial condition and/or operations.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Exhibits.</w:t>
      </w:r>
    </w:p>
    <w:p>
      <w:pPr>
        <w:spacing w:after="0" w:line="372" w:lineRule="exact"/>
        <w:rPr>
          <w:sz w:val="20"/>
          <w:szCs w:val="20"/>
          <w:color w:val="auto"/>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31.1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Executive Officer.</w:t>
      </w:r>
    </w:p>
    <w:p>
      <w:pPr>
        <w:spacing w:after="0" w:line="212" w:lineRule="exact"/>
        <w:rPr>
          <w:sz w:val="20"/>
          <w:szCs w:val="20"/>
          <w:color w:val="auto"/>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31.2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Financial Officer.</w:t>
      </w:r>
    </w:p>
    <w:p>
      <w:pPr>
        <w:spacing w:after="0" w:line="212" w:lineRule="exact"/>
        <w:rPr>
          <w:sz w:val="20"/>
          <w:szCs w:val="20"/>
          <w:color w:val="auto"/>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32.1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Executive Officer.</w:t>
      </w:r>
    </w:p>
    <w:p>
      <w:pPr>
        <w:spacing w:after="0" w:line="212" w:lineRule="exact"/>
        <w:rPr>
          <w:sz w:val="20"/>
          <w:szCs w:val="20"/>
          <w:color w:val="auto"/>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32.2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Financial Officer.</w:t>
      </w:r>
    </w:p>
    <w:p>
      <w:pPr>
        <w:spacing w:after="0" w:line="252" w:lineRule="exact"/>
        <w:rPr>
          <w:sz w:val="20"/>
          <w:szCs w:val="20"/>
          <w:color w:val="auto"/>
        </w:rPr>
      </w:pPr>
    </w:p>
    <w:p>
      <w:pPr>
        <w:ind w:left="1220" w:right="739" w:hanging="714"/>
        <w:spacing w:after="0" w:line="275" w:lineRule="auto"/>
        <w:tabs>
          <w:tab w:leader="none" w:pos="120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r:id="rId115">
        <w:r>
          <w:rPr>
            <w:rFonts w:ascii="Arial" w:cs="Arial" w:eastAsia="Arial" w:hAnsi="Arial"/>
            <w:sz w:val="17"/>
            <w:szCs w:val="17"/>
            <w:u w:val="single" w:color="auto"/>
            <w:color w:val="0000EE"/>
          </w:rPr>
          <w:t>Letter to EchoStar regarding review of compliance with its federal obligations to provide 5G</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service throughout the United States, dated May 9, 2025 (incorporated by reference from</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Exhibit 99.1 to EchoStar Corporation’s Current Report on Form 8-K filed May 13, 2025).</w:t>
        </w:r>
      </w:hyperlink>
    </w:p>
    <w:p>
      <w:pPr>
        <w:spacing w:after="0" w:line="98" w:lineRule="exact"/>
        <w:rPr>
          <w:rFonts w:ascii="Arial" w:cs="Arial" w:eastAsia="Arial" w:hAnsi="Arial"/>
          <w:sz w:val="17"/>
          <w:szCs w:val="17"/>
          <w:u w:val="single" w:color="auto"/>
          <w:color w:val="0000EE"/>
        </w:rPr>
      </w:pPr>
    </w:p>
    <w:p>
      <w:pPr>
        <w:ind w:left="1220" w:right="899" w:hanging="714"/>
        <w:spacing w:after="0" w:line="208" w:lineRule="exact"/>
        <w:tabs>
          <w:tab w:leader="none" w:pos="1200" w:val="left"/>
        </w:tabs>
        <w:rPr>
          <w:sz w:val="20"/>
          <w:szCs w:val="20"/>
          <w:color w:val="auto"/>
        </w:rPr>
      </w:pPr>
      <w:r>
        <w:rPr>
          <w:rFonts w:ascii="Arial" w:cs="Arial" w:eastAsia="Arial" w:hAnsi="Arial"/>
          <w:sz w:val="18"/>
          <w:szCs w:val="18"/>
          <w:color w:val="auto"/>
        </w:rPr>
        <w:t>101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The following materials from the Quarterly Report on Form 10-Q of DISH Network for the quarter ended June 30, 2025 filed on August 7, 2025, formatted in Inline eXtensible Business Reporting Language (“iXBRL”): (i) Condensed Consolidated Balance Sheets,</w:t>
      </w:r>
    </w:p>
    <w:p>
      <w:pPr>
        <w:spacing w:after="0" w:line="38" w:lineRule="exact"/>
        <w:rPr>
          <w:rFonts w:ascii="Arial" w:cs="Arial" w:eastAsia="Arial" w:hAnsi="Arial"/>
          <w:sz w:val="17"/>
          <w:szCs w:val="17"/>
          <w:u w:val="single" w:color="auto"/>
          <w:color w:val="0000EE"/>
        </w:rPr>
      </w:pPr>
    </w:p>
    <w:p>
      <w:pPr>
        <w:ind w:left="1460" w:hanging="241"/>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w:t>
      </w:r>
    </w:p>
    <w:p>
      <w:pPr>
        <w:ind w:left="1500" w:hanging="281"/>
        <w:spacing w:after="0" w:line="234"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Condensed Consolidated Statements of Changes in Stockholder’s Equity (Deficit),</w:t>
      </w:r>
    </w:p>
    <w:p>
      <w:pPr>
        <w:ind w:left="1220" w:right="1079" w:hanging="1"/>
        <w:spacing w:after="0" w:line="232" w:lineRule="auto"/>
        <w:tabs>
          <w:tab w:leader="none" w:pos="15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Condensed Consolidated Statements of Cash Flows and (v) related notes to these financial statements.</w:t>
      </w:r>
    </w:p>
    <w:p>
      <w:pPr>
        <w:spacing w:after="0" w:line="1" w:lineRule="exact"/>
        <w:rPr>
          <w:rFonts w:ascii="Arial" w:cs="Arial" w:eastAsia="Arial" w:hAnsi="Arial"/>
          <w:sz w:val="17"/>
          <w:szCs w:val="17"/>
          <w:u w:val="single" w:color="auto"/>
          <w:color w:val="0000EE"/>
        </w:rPr>
      </w:pPr>
    </w:p>
    <w:p>
      <w:pPr>
        <w:ind w:left="1220" w:right="559" w:hanging="714"/>
        <w:spacing w:after="0" w:line="214" w:lineRule="exact"/>
        <w:tabs>
          <w:tab w:leader="none" w:pos="1200" w:val="left"/>
        </w:tabs>
        <w:rPr>
          <w:sz w:val="20"/>
          <w:szCs w:val="20"/>
          <w:color w:val="auto"/>
        </w:rPr>
      </w:pPr>
      <w:r>
        <w:rPr>
          <w:rFonts w:ascii="Arial" w:cs="Arial" w:eastAsia="Arial" w:hAnsi="Arial"/>
          <w:sz w:val="18"/>
          <w:szCs w:val="18"/>
          <w:color w:val="auto"/>
        </w:rPr>
        <w:t>104</w:t>
      </w:r>
      <w:r>
        <w:rPr>
          <w:rFonts w:ascii="MS PGothic" w:cs="MS PGothic" w:eastAsia="MS PGothic" w:hAnsi="MS PGothic"/>
          <w:sz w:val="18"/>
          <w:szCs w:val="18"/>
          <w:color w:val="auto"/>
        </w:rPr>
        <w:t>☐</w:t>
      </w:r>
      <w:r>
        <w:rPr>
          <w:rFonts w:ascii="Arial" w:cs="Arial" w:eastAsia="Arial" w:hAnsi="Arial"/>
          <w:sz w:val="18"/>
          <w:szCs w:val="18"/>
          <w:color w:val="auto"/>
        </w:rPr>
        <w:tab/>
        <w:t>Cover Page Interactive Data File (the cover page XBRL tags are embedded in the Inline XBRL document).</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8" w:lineRule="exact"/>
        <w:rPr>
          <w:rFonts w:ascii="Arial" w:cs="Arial" w:eastAsia="Arial" w:hAnsi="Arial"/>
          <w:sz w:val="17"/>
          <w:szCs w:val="17"/>
          <w:u w:val="single" w:color="auto"/>
          <w:color w:val="0000EE"/>
        </w:rPr>
      </w:pPr>
    </w:p>
    <w:p>
      <w:pPr>
        <w:ind w:left="1160" w:hanging="1110"/>
        <w:spacing w:after="0"/>
        <w:tabs>
          <w:tab w:leader="none" w:pos="11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7" w:lineRule="exact"/>
        <w:rPr>
          <w:rFonts w:ascii="Arial" w:cs="Arial" w:eastAsia="Arial" w:hAnsi="Arial"/>
          <w:sz w:val="17"/>
          <w:szCs w:val="17"/>
          <w:u w:val="single" w:color="auto"/>
          <w:color w:val="0000EE"/>
        </w:rPr>
      </w:pPr>
    </w:p>
    <w:p>
      <w:pPr>
        <w:ind w:left="60"/>
        <w:spacing w:after="0"/>
        <w:tabs>
          <w:tab w:leader="none" w:pos="3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Incorporated by reference.</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58"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DISH NETWORK CORPORATION</w:t>
      </w:r>
    </w:p>
    <w:p>
      <w:pPr>
        <w:spacing w:after="0" w:line="19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Hamid Akhavan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ind w:left="41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(Duly Authorized Officer)</w:t>
      </w:r>
    </w:p>
    <w:p>
      <w:pPr>
        <w:spacing w:after="0" w:line="38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W. Orban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180" w:right="79"/>
        <w:spacing w:after="0" w:line="250" w:lineRule="auto"/>
        <w:rPr>
          <w:sz w:val="20"/>
          <w:szCs w:val="20"/>
          <w:color w:val="auto"/>
        </w:rPr>
      </w:pPr>
      <w:r>
        <w:rPr>
          <w:rFonts w:ascii="Arial" w:cs="Arial" w:eastAsia="Arial" w:hAnsi="Arial"/>
          <w:sz w:val="18"/>
          <w:szCs w:val="18"/>
          <w:color w:val="auto"/>
        </w:rPr>
        <w:t xml:space="preserve">Executive Vice President and Chief Financial Officer, DISH </w:t>
      </w:r>
      <w:r>
        <w:rPr>
          <w:rFonts w:ascii="Arial" w:cs="Arial" w:eastAsia="Arial" w:hAnsi="Arial"/>
          <w:sz w:val="18"/>
          <w:szCs w:val="18"/>
          <w:i w:val="1"/>
          <w:iCs w:val="1"/>
          <w:color w:val="auto"/>
        </w:rPr>
        <w:t>(Principal Financial Officer)</w:t>
      </w:r>
    </w:p>
    <w:p>
      <w:pPr>
        <w:spacing w:after="0" w:line="36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S. Allen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James S.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180"/>
        <w:spacing w:after="0" w:line="234" w:lineRule="auto"/>
        <w:rPr>
          <w:sz w:val="20"/>
          <w:szCs w:val="20"/>
          <w:color w:val="auto"/>
        </w:rPr>
      </w:pPr>
      <w:r>
        <w:rPr>
          <w:rFonts w:ascii="Arial" w:cs="Arial" w:eastAsia="Arial" w:hAnsi="Arial"/>
          <w:sz w:val="18"/>
          <w:szCs w:val="18"/>
          <w:color w:val="auto"/>
        </w:rPr>
        <w:t>Senior Vice President and Chief Accounting Officer</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(Principal Accounting Officer)</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Hamid Akhavan, certify that:</w:t>
      </w:r>
    </w:p>
    <w:p>
      <w:pPr>
        <w:spacing w:after="0" w:line="225" w:lineRule="exact"/>
        <w:rPr>
          <w:sz w:val="20"/>
          <w:szCs w:val="20"/>
          <w:color w:val="auto"/>
        </w:rPr>
      </w:pPr>
    </w:p>
    <w:p>
      <w:pPr>
        <w:ind w:left="360" w:hanging="316"/>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Network Corporation;</w:t>
      </w:r>
    </w:p>
    <w:p>
      <w:pPr>
        <w:spacing w:after="0" w:line="225" w:lineRule="exact"/>
        <w:rPr>
          <w:rFonts w:ascii="Arial" w:cs="Arial" w:eastAsia="Arial" w:hAnsi="Arial"/>
          <w:sz w:val="18"/>
          <w:szCs w:val="18"/>
          <w:color w:val="auto"/>
        </w:rPr>
      </w:pPr>
    </w:p>
    <w:p>
      <w:pPr>
        <w:jc w:val="both"/>
        <w:ind w:left="360" w:right="459" w:hanging="316"/>
        <w:spacing w:after="0" w:line="268"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60" w:right="379" w:hanging="316"/>
        <w:spacing w:after="0" w:line="261"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ind w:left="360" w:right="259" w:hanging="316"/>
        <w:spacing w:after="0" w:line="257"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700" w:right="139" w:hanging="332"/>
        <w:spacing w:after="0" w:line="262"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700" w:right="379" w:hanging="332"/>
        <w:spacing w:after="0" w:line="262"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700" w:right="139" w:hanging="332"/>
        <w:spacing w:after="0" w:line="268"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700" w:right="419" w:hanging="332"/>
        <w:spacing w:after="0" w:line="262"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360" w:right="539" w:hanging="316"/>
        <w:spacing w:after="0" w:line="268"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700" w:right="299" w:hanging="332"/>
        <w:spacing w:after="0" w:line="261"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7, 2025</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28289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492125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8"/>
          <w:szCs w:val="18"/>
          <w:color w:val="auto"/>
        </w:rPr>
        <w:t>I, Paul W. Orban, certify that:</w:t>
      </w:r>
    </w:p>
    <w:p>
      <w:pPr>
        <w:spacing w:after="0" w:line="225" w:lineRule="exact"/>
        <w:rPr>
          <w:sz w:val="20"/>
          <w:szCs w:val="20"/>
          <w:color w:val="auto"/>
        </w:rPr>
      </w:pPr>
    </w:p>
    <w:p>
      <w:pPr>
        <w:ind w:left="321" w:hanging="321"/>
        <w:spacing w:after="0"/>
        <w:tabs>
          <w:tab w:leader="none" w:pos="3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Network Corporation;</w:t>
      </w:r>
    </w:p>
    <w:p>
      <w:pPr>
        <w:spacing w:after="0" w:line="225" w:lineRule="exact"/>
        <w:rPr>
          <w:rFonts w:ascii="Arial" w:cs="Arial" w:eastAsia="Arial" w:hAnsi="Arial"/>
          <w:sz w:val="18"/>
          <w:szCs w:val="18"/>
          <w:color w:val="auto"/>
        </w:rPr>
      </w:pPr>
    </w:p>
    <w:p>
      <w:pPr>
        <w:ind w:left="321" w:right="180" w:hanging="321"/>
        <w:spacing w:after="0" w:line="268" w:lineRule="auto"/>
        <w:tabs>
          <w:tab w:leader="none" w:pos="3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321" w:right="200" w:hanging="321"/>
        <w:spacing w:after="0" w:line="261" w:lineRule="auto"/>
        <w:tabs>
          <w:tab w:leader="none" w:pos="3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ind w:left="321" w:right="140" w:hanging="321"/>
        <w:spacing w:after="0" w:line="283" w:lineRule="auto"/>
        <w:tabs>
          <w:tab w:leader="none" w:pos="32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Arial" w:cs="Arial" w:eastAsia="Arial" w:hAnsi="Arial"/>
          <w:sz w:val="17"/>
          <w:szCs w:val="17"/>
          <w:color w:val="auto"/>
        </w:rPr>
      </w:pPr>
    </w:p>
    <w:p>
      <w:pPr>
        <w:ind w:left="641" w:right="20" w:hanging="317"/>
        <w:spacing w:after="0" w:line="262"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641" w:right="100" w:hanging="317"/>
        <w:spacing w:after="0" w:line="262"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41" w:right="240" w:hanging="317"/>
        <w:spacing w:after="0" w:line="268"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641" w:right="40" w:hanging="317"/>
        <w:spacing w:after="0" w:line="262"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321" w:right="160" w:hanging="321"/>
        <w:spacing w:after="0" w:line="268" w:lineRule="auto"/>
        <w:tabs>
          <w:tab w:leader="none" w:pos="3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41" w:right="180" w:hanging="317"/>
        <w:spacing w:after="0" w:line="261"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641" w:right="280" w:hanging="317"/>
        <w:spacing w:after="0" w:line="271"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7, 2025</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9400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0" w:lineRule="exact"/>
        <w:rPr>
          <w:sz w:val="20"/>
          <w:szCs w:val="20"/>
          <w:color w:val="auto"/>
        </w:rPr>
      </w:pPr>
    </w:p>
    <w:p>
      <w:pPr>
        <w:ind w:left="1"/>
        <w:spacing w:after="0"/>
        <w:rPr>
          <w:sz w:val="20"/>
          <w:szCs w:val="20"/>
          <w:color w:val="auto"/>
        </w:rPr>
      </w:pPr>
      <w:r>
        <w:rPr>
          <w:rFonts w:ascii="Arial" w:cs="Arial" w:eastAsia="Arial" w:hAnsi="Arial"/>
          <w:sz w:val="18"/>
          <w:szCs w:val="18"/>
          <w:color w:val="auto"/>
        </w:rPr>
        <w:t>Executive Vice President and Chief Financial Officer,</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auto"/>
        </w:rPr>
        <w:t>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486410</wp:posOffset>
            </wp:positionV>
            <wp:extent cx="588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105" w:name="page106"/>
    <w:bookmarkEnd w:id="10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207" w:lineRule="exact"/>
        <w:rPr>
          <w:sz w:val="20"/>
          <w:szCs w:val="20"/>
          <w:color w:val="auto"/>
        </w:rPr>
      </w:pPr>
    </w:p>
    <w:p>
      <w:pPr>
        <w:ind w:left="40" w:right="259"/>
        <w:spacing w:after="0" w:line="259" w:lineRule="auto"/>
        <w:rPr>
          <w:sz w:val="20"/>
          <w:szCs w:val="20"/>
          <w:color w:val="auto"/>
        </w:rPr>
      </w:pPr>
      <w:r>
        <w:rPr>
          <w:rFonts w:ascii="Arial" w:cs="Arial" w:eastAsia="Arial" w:hAnsi="Arial"/>
          <w:sz w:val="18"/>
          <w:szCs w:val="18"/>
          <w:color w:val="auto"/>
        </w:rPr>
        <w:t>Pursuant to 18 U.S.C. § 1350, the undersigned officer of DISH Network Corporation (the “Company”) hereby certifies that to the best of his knowledge the Company’s Quarterly Report on Form 10-Q for the three months ended June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Dated: 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17780</wp:posOffset>
            </wp:positionV>
            <wp:extent cx="24517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17780</wp:posOffset>
            </wp:positionV>
            <wp:extent cx="24517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9"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225" w:lineRule="exact"/>
        <w:rPr>
          <w:sz w:val="20"/>
          <w:szCs w:val="20"/>
          <w:color w:val="auto"/>
        </w:rPr>
      </w:pPr>
    </w:p>
    <w:p>
      <w:pPr>
        <w:ind w:left="40" w:right="259"/>
        <w:spacing w:after="0" w:line="28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3"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94" w:lineRule="exact"/>
        <w:rPr>
          <w:sz w:val="20"/>
          <w:szCs w:val="20"/>
          <w:color w:val="auto"/>
        </w:rPr>
      </w:pPr>
    </w:p>
    <w:p>
      <w:pPr>
        <w:ind w:left="40" w:right="259"/>
        <w:spacing w:after="0" w:line="259" w:lineRule="auto"/>
        <w:rPr>
          <w:sz w:val="20"/>
          <w:szCs w:val="20"/>
          <w:color w:val="auto"/>
        </w:rPr>
      </w:pPr>
      <w:r>
        <w:rPr>
          <w:rFonts w:ascii="Arial" w:cs="Arial" w:eastAsia="Arial" w:hAnsi="Arial"/>
          <w:sz w:val="18"/>
          <w:szCs w:val="18"/>
          <w:color w:val="auto"/>
        </w:rPr>
        <w:t>Pursuant to 18 U.S.C. § 1350, the undersigned officer of DISH Network Corporation (the “Company”) hereby certifies that to the best of his knowledge the Company’s Quarterly Report on Form 10-Q for the three months ended June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Dated: 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17780</wp:posOffset>
            </wp:positionV>
            <wp:extent cx="25800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21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17780</wp:posOffset>
            </wp:positionV>
            <wp:extent cx="25800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p>
      <w:pPr>
        <w:ind w:left="430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and Chief Financial</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Officer, 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6350</wp:posOffset>
            </wp:positionV>
            <wp:extent cx="25800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1" w:lineRule="exact"/>
        <w:rPr>
          <w:sz w:val="20"/>
          <w:szCs w:val="20"/>
          <w:color w:val="auto"/>
        </w:rPr>
      </w:pPr>
    </w:p>
    <w:p>
      <w:pPr>
        <w:ind w:left="40" w:right="259"/>
        <w:spacing w:after="0" w:line="28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3"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2"/>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3"/>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4"/>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6"/>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7"/>
    </w:lvl>
  </w:abstractNum>
  <w:abstractNum w:abstractNumId="24">
    <w:nsid w:val="5C482A97"/>
    <w:multiLevelType w:val="hybridMultilevel"/>
    <w:lvl w:ilvl="0">
      <w:lvlJc w:val="left"/>
      <w:lvlText w:val="%1."/>
      <w:numFmt w:val="decimal"/>
      <w:start w:val="8"/>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9"/>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5"/>
    </w:lvl>
  </w:abstractNum>
  <w:abstractNum w:abstractNumId="31">
    <w:nsid w:val="3855585C"/>
    <w:multiLevelType w:val="hybridMultilevel"/>
    <w:lvl w:ilvl="0">
      <w:lvlJc w:val="left"/>
      <w:lvlText w:val="(%1)"/>
      <w:numFmt w:val="decimal"/>
      <w:start w:val="8"/>
    </w:lvl>
  </w:abstractNum>
  <w:abstractNum w:abstractNumId="32">
    <w:nsid w:val="70A64E2A"/>
    <w:multiLevelType w:val="hybridMultilevel"/>
    <w:lvl w:ilvl="0">
      <w:lvlJc w:val="left"/>
      <w:lvlText w:val="(%1)"/>
      <w:numFmt w:val="decimal"/>
      <w:start w:val="14"/>
    </w:lvl>
  </w:abstractNum>
  <w:abstractNum w:abstractNumId="33">
    <w:nsid w:val="6A2342EC"/>
    <w:multiLevelType w:val="hybridMultilevel"/>
    <w:lvl w:ilvl="0">
      <w:lvlJc w:val="left"/>
      <w:lvlText w:val="%1."/>
      <w:numFmt w:val="decimal"/>
      <w:start w:val="10"/>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2"/>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lowerRoman"/>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lowerRoman"/>
      <w:start w:val="2"/>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15" Type="http://schemas.openxmlformats.org/officeDocument/2006/relationships/hyperlink" Target="https://www.sec.gov/Archives/edgar/data/1001082/000141540425000010/tmb-20250509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2025-08-07T05:32:02Z</dcterms:created>
  <dcterms:modified xsi:type="dcterms:W3CDTF">2025-08-07T05:32:02Z</dcterms:modified>
</cp:coreProperties>
</file>