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437515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w:t>
      </w:r>
    </w:p>
    <w:p>
      <w:pPr>
        <w:spacing w:after="0" w:line="1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11" w:lineRule="exact"/>
        <w:rPr>
          <w:sz w:val="24"/>
          <w:szCs w:val="24"/>
          <w:color w:val="auto"/>
        </w:rPr>
      </w:pPr>
    </w:p>
    <w:p>
      <w:pPr>
        <w:ind w:left="480" w:hanging="276"/>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200" w:lineRule="exact"/>
        <w:rPr>
          <w:sz w:val="24"/>
          <w:szCs w:val="24"/>
          <w:color w:val="auto"/>
        </w:rPr>
      </w:pPr>
    </w:p>
    <w:p>
      <w:pPr>
        <w:spacing w:after="0" w:line="317" w:lineRule="exact"/>
        <w:rPr>
          <w:sz w:val="24"/>
          <w:szCs w:val="24"/>
          <w:color w:val="auto"/>
        </w:rPr>
      </w:pPr>
    </w:p>
    <w:p>
      <w:pPr>
        <w:ind w:left="480" w:hanging="276"/>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p>
      <w:pPr>
        <w:ind w:left="2420"/>
        <w:spacing w:after="0"/>
        <w:tabs>
          <w:tab w:leader="none" w:pos="5680" w:val="left"/>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96"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Commission File Number: 001-39144</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DISH Network Corporation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9019"/>
          </w:cols>
          <w:pgMar w:left="1440" w:top="661" w:right="1440" w:bottom="1440" w:gutter="0" w:footer="0" w:header="0"/>
        </w:sectPr>
      </w:pPr>
    </w:p>
    <w:p>
      <w:pPr>
        <w:spacing w:after="0" w:line="15"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88-0336997</w:t>
      </w:r>
    </w:p>
    <w:p>
      <w:pPr>
        <w:spacing w:after="0" w:line="24" w:lineRule="exact"/>
        <w:rPr>
          <w:sz w:val="24"/>
          <w:szCs w:val="24"/>
          <w:color w:val="auto"/>
        </w:rPr>
      </w:pPr>
    </w:p>
    <w:p>
      <w:pPr>
        <w:sectPr>
          <w:pgSz w:w="11900" w:h="16838" w:orient="portrait"/>
          <w:cols w:equalWidth="0" w:num="2">
            <w:col w:w="5720" w:space="720"/>
            <w:col w:w="2579"/>
          </w:cols>
          <w:pgMar w:left="1440" w:top="661" w:right="1440" w:bottom="1440" w:gutter="0" w:footer="0" w:header="0"/>
          <w:type w:val="continuous"/>
        </w:sectPr>
      </w:pPr>
    </w:p>
    <w:p>
      <w:pPr>
        <w:ind w:left="62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109" w:lineRule="exact"/>
        <w:rPr>
          <w:sz w:val="24"/>
          <w:szCs w:val="24"/>
          <w:color w:val="auto"/>
        </w:rPr>
      </w:pPr>
    </w:p>
    <w:p>
      <w:pPr>
        <w:sectPr>
          <w:pgSz w:w="11900" w:h="16838" w:orient="portrait"/>
          <w:cols w:equalWidth="0" w:num="2">
            <w:col w:w="5080" w:space="720"/>
            <w:col w:w="3219"/>
          </w:cols>
          <w:pgMar w:left="1440" w:top="661" w:right="1440" w:bottom="1440" w:gutter="0" w:footer="0" w:header="0"/>
          <w:type w:val="continuous"/>
        </w:sectPr>
      </w:pPr>
    </w:p>
    <w:p>
      <w:pPr>
        <w:ind w:left="1300"/>
        <w:spacing w:after="0"/>
        <w:rPr>
          <w:sz w:val="20"/>
          <w:szCs w:val="20"/>
          <w:color w:val="auto"/>
        </w:rPr>
      </w:pPr>
      <w:r>
        <w:rPr>
          <w:rFonts w:ascii="Arial" w:cs="Arial" w:eastAsia="Arial" w:hAnsi="Arial"/>
          <w:sz w:val="12"/>
          <w:szCs w:val="12"/>
          <w:b w:val="1"/>
          <w:bCs w:val="1"/>
          <w:color w:val="auto"/>
        </w:rPr>
        <w:t>9601 South Meridian Boulevard</w:t>
      </w:r>
    </w:p>
    <w:p>
      <w:pPr>
        <w:spacing w:after="0" w:line="34" w:lineRule="exact"/>
        <w:rPr>
          <w:sz w:val="24"/>
          <w:szCs w:val="24"/>
          <w:color w:val="auto"/>
        </w:rPr>
      </w:pPr>
    </w:p>
    <w:p>
      <w:pPr>
        <w:ind w:left="1580"/>
        <w:spacing w:after="0"/>
        <w:rPr>
          <w:sz w:val="20"/>
          <w:szCs w:val="20"/>
          <w:color w:val="auto"/>
        </w:rPr>
      </w:pPr>
      <w:r>
        <w:rPr>
          <w:rFonts w:ascii="Arial" w:cs="Arial" w:eastAsia="Arial" w:hAnsi="Arial"/>
          <w:sz w:val="13"/>
          <w:szCs w:val="13"/>
          <w:b w:val="1"/>
          <w:bCs w:val="1"/>
          <w:color w:val="auto"/>
        </w:rPr>
        <w:t>Englewood, Colorado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80112</w:t>
      </w:r>
    </w:p>
    <w:p>
      <w:pPr>
        <w:spacing w:after="0" w:line="34" w:lineRule="exact"/>
        <w:rPr>
          <w:sz w:val="24"/>
          <w:szCs w:val="24"/>
          <w:color w:val="auto"/>
        </w:rPr>
      </w:pPr>
    </w:p>
    <w:p>
      <w:pPr>
        <w:sectPr>
          <w:pgSz w:w="11900" w:h="16838" w:orient="portrait"/>
          <w:cols w:equalWidth="0" w:num="2">
            <w:col w:w="5880" w:space="720"/>
            <w:col w:w="2419"/>
          </w:cols>
          <w:pgMar w:left="1440" w:top="661" w:right="1440" w:bottom="1440" w:gutter="0" w:footer="0" w:header="0"/>
          <w:type w:val="continuous"/>
        </w:sectPr>
      </w:pPr>
    </w:p>
    <w:p>
      <w:pPr>
        <w:ind w:left="116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(Zip Code)</w:t>
      </w:r>
    </w:p>
    <w:p>
      <w:pPr>
        <w:spacing w:after="0" w:line="122" w:lineRule="exact"/>
        <w:rPr>
          <w:sz w:val="24"/>
          <w:szCs w:val="24"/>
          <w:color w:val="auto"/>
        </w:rPr>
      </w:pPr>
    </w:p>
    <w:p>
      <w:pPr>
        <w:sectPr>
          <w:pgSz w:w="11900" w:h="16838" w:orient="portrait"/>
          <w:cols w:equalWidth="0" w:num="2">
            <w:col w:w="5760" w:space="720"/>
            <w:col w:w="2539"/>
          </w:cols>
          <w:pgMar w:left="1440" w:top="661" w:right="1440" w:bottom="1440" w:gutter="0" w:footer="0" w:header="0"/>
          <w:type w:val="continuous"/>
        </w:sectPr>
      </w:pPr>
    </w:p>
    <w:p>
      <w:pPr>
        <w:ind w:left="2580"/>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(303) 723-1000</w:t>
      </w:r>
    </w:p>
    <w:p>
      <w:pPr>
        <w:spacing w:after="0" w:line="105" w:lineRule="exact"/>
        <w:rPr>
          <w:sz w:val="24"/>
          <w:szCs w:val="24"/>
          <w:color w:val="auto"/>
        </w:rPr>
      </w:pPr>
    </w:p>
    <w:p>
      <w:pPr>
        <w:ind w:left="2720"/>
        <w:spacing w:after="0"/>
        <w:rPr>
          <w:sz w:val="20"/>
          <w:szCs w:val="20"/>
          <w:color w:val="auto"/>
        </w:rPr>
      </w:pPr>
      <w:r>
        <w:rPr>
          <w:rFonts w:ascii="Arial" w:cs="Arial" w:eastAsia="Arial" w:hAnsi="Arial"/>
          <w:sz w:val="13"/>
          <w:szCs w:val="13"/>
          <w:color w:val="auto"/>
        </w:rPr>
        <w:t xml:space="preserve">Securities registered pursuant to Section 12(b) of the Act: </w:t>
      </w:r>
      <w:r>
        <w:rPr>
          <w:rFonts w:ascii="Arial" w:cs="Arial" w:eastAsia="Arial" w:hAnsi="Arial"/>
          <w:sz w:val="13"/>
          <w:szCs w:val="13"/>
          <w:b w:val="1"/>
          <w:bCs w:val="1"/>
          <w:color w:val="auto"/>
        </w:rPr>
        <w:t>None</w:t>
      </w:r>
    </w:p>
    <w:p>
      <w:pPr>
        <w:ind w:left="272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80"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9"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4" w:lineRule="exact"/>
        <w:rPr>
          <w:sz w:val="24"/>
          <w:szCs w:val="24"/>
          <w:color w:val="auto"/>
        </w:rPr>
      </w:pPr>
    </w:p>
    <w:p>
      <w:pPr>
        <w:ind w:left="60" w:right="79"/>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the past 90 days. (Note: The registrant is a voluntary filer of reports under Section 13 or 15(d) of the Securities Exchange Act of 1934.)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ind w:left="60" w:right="139"/>
        <w:spacing w:after="0" w:line="25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60" w:hanging="210"/>
        <w:spacing w:after="0" w:line="175" w:lineRule="exact"/>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ind w:left="60" w:right="219"/>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62" w:lineRule="exact"/>
        <w:rPr>
          <w:sz w:val="24"/>
          <w:szCs w:val="24"/>
          <w:color w:val="auto"/>
        </w:rPr>
      </w:pPr>
    </w:p>
    <w:p>
      <w:pPr>
        <w:ind w:left="1540"/>
        <w:spacing w:after="0" w:line="161" w:lineRule="exact"/>
        <w:rPr>
          <w:sz w:val="20"/>
          <w:szCs w:val="20"/>
          <w:color w:val="auto"/>
        </w:rPr>
      </w:pPr>
      <w:r>
        <w:rPr>
          <w:rFonts w:ascii="Arial" w:cs="Arial" w:eastAsia="Arial" w:hAnsi="Arial"/>
          <w:sz w:val="12"/>
          <w:szCs w:val="12"/>
          <w:color w:val="auto"/>
        </w:rPr>
        <w:t xml:space="preserve">Large accelerated filer </w:t>
      </w: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61" w:lineRule="exact"/>
        <w:rPr>
          <w:sz w:val="20"/>
          <w:szCs w:val="20"/>
          <w:color w:val="auto"/>
        </w:rPr>
      </w:pPr>
      <w:r>
        <w:rPr>
          <w:rFonts w:ascii="Arial" w:cs="Arial" w:eastAsia="Arial" w:hAnsi="Arial"/>
          <w:sz w:val="12"/>
          <w:szCs w:val="12"/>
          <w:color w:val="auto"/>
        </w:rPr>
        <w:t xml:space="preserve">Accelerated filer </w:t>
      </w:r>
      <w:r>
        <w:rPr>
          <w:rFonts w:ascii="Arial Unicode MS" w:cs="Arial Unicode MS" w:eastAsia="Arial Unicode MS" w:hAnsi="Arial Unicode MS"/>
          <w:sz w:val="12"/>
          <w:szCs w:val="12"/>
          <w:color w:val="auto"/>
        </w:rPr>
        <w:t>☐</w:t>
      </w:r>
    </w:p>
    <w:p>
      <w:pPr>
        <w:spacing w:after="0" w:line="69" w:lineRule="exact"/>
        <w:rPr>
          <w:sz w:val="24"/>
          <w:szCs w:val="24"/>
          <w:color w:val="auto"/>
        </w:rPr>
      </w:pPr>
    </w:p>
    <w:p>
      <w:pPr>
        <w:sectPr>
          <w:pgSz w:w="11900" w:h="16838" w:orient="portrait"/>
          <w:cols w:equalWidth="0" w:num="2">
            <w:col w:w="5520" w:space="720"/>
            <w:col w:w="2779"/>
          </w:cols>
          <w:pgMar w:left="1440" w:top="661" w:right="1440" w:bottom="1440" w:gutter="0" w:footer="0" w:header="0"/>
          <w:type w:val="continuous"/>
        </w:sectPr>
      </w:pPr>
    </w:p>
    <w:p>
      <w:pPr>
        <w:ind w:left="1580"/>
        <w:spacing w:after="0" w:line="161" w:lineRule="exact"/>
        <w:rPr>
          <w:sz w:val="20"/>
          <w:szCs w:val="20"/>
          <w:color w:val="auto"/>
        </w:rPr>
      </w:pPr>
      <w:r>
        <w:rPr>
          <w:rFonts w:ascii="Arial" w:cs="Arial" w:eastAsia="Arial" w:hAnsi="Arial"/>
          <w:sz w:val="12"/>
          <w:szCs w:val="12"/>
          <w:color w:val="auto"/>
        </w:rPr>
        <w:t xml:space="preserve">Non-accelerated filer </w:t>
      </w: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2"/>
          <w:szCs w:val="12"/>
          <w:color w:val="auto"/>
        </w:rPr>
        <w:t xml:space="preserve">Smaller reporting company </w:t>
      </w:r>
      <w:r>
        <w:rPr>
          <w:rFonts w:ascii="Arial Unicode MS" w:cs="Arial Unicode MS" w:eastAsia="Arial Unicode MS" w:hAnsi="Arial Unicode MS"/>
          <w:sz w:val="12"/>
          <w:szCs w:val="12"/>
          <w:color w:val="auto"/>
          <w:highlight w:val="black"/>
        </w:rPr>
        <w:t>☐</w:t>
      </w:r>
    </w:p>
    <w:p>
      <w:pPr>
        <w:spacing w:after="0" w:line="55" w:lineRule="exact"/>
        <w:rPr>
          <w:sz w:val="24"/>
          <w:szCs w:val="24"/>
          <w:color w:val="auto"/>
        </w:rPr>
      </w:pPr>
    </w:p>
    <w:p>
      <w:pPr>
        <w:sectPr>
          <w:pgSz w:w="11900" w:h="16838" w:orient="portrait"/>
          <w:cols w:equalWidth="0" w:num="2">
            <w:col w:w="5220" w:space="720"/>
            <w:col w:w="3079"/>
          </w:cols>
          <w:pgMar w:left="1440" w:top="661" w:right="1440" w:bottom="1440" w:gutter="0" w:footer="0" w:header="0"/>
          <w:type w:val="continuous"/>
        </w:sectPr>
      </w:pPr>
    </w:p>
    <w:p>
      <w:pPr>
        <w:ind w:left="5900"/>
        <w:spacing w:after="0" w:line="161" w:lineRule="exact"/>
        <w:rPr>
          <w:sz w:val="20"/>
          <w:szCs w:val="20"/>
          <w:color w:val="auto"/>
        </w:rPr>
      </w:pPr>
      <w:r>
        <w:rPr>
          <w:rFonts w:ascii="Arial" w:cs="Arial" w:eastAsia="Arial" w:hAnsi="Arial"/>
          <w:sz w:val="12"/>
          <w:szCs w:val="12"/>
          <w:color w:val="auto"/>
        </w:rPr>
        <w:t xml:space="preserve">Emerging growth company </w:t>
      </w:r>
      <w:r>
        <w:rPr>
          <w:rFonts w:ascii="Arial Unicode MS" w:cs="Arial Unicode MS" w:eastAsia="Arial Unicode MS" w:hAnsi="Arial Unicode MS"/>
          <w:sz w:val="12"/>
          <w:szCs w:val="12"/>
          <w:color w:val="auto"/>
          <w:highlight w:val="black"/>
        </w:rPr>
        <w:t>☐</w:t>
      </w:r>
    </w:p>
    <w:p>
      <w:pPr>
        <w:sectPr>
          <w:pgSz w:w="11900" w:h="16838" w:orient="portrait"/>
          <w:cols w:equalWidth="0" w:num="1">
            <w:col w:w="9019"/>
          </w:cols>
          <w:pgMar w:left="1440" w:top="661" w:right="1440" w:bottom="1440" w:gutter="0" w:footer="0" w:header="0"/>
          <w:type w:val="continuous"/>
        </w:sectPr>
      </w:pPr>
    </w:p>
    <w:p>
      <w:pPr>
        <w:spacing w:after="0" w:line="84" w:lineRule="exact"/>
        <w:rPr>
          <w:sz w:val="24"/>
          <w:szCs w:val="24"/>
          <w:color w:val="auto"/>
        </w:rPr>
      </w:pPr>
    </w:p>
    <w:p>
      <w:pPr>
        <w:ind w:left="60" w:right="339"/>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60" w:right="119"/>
        <w:spacing w:after="0" w:line="254"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audit report.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60" w:right="259"/>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60" w:right="139"/>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left="60" w:right="2499"/>
        <w:spacing w:after="0" w:line="206"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highlight w:val="black"/>
        </w:rPr>
        <w:t>☒</w:t>
      </w:r>
      <w:r>
        <w:rPr>
          <w:rFonts w:ascii="Arial" w:cs="Arial" w:eastAsia="Arial" w:hAnsi="Arial"/>
          <w:sz w:val="12"/>
          <w:szCs w:val="12"/>
          <w:color w:val="auto"/>
        </w:rPr>
        <w:t xml:space="preserve"> The aggregate market value of the registrant’s voting interests held by non-affiliates on June 30, 2024 was $0.</w:t>
      </w:r>
    </w:p>
    <w:p>
      <w:pPr>
        <w:spacing w:after="0" w:line="50" w:lineRule="exact"/>
        <w:rPr>
          <w:sz w:val="24"/>
          <w:szCs w:val="24"/>
          <w:color w:val="auto"/>
        </w:rPr>
      </w:pPr>
    </w:p>
    <w:p>
      <w:pPr>
        <w:ind w:left="60"/>
        <w:spacing w:after="0"/>
        <w:rPr>
          <w:sz w:val="20"/>
          <w:szCs w:val="20"/>
          <w:color w:val="auto"/>
        </w:rPr>
      </w:pPr>
      <w:r>
        <w:rPr>
          <w:rFonts w:ascii="Arial" w:cs="Arial" w:eastAsia="Arial" w:hAnsi="Arial"/>
          <w:sz w:val="13"/>
          <w:szCs w:val="13"/>
          <w:color w:val="auto"/>
        </w:rPr>
        <w:t>As of March 12, 2025, the registrant’s outstanding common stock consisted of 1,000 shares of common stock, $0 par value per share.</w:t>
      </w:r>
    </w:p>
    <w:p>
      <w:pPr>
        <w:spacing w:after="0" w:line="121" w:lineRule="exact"/>
        <w:rPr>
          <w:sz w:val="24"/>
          <w:szCs w:val="24"/>
          <w:color w:val="auto"/>
        </w:rPr>
      </w:pPr>
    </w:p>
    <w:p>
      <w:pPr>
        <w:ind w:left="60" w:right="499"/>
        <w:spacing w:after="0" w:line="252" w:lineRule="auto"/>
        <w:rPr>
          <w:sz w:val="20"/>
          <w:szCs w:val="20"/>
          <w:color w:val="auto"/>
        </w:rPr>
      </w:pPr>
      <w:r>
        <w:rPr>
          <w:rFonts w:ascii="Arial" w:cs="Arial" w:eastAsia="Arial" w:hAnsi="Arial"/>
          <w:sz w:val="13"/>
          <w:szCs w:val="13"/>
          <w:b w:val="1"/>
          <w:bCs w:val="1"/>
          <w:color w:val="auto"/>
        </w:rPr>
        <w:t>The registrant meets the conditions set forth in General Instructions (I)(1)(a) and (b) of Form 10-K and is therefore filing this Annual Report on Form 10-K with the reduced disclosure format.</w:t>
      </w:r>
    </w:p>
    <w:p>
      <w:pPr>
        <w:spacing w:after="0" w:line="46"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left="60"/>
        <w:spacing w:after="0"/>
        <w:rPr>
          <w:sz w:val="20"/>
          <w:szCs w:val="20"/>
          <w:color w:val="auto"/>
        </w:rPr>
      </w:pPr>
      <w:r>
        <w:rPr>
          <w:rFonts w:ascii="Arial" w:cs="Arial" w:eastAsia="Arial" w:hAnsi="Arial"/>
          <w:sz w:val="13"/>
          <w:szCs w:val="13"/>
          <w:color w:val="auto"/>
        </w:rPr>
        <w:t>The following documents are incorporated into this Form 10-K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662305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96520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147955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8320" w:type="dxa"/>
            <w:vAlign w:val="bottom"/>
            <w:gridSpan w:val="40"/>
          </w:tcPr>
          <w:p>
            <w:pPr>
              <w:spacing w:after="0"/>
              <w:rPr>
                <w:sz w:val="20"/>
                <w:szCs w:val="20"/>
                <w:color w:val="auto"/>
              </w:rPr>
            </w:pPr>
            <w:r>
              <w:rPr>
                <w:rFonts w:ascii="Arial" w:cs="Arial" w:eastAsia="Arial" w:hAnsi="Arial"/>
                <w:sz w:val="18"/>
                <w:szCs w:val="18"/>
                <w:color w:val="0000EE"/>
              </w:rPr>
              <w:t>Table of Contents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5"/>
        </w:trPr>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gridSpan w:val="19"/>
          </w:tcPr>
          <w:p>
            <w:pPr>
              <w:ind w:left="5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b w:val="1"/>
                <w:bCs w:val="1"/>
                <w:color w:val="0000EE"/>
                <w:w w:val="98"/>
              </w:rPr>
              <w:t>PART I</w:t>
            </w:r>
          </w:p>
        </w:tc>
        <w:tc>
          <w:tcPr>
            <w:tcW w:w="36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33"/>
          </w:tcPr>
          <w:p>
            <w:pPr>
              <w:spacing w:after="0"/>
              <w:rPr>
                <w:sz w:val="20"/>
                <w:szCs w:val="20"/>
                <w:color w:val="auto"/>
              </w:rPr>
            </w:pPr>
            <w:r>
              <w:rPr>
                <w:rFonts w:ascii="Arial" w:cs="Arial" w:eastAsia="Arial" w:hAnsi="Arial"/>
                <w:sz w:val="18"/>
                <w:szCs w:val="18"/>
                <w:color w:val="0000EE"/>
              </w:rPr>
              <w:t>Disclosure Regarding Forward-Looking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83"/>
        </w:trPr>
        <w:tc>
          <w:tcPr>
            <w:tcW w:w="740" w:type="dxa"/>
            <w:vAlign w:val="bottom"/>
            <w:gridSpan w:val="7"/>
          </w:tcPr>
          <w:p>
            <w:pPr>
              <w:spacing w:after="0" w:line="182" w:lineRule="exact"/>
              <w:rPr>
                <w:sz w:val="20"/>
                <w:szCs w:val="20"/>
                <w:color w:val="auto"/>
              </w:rPr>
            </w:pPr>
            <w:r>
              <w:rPr>
                <w:rFonts w:ascii="Arial" w:cs="Arial" w:eastAsia="Arial" w:hAnsi="Arial"/>
                <w:sz w:val="18"/>
                <w:szCs w:val="18"/>
                <w:color w:val="0000EE"/>
              </w:rPr>
              <w:t>Item 1.</w:t>
            </w:r>
          </w:p>
        </w:tc>
        <w:tc>
          <w:tcPr>
            <w:tcW w:w="408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Business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740" w:type="dxa"/>
            <w:vAlign w:val="bottom"/>
            <w:gridSpan w:val="7"/>
          </w:tcPr>
          <w:p>
            <w:pPr>
              <w:spacing w:after="0" w:line="182" w:lineRule="exact"/>
              <w:rPr>
                <w:sz w:val="20"/>
                <w:szCs w:val="20"/>
                <w:color w:val="auto"/>
              </w:rPr>
            </w:pPr>
            <w:r>
              <w:rPr>
                <w:rFonts w:ascii="Arial" w:cs="Arial" w:eastAsia="Arial" w:hAnsi="Arial"/>
                <w:sz w:val="18"/>
                <w:szCs w:val="18"/>
                <w:color w:val="0000EE"/>
              </w:rPr>
              <w:t>Item 1A.</w:t>
            </w:r>
          </w:p>
        </w:tc>
        <w:tc>
          <w:tcPr>
            <w:tcW w:w="20" w:type="dxa"/>
            <w:vAlign w:val="bottom"/>
            <w:vMerge w:val="continue"/>
          </w:tcPr>
          <w:p>
            <w:pPr>
              <w:spacing w:after="0"/>
              <w:rPr>
                <w:sz w:val="15"/>
                <w:szCs w:val="15"/>
                <w:color w:val="auto"/>
              </w:rPr>
            </w:pPr>
          </w:p>
        </w:tc>
        <w:tc>
          <w:tcPr>
            <w:tcW w:w="7560" w:type="dxa"/>
            <w:vAlign w:val="bottom"/>
            <w:gridSpan w:val="32"/>
          </w:tcPr>
          <w:p>
            <w:pPr>
              <w:spacing w:after="0" w:line="182" w:lineRule="exact"/>
              <w:rPr>
                <w:sz w:val="20"/>
                <w:szCs w:val="20"/>
                <w:color w:val="auto"/>
              </w:rPr>
            </w:pPr>
            <w:r>
              <w:rPr>
                <w:rFonts w:ascii="Arial" w:cs="Arial" w:eastAsia="Arial" w:hAnsi="Arial"/>
                <w:sz w:val="18"/>
                <w:szCs w:val="18"/>
                <w:color w:val="0000EE"/>
              </w:rPr>
              <w:t>Risk Factors</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Item 1B.</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Unresolved</w:t>
            </w:r>
          </w:p>
        </w:tc>
        <w:tc>
          <w:tcPr>
            <w:tcW w:w="6580" w:type="dxa"/>
            <w:vAlign w:val="bottom"/>
            <w:gridSpan w:val="27"/>
          </w:tcPr>
          <w:p>
            <w:pPr>
              <w:spacing w:after="0" w:line="182" w:lineRule="exact"/>
              <w:rPr>
                <w:sz w:val="20"/>
                <w:szCs w:val="20"/>
                <w:color w:val="auto"/>
              </w:rPr>
            </w:pPr>
            <w:r>
              <w:rPr>
                <w:rFonts w:ascii="Arial" w:cs="Arial" w:eastAsia="Arial" w:hAnsi="Arial"/>
                <w:sz w:val="18"/>
                <w:szCs w:val="18"/>
                <w:color w:val="0000EE"/>
              </w:rPr>
              <w:t>Staff Comments</w:t>
            </w: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6"/>
              </w:rPr>
              <w:t>Item 1C.</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Cybersecurity</w:t>
            </w: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Item 2.</w:t>
            </w:r>
          </w:p>
        </w:tc>
        <w:tc>
          <w:tcPr>
            <w:tcW w:w="140" w:type="dxa"/>
            <w:vAlign w:val="bottom"/>
            <w:tcBorders>
              <w:top w:val="single" w:sz="8" w:color="0000EE"/>
            </w:tcBorders>
            <w:gridSpan w:val="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Properties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56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Item 3.</w:t>
            </w: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8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7"/>
              </w:rPr>
              <w:t>Legal Proceedings</w:t>
            </w:r>
          </w:p>
        </w:tc>
        <w:tc>
          <w:tcPr>
            <w:tcW w:w="6080" w:type="dxa"/>
            <w:vAlign w:val="bottom"/>
            <w:gridSpan w:val="24"/>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gridSpan w:val="2"/>
          </w:tcPr>
          <w:p>
            <w:pPr>
              <w:spacing w:after="0" w:line="182" w:lineRule="exact"/>
              <w:rPr>
                <w:sz w:val="20"/>
                <w:szCs w:val="20"/>
                <w:color w:val="auto"/>
              </w:rPr>
            </w:pPr>
            <w:r>
              <w:rPr>
                <w:rFonts w:ascii="Arial" w:cs="Arial" w:eastAsia="Arial" w:hAnsi="Arial"/>
                <w:sz w:val="18"/>
                <w:szCs w:val="18"/>
                <w:color w:val="0000EE"/>
                <w:w w:val="98"/>
              </w:rPr>
              <w:t>Item 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7560" w:type="dxa"/>
            <w:vAlign w:val="bottom"/>
            <w:gridSpan w:val="32"/>
          </w:tcPr>
          <w:p>
            <w:pPr>
              <w:spacing w:after="0" w:line="182" w:lineRule="exact"/>
              <w:rPr>
                <w:sz w:val="20"/>
                <w:szCs w:val="20"/>
                <w:color w:val="auto"/>
              </w:rPr>
            </w:pPr>
            <w:r>
              <w:rPr>
                <w:rFonts w:ascii="Arial" w:cs="Arial" w:eastAsia="Arial" w:hAnsi="Arial"/>
                <w:sz w:val="18"/>
                <w:szCs w:val="18"/>
                <w:color w:val="0000EE"/>
              </w:rPr>
              <w:t>Mine Safety Disclosures</w:t>
            </w: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85"/>
        </w:trPr>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gridSpan w:val="14"/>
          </w:tcPr>
          <w:p>
            <w:pPr>
              <w:jc w:val="center"/>
              <w:ind w:right="3620"/>
              <w:spacing w:after="0"/>
              <w:rPr>
                <w:sz w:val="20"/>
                <w:szCs w:val="20"/>
                <w:color w:val="auto"/>
              </w:rPr>
            </w:pPr>
            <w:r>
              <w:rPr>
                <w:rFonts w:ascii="Arial" w:cs="Arial" w:eastAsia="Arial" w:hAnsi="Arial"/>
                <w:sz w:val="18"/>
                <w:szCs w:val="18"/>
                <w:b w:val="1"/>
                <w:bCs w:val="1"/>
                <w:color w:val="0000EE"/>
                <w:w w:val="96"/>
              </w:rPr>
              <w:t>PART II</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gridSpan w:val="7"/>
          </w:tcPr>
          <w:p>
            <w:pPr>
              <w:spacing w:after="0"/>
              <w:rPr>
                <w:sz w:val="20"/>
                <w:szCs w:val="20"/>
                <w:color w:val="auto"/>
              </w:rPr>
            </w:pPr>
            <w:r>
              <w:rPr>
                <w:rFonts w:ascii="Arial" w:cs="Arial" w:eastAsia="Arial" w:hAnsi="Arial"/>
                <w:sz w:val="18"/>
                <w:szCs w:val="18"/>
                <w:color w:val="0000EE"/>
              </w:rPr>
              <w:t>Item 5.</w:t>
            </w:r>
          </w:p>
        </w:tc>
        <w:tc>
          <w:tcPr>
            <w:tcW w:w="7580" w:type="dxa"/>
            <w:vAlign w:val="bottom"/>
            <w:gridSpan w:val="33"/>
          </w:tcPr>
          <w:p>
            <w:pPr>
              <w:spacing w:after="0"/>
              <w:rPr>
                <w:sz w:val="20"/>
                <w:szCs w:val="20"/>
                <w:color w:val="auto"/>
              </w:rPr>
            </w:pPr>
            <w:r>
              <w:rPr>
                <w:rFonts w:ascii="Arial" w:cs="Arial" w:eastAsia="Arial" w:hAnsi="Arial"/>
                <w:sz w:val="18"/>
                <w:szCs w:val="18"/>
                <w:color w:val="0000EE"/>
              </w:rPr>
              <w:t>Market for Registrant’s Common Equity, Related Stockholder Matters and Issuer Purchases</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 w:type="dxa"/>
            <w:vAlign w:val="bottom"/>
            <w:gridSpan w:val="7"/>
            <w:vMerge w:val="restart"/>
          </w:tcPr>
          <w:p>
            <w:pPr>
              <w:spacing w:after="0"/>
              <w:rPr>
                <w:sz w:val="20"/>
                <w:szCs w:val="20"/>
                <w:color w:val="auto"/>
              </w:rPr>
            </w:pPr>
            <w:r>
              <w:rPr>
                <w:rFonts w:ascii="Arial" w:cs="Arial" w:eastAsia="Arial" w:hAnsi="Arial"/>
                <w:sz w:val="18"/>
                <w:szCs w:val="18"/>
                <w:color w:val="0000EE"/>
              </w:rPr>
              <w:t>Item 6.</w:t>
            </w:r>
          </w:p>
        </w:tc>
        <w:tc>
          <w:tcPr>
            <w:tcW w:w="20" w:type="dxa"/>
            <w:vAlign w:val="bottom"/>
            <w:vMerge w:val="continue"/>
          </w:tcPr>
          <w:p>
            <w:pPr>
              <w:spacing w:after="0"/>
              <w:rPr>
                <w:sz w:val="15"/>
                <w:szCs w:val="15"/>
                <w:color w:val="auto"/>
              </w:rPr>
            </w:pPr>
          </w:p>
        </w:tc>
        <w:tc>
          <w:tcPr>
            <w:tcW w:w="7260" w:type="dxa"/>
            <w:vAlign w:val="bottom"/>
            <w:gridSpan w:val="31"/>
          </w:tcPr>
          <w:p>
            <w:pPr>
              <w:spacing w:after="0" w:line="182" w:lineRule="exact"/>
              <w:rPr>
                <w:sz w:val="20"/>
                <w:szCs w:val="20"/>
                <w:color w:val="auto"/>
              </w:rPr>
            </w:pPr>
            <w:r>
              <w:rPr>
                <w:rFonts w:ascii="Arial" w:cs="Arial" w:eastAsia="Arial" w:hAnsi="Arial"/>
                <w:sz w:val="18"/>
                <w:szCs w:val="18"/>
                <w:color w:val="0000EE"/>
              </w:rPr>
              <w:t>of Equity Securities</w:t>
            </w:r>
          </w:p>
        </w:tc>
        <w:tc>
          <w:tcPr>
            <w:tcW w:w="300" w:type="dxa"/>
            <w:vAlign w:val="bottom"/>
            <w:vMerge w:val="continue"/>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740" w:type="dxa"/>
            <w:vAlign w:val="bottom"/>
            <w:gridSpan w:val="7"/>
            <w:vMerge w:val="continue"/>
          </w:tcPr>
          <w:p>
            <w:pPr>
              <w:spacing w:after="0"/>
              <w:rPr>
                <w:sz w:val="15"/>
                <w:szCs w:val="15"/>
                <w:color w:val="auto"/>
              </w:rPr>
            </w:pPr>
          </w:p>
        </w:tc>
        <w:tc>
          <w:tcPr>
            <w:tcW w:w="15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[Reserved]</w:t>
            </w:r>
          </w:p>
        </w:tc>
        <w:tc>
          <w:tcPr>
            <w:tcW w:w="14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1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83"/>
        </w:trPr>
        <w:tc>
          <w:tcPr>
            <w:tcW w:w="5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7.</w:t>
            </w:r>
          </w:p>
        </w:tc>
        <w:tc>
          <w:tcPr>
            <w:tcW w:w="20" w:type="dxa"/>
            <w:vAlign w:val="bottom"/>
            <w:tcBorders>
              <w:bottom w:val="single" w:sz="8" w:color="0000EE"/>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640" w:type="dxa"/>
            <w:vAlign w:val="bottom"/>
            <w:tcBorders>
              <w:bottom w:val="single" w:sz="8" w:color="0000EE"/>
            </w:tcBorders>
            <w:gridSpan w:val="27"/>
          </w:tcPr>
          <w:p>
            <w:pPr>
              <w:spacing w:after="0" w:line="182" w:lineRule="exact"/>
              <w:rPr>
                <w:sz w:val="20"/>
                <w:szCs w:val="20"/>
                <w:color w:val="auto"/>
              </w:rPr>
            </w:pPr>
            <w:r>
              <w:rPr>
                <w:rFonts w:ascii="Arial" w:cs="Arial" w:eastAsia="Arial" w:hAnsi="Arial"/>
                <w:sz w:val="18"/>
                <w:szCs w:val="18"/>
                <w:color w:val="0000EE"/>
                <w:w w:val="99"/>
              </w:rPr>
              <w:t>Management’s Narrative Analysis of Results of Operations</w:t>
            </w:r>
          </w:p>
        </w:tc>
        <w:tc>
          <w:tcPr>
            <w:tcW w:w="2920" w:type="dxa"/>
            <w:vAlign w:val="bottom"/>
            <w:gridSpan w:val="5"/>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gridSpan w:val="7"/>
          </w:tcPr>
          <w:p>
            <w:pPr>
              <w:spacing w:after="0" w:line="182" w:lineRule="exact"/>
              <w:rPr>
                <w:sz w:val="20"/>
                <w:szCs w:val="20"/>
                <w:color w:val="auto"/>
              </w:rPr>
            </w:pPr>
            <w:r>
              <w:rPr>
                <w:rFonts w:ascii="Arial" w:cs="Arial" w:eastAsia="Arial" w:hAnsi="Arial"/>
                <w:sz w:val="18"/>
                <w:szCs w:val="18"/>
                <w:color w:val="0000EE"/>
              </w:rPr>
              <w:t>Item 7A.</w:t>
            </w:r>
          </w:p>
        </w:tc>
        <w:tc>
          <w:tcPr>
            <w:tcW w:w="20" w:type="dxa"/>
            <w:vAlign w:val="bottom"/>
          </w:tcPr>
          <w:p>
            <w:pPr>
              <w:spacing w:after="0"/>
              <w:rPr>
                <w:sz w:val="15"/>
                <w:szCs w:val="15"/>
                <w:color w:val="auto"/>
              </w:rPr>
            </w:pPr>
          </w:p>
        </w:tc>
        <w:tc>
          <w:tcPr>
            <w:tcW w:w="4640" w:type="dxa"/>
            <w:vAlign w:val="bottom"/>
            <w:gridSpan w:val="27"/>
          </w:tcPr>
          <w:p>
            <w:pPr>
              <w:spacing w:after="0" w:line="182" w:lineRule="exact"/>
              <w:rPr>
                <w:sz w:val="20"/>
                <w:szCs w:val="20"/>
                <w:color w:val="auto"/>
              </w:rPr>
            </w:pPr>
            <w:r>
              <w:rPr>
                <w:rFonts w:ascii="Arial" w:cs="Arial" w:eastAsia="Arial" w:hAnsi="Arial"/>
                <w:sz w:val="18"/>
                <w:szCs w:val="18"/>
                <w:color w:val="0000EE"/>
                <w:w w:val="98"/>
              </w:rPr>
              <w:t>Quantitative and Qualitative Disclosures About Market Risk</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2"/>
        </w:trPr>
        <w:tc>
          <w:tcPr>
            <w:tcW w:w="5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Item 8.</w:t>
            </w:r>
          </w:p>
        </w:tc>
        <w:tc>
          <w:tcPr>
            <w:tcW w:w="100" w:type="dxa"/>
            <w:vAlign w:val="bottom"/>
            <w:tcBorders>
              <w:top w:val="single" w:sz="8" w:color="0000EE"/>
            </w:tcBorders>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Financial Statements and Supplementary Data</w:t>
            </w: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line="20" w:lineRule="exact"/>
              <w:rPr>
                <w:sz w:val="1"/>
                <w:szCs w:val="1"/>
                <w:color w:val="auto"/>
              </w:rPr>
            </w:pPr>
          </w:p>
        </w:tc>
      </w:tr>
      <w:tr>
        <w:trPr>
          <w:trHeight w:val="183"/>
        </w:trPr>
        <w:tc>
          <w:tcPr>
            <w:tcW w:w="56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Item 9.</w:t>
            </w:r>
          </w:p>
        </w:tc>
        <w:tc>
          <w:tcPr>
            <w:tcW w:w="80" w:type="dxa"/>
            <w:vAlign w:val="bottom"/>
            <w:vMerge w:val="continue"/>
          </w:tcPr>
          <w:p>
            <w:pPr>
              <w:spacing w:after="0"/>
              <w:rPr>
                <w:sz w:val="15"/>
                <w:szCs w:val="15"/>
                <w:color w:val="auto"/>
              </w:rPr>
            </w:pPr>
          </w:p>
        </w:tc>
        <w:tc>
          <w:tcPr>
            <w:tcW w:w="10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7160" w:type="dxa"/>
            <w:vAlign w:val="bottom"/>
            <w:tcBorders>
              <w:bottom w:val="single" w:sz="8" w:color="0000EE"/>
            </w:tcBorders>
            <w:gridSpan w:val="30"/>
          </w:tcPr>
          <w:p>
            <w:pPr>
              <w:spacing w:after="0" w:line="182" w:lineRule="exact"/>
              <w:rPr>
                <w:sz w:val="20"/>
                <w:szCs w:val="20"/>
                <w:color w:val="auto"/>
              </w:rPr>
            </w:pPr>
            <w:r>
              <w:rPr>
                <w:rFonts w:ascii="Arial" w:cs="Arial" w:eastAsia="Arial" w:hAnsi="Arial"/>
                <w:sz w:val="18"/>
                <w:szCs w:val="18"/>
                <w:color w:val="0000EE"/>
                <w:w w:val="99"/>
              </w:rPr>
              <w:t>Changes in and Disagreements With Accountants on Accounting and Financial Disclosure</w:t>
            </w:r>
          </w:p>
        </w:tc>
        <w:tc>
          <w:tcPr>
            <w:tcW w:w="40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gridSpan w:val="7"/>
          </w:tcPr>
          <w:p>
            <w:pPr>
              <w:spacing w:after="0" w:line="182" w:lineRule="exact"/>
              <w:rPr>
                <w:sz w:val="20"/>
                <w:szCs w:val="20"/>
                <w:color w:val="auto"/>
              </w:rPr>
            </w:pPr>
            <w:r>
              <w:rPr>
                <w:rFonts w:ascii="Arial" w:cs="Arial" w:eastAsia="Arial" w:hAnsi="Arial"/>
                <w:sz w:val="18"/>
                <w:szCs w:val="18"/>
                <w:color w:val="0000EE"/>
              </w:rPr>
              <w:t>Item 9A.</w:t>
            </w:r>
          </w:p>
        </w:tc>
        <w:tc>
          <w:tcPr>
            <w:tcW w:w="20" w:type="dxa"/>
            <w:vAlign w:val="bottom"/>
          </w:tcPr>
          <w:p>
            <w:pPr>
              <w:spacing w:after="0"/>
              <w:rPr>
                <w:sz w:val="15"/>
                <w:szCs w:val="15"/>
                <w:color w:val="auto"/>
              </w:rPr>
            </w:pPr>
          </w:p>
        </w:tc>
        <w:tc>
          <w:tcPr>
            <w:tcW w:w="7160" w:type="dxa"/>
            <w:vAlign w:val="bottom"/>
            <w:gridSpan w:val="30"/>
          </w:tcPr>
          <w:p>
            <w:pPr>
              <w:spacing w:after="0" w:line="182" w:lineRule="exact"/>
              <w:rPr>
                <w:sz w:val="20"/>
                <w:szCs w:val="20"/>
                <w:color w:val="auto"/>
              </w:rPr>
            </w:pPr>
            <w:r>
              <w:rPr>
                <w:rFonts w:ascii="Arial" w:cs="Arial" w:eastAsia="Arial" w:hAnsi="Arial"/>
                <w:sz w:val="18"/>
                <w:szCs w:val="18"/>
                <w:color w:val="0000EE"/>
              </w:rPr>
              <w:t>Controls and Procedures</w:t>
            </w:r>
          </w:p>
        </w:tc>
        <w:tc>
          <w:tcPr>
            <w:tcW w:w="40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Item 9B.</w:t>
            </w: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Other Information</w:t>
            </w:r>
          </w:p>
        </w:tc>
        <w:tc>
          <w:tcPr>
            <w:tcW w:w="1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5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4"/>
          </w:tcPr>
          <w:p>
            <w:pPr>
              <w:spacing w:after="0"/>
              <w:rPr>
                <w:sz w:val="15"/>
                <w:szCs w:val="15"/>
                <w:color w:val="auto"/>
              </w:rPr>
            </w:pPr>
          </w:p>
        </w:tc>
        <w:tc>
          <w:tcPr>
            <w:tcW w:w="218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183"/>
        </w:trPr>
        <w:tc>
          <w:tcPr>
            <w:tcW w:w="680" w:type="dxa"/>
            <w:vAlign w:val="bottom"/>
            <w:gridSpan w:val="5"/>
          </w:tcPr>
          <w:p>
            <w:pPr>
              <w:spacing w:after="0" w:line="182" w:lineRule="exact"/>
              <w:rPr>
                <w:sz w:val="20"/>
                <w:szCs w:val="20"/>
                <w:color w:val="auto"/>
              </w:rPr>
            </w:pPr>
            <w:r>
              <w:rPr>
                <w:rFonts w:ascii="Arial" w:cs="Arial" w:eastAsia="Arial" w:hAnsi="Arial"/>
                <w:sz w:val="18"/>
                <w:szCs w:val="18"/>
                <w:color w:val="0000EE"/>
                <w:w w:val="96"/>
              </w:rPr>
              <w:t>Item 9C.</w:t>
            </w: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7560" w:type="dxa"/>
            <w:vAlign w:val="bottom"/>
            <w:gridSpan w:val="32"/>
          </w:tcPr>
          <w:p>
            <w:pPr>
              <w:spacing w:after="0" w:line="182"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80" w:type="dxa"/>
            <w:vAlign w:val="bottom"/>
            <w:tcBorders>
              <w:top w:val="single" w:sz="8" w:color="0000EE"/>
            </w:tcBorders>
            <w:gridSpan w:val="12"/>
          </w:tcPr>
          <w:p>
            <w:pPr>
              <w:jc w:val="center"/>
              <w:ind w:right="1420"/>
              <w:spacing w:after="0"/>
              <w:rPr>
                <w:sz w:val="20"/>
                <w:szCs w:val="20"/>
                <w:color w:val="auto"/>
              </w:rPr>
            </w:pPr>
            <w:r>
              <w:rPr>
                <w:rFonts w:ascii="Arial" w:cs="Arial" w:eastAsia="Arial" w:hAnsi="Arial"/>
                <w:sz w:val="18"/>
                <w:szCs w:val="18"/>
                <w:b w:val="1"/>
                <w:bCs w:val="1"/>
                <w:color w:val="0000EE"/>
                <w:w w:val="95"/>
              </w:rPr>
              <w:t>PART III</w:t>
            </w:r>
          </w:p>
        </w:tc>
        <w:tc>
          <w:tcPr>
            <w:tcW w:w="218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40" w:type="dxa"/>
            <w:vAlign w:val="bottom"/>
            <w:gridSpan w:val="7"/>
          </w:tcPr>
          <w:p>
            <w:pPr>
              <w:spacing w:after="0"/>
              <w:rPr>
                <w:sz w:val="20"/>
                <w:szCs w:val="20"/>
                <w:color w:val="auto"/>
              </w:rPr>
            </w:pPr>
            <w:r>
              <w:rPr>
                <w:rFonts w:ascii="Arial" w:cs="Arial" w:eastAsia="Arial" w:hAnsi="Arial"/>
                <w:sz w:val="18"/>
                <w:szCs w:val="18"/>
                <w:color w:val="auto"/>
              </w:rPr>
              <w:t>Item 10.</w:t>
            </w:r>
          </w:p>
        </w:tc>
        <w:tc>
          <w:tcPr>
            <w:tcW w:w="7580" w:type="dxa"/>
            <w:vAlign w:val="bottom"/>
            <w:gridSpan w:val="33"/>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 w:type="dxa"/>
            <w:vAlign w:val="bottom"/>
            <w:gridSpan w:val="7"/>
          </w:tcPr>
          <w:p>
            <w:pPr>
              <w:spacing w:after="0" w:line="202" w:lineRule="exact"/>
              <w:rPr>
                <w:sz w:val="20"/>
                <w:szCs w:val="20"/>
                <w:color w:val="auto"/>
              </w:rPr>
            </w:pPr>
            <w:r>
              <w:rPr>
                <w:rFonts w:ascii="Arial" w:cs="Arial" w:eastAsia="Arial" w:hAnsi="Arial"/>
                <w:sz w:val="18"/>
                <w:szCs w:val="18"/>
                <w:color w:val="auto"/>
              </w:rPr>
              <w:t>Item 11.</w:t>
            </w:r>
          </w:p>
        </w:tc>
        <w:tc>
          <w:tcPr>
            <w:tcW w:w="7580" w:type="dxa"/>
            <w:vAlign w:val="bottom"/>
            <w:gridSpan w:val="33"/>
          </w:tcPr>
          <w:p>
            <w:pPr>
              <w:spacing w:after="0" w:line="202" w:lineRule="exact"/>
              <w:rPr>
                <w:sz w:val="20"/>
                <w:szCs w:val="20"/>
                <w:color w:val="auto"/>
              </w:rPr>
            </w:pPr>
            <w:r>
              <w:rPr>
                <w:rFonts w:ascii="Arial" w:cs="Arial" w:eastAsia="Arial" w:hAnsi="Arial"/>
                <w:sz w:val="18"/>
                <w:szCs w:val="18"/>
                <w:color w:val="auto"/>
              </w:rPr>
              <w:t>Executive Compensation</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 w:type="dxa"/>
            <w:vAlign w:val="bottom"/>
            <w:gridSpan w:val="7"/>
          </w:tcPr>
          <w:p>
            <w:pPr>
              <w:spacing w:after="0" w:line="202" w:lineRule="exact"/>
              <w:rPr>
                <w:sz w:val="20"/>
                <w:szCs w:val="20"/>
                <w:color w:val="auto"/>
              </w:rPr>
            </w:pPr>
            <w:r>
              <w:rPr>
                <w:rFonts w:ascii="Arial" w:cs="Arial" w:eastAsia="Arial" w:hAnsi="Arial"/>
                <w:sz w:val="18"/>
                <w:szCs w:val="18"/>
                <w:color w:val="auto"/>
              </w:rPr>
              <w:t>Item 12.</w:t>
            </w:r>
          </w:p>
        </w:tc>
        <w:tc>
          <w:tcPr>
            <w:tcW w:w="7580" w:type="dxa"/>
            <w:vAlign w:val="bottom"/>
            <w:gridSpan w:val="33"/>
          </w:tcPr>
          <w:p>
            <w:pPr>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80" w:type="dxa"/>
            <w:vAlign w:val="bottom"/>
            <w:gridSpan w:val="33"/>
          </w:tcPr>
          <w:p>
            <w:pPr>
              <w:spacing w:after="0" w:line="202" w:lineRule="exact"/>
              <w:rPr>
                <w:sz w:val="20"/>
                <w:szCs w:val="20"/>
                <w:color w:val="auto"/>
              </w:rPr>
            </w:pPr>
            <w:r>
              <w:rPr>
                <w:rFonts w:ascii="Arial" w:cs="Arial" w:eastAsia="Arial" w:hAnsi="Arial"/>
                <w:sz w:val="18"/>
                <w:szCs w:val="18"/>
                <w:color w:val="auto"/>
              </w:rPr>
              <w:t>Stockholder Matters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7"/>
          </w:tcPr>
          <w:p>
            <w:pPr>
              <w:spacing w:after="0" w:line="202" w:lineRule="exact"/>
              <w:rPr>
                <w:sz w:val="20"/>
                <w:szCs w:val="20"/>
                <w:color w:val="auto"/>
              </w:rPr>
            </w:pPr>
            <w:r>
              <w:rPr>
                <w:rFonts w:ascii="Arial" w:cs="Arial" w:eastAsia="Arial" w:hAnsi="Arial"/>
                <w:sz w:val="18"/>
                <w:szCs w:val="18"/>
                <w:color w:val="auto"/>
              </w:rPr>
              <w:t>Item 13.</w:t>
            </w:r>
          </w:p>
        </w:tc>
        <w:tc>
          <w:tcPr>
            <w:tcW w:w="7580" w:type="dxa"/>
            <w:vAlign w:val="bottom"/>
            <w:gridSpan w:val="33"/>
          </w:tcPr>
          <w:p>
            <w:pPr>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740" w:type="dxa"/>
            <w:vAlign w:val="bottom"/>
            <w:gridSpan w:val="7"/>
          </w:tcPr>
          <w:p>
            <w:pPr>
              <w:spacing w:after="0" w:line="195" w:lineRule="exact"/>
              <w:rPr>
                <w:sz w:val="20"/>
                <w:szCs w:val="20"/>
                <w:color w:val="auto"/>
              </w:rPr>
            </w:pPr>
            <w:r>
              <w:rPr>
                <w:rFonts w:ascii="Arial" w:cs="Arial" w:eastAsia="Arial" w:hAnsi="Arial"/>
                <w:sz w:val="18"/>
                <w:szCs w:val="18"/>
                <w:color w:val="0000EE"/>
              </w:rPr>
              <w:t>Item 14.</w:t>
            </w:r>
          </w:p>
        </w:tc>
        <w:tc>
          <w:tcPr>
            <w:tcW w:w="7580" w:type="dxa"/>
            <w:vAlign w:val="bottom"/>
            <w:gridSpan w:val="33"/>
          </w:tcPr>
          <w:p>
            <w:pPr>
              <w:spacing w:after="0" w:line="195" w:lineRule="exact"/>
              <w:rPr>
                <w:sz w:val="20"/>
                <w:szCs w:val="20"/>
                <w:color w:val="auto"/>
              </w:rPr>
            </w:pPr>
            <w:r>
              <w:rPr>
                <w:rFonts w:ascii="Arial" w:cs="Arial" w:eastAsia="Arial" w:hAnsi="Arial"/>
                <w:sz w:val="18"/>
                <w:szCs w:val="18"/>
                <w:color w:val="0000EE"/>
              </w:rPr>
              <w:t>Principal Accounting Fees and Services</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85"/>
        </w:trPr>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bottom w:val="single" w:sz="8" w:color="0000EE"/>
            </w:tcBorders>
            <w:gridSpan w:val="9"/>
          </w:tcPr>
          <w:p>
            <w:pPr>
              <w:jc w:val="center"/>
              <w:spacing w:after="0"/>
              <w:rPr>
                <w:sz w:val="20"/>
                <w:szCs w:val="20"/>
                <w:color w:val="auto"/>
              </w:rPr>
            </w:pPr>
            <w:r>
              <w:rPr>
                <w:rFonts w:ascii="Arial" w:cs="Arial" w:eastAsia="Arial" w:hAnsi="Arial"/>
                <w:sz w:val="18"/>
                <w:szCs w:val="18"/>
                <w:b w:val="1"/>
                <w:bCs w:val="1"/>
                <w:color w:val="0000EE"/>
                <w:w w:val="98"/>
              </w:rPr>
              <w:t>PART IV</w:t>
            </w:r>
          </w:p>
        </w:tc>
        <w:tc>
          <w:tcPr>
            <w:tcW w:w="358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40" w:type="dxa"/>
            <w:vAlign w:val="bottom"/>
            <w:gridSpan w:val="7"/>
          </w:tcPr>
          <w:p>
            <w:pPr>
              <w:spacing w:after="0"/>
              <w:rPr>
                <w:sz w:val="20"/>
                <w:szCs w:val="20"/>
                <w:color w:val="auto"/>
              </w:rPr>
            </w:pPr>
            <w:r>
              <w:rPr>
                <w:rFonts w:ascii="Arial" w:cs="Arial" w:eastAsia="Arial" w:hAnsi="Arial"/>
                <w:sz w:val="18"/>
                <w:szCs w:val="18"/>
                <w:color w:val="0000EE"/>
              </w:rPr>
              <w:t>Item 15.</w:t>
            </w:r>
          </w:p>
        </w:tc>
        <w:tc>
          <w:tcPr>
            <w:tcW w:w="7580" w:type="dxa"/>
            <w:vAlign w:val="bottom"/>
            <w:gridSpan w:val="33"/>
          </w:tcPr>
          <w:p>
            <w:pPr>
              <w:spacing w:after="0"/>
              <w:rPr>
                <w:sz w:val="20"/>
                <w:szCs w:val="20"/>
                <w:color w:val="auto"/>
              </w:rPr>
            </w:pPr>
            <w:r>
              <w:rPr>
                <w:rFonts w:ascii="Arial" w:cs="Arial" w:eastAsia="Arial" w:hAnsi="Arial"/>
                <w:sz w:val="18"/>
                <w:szCs w:val="18"/>
                <w:color w:val="0000EE"/>
              </w:rPr>
              <w:t>Exhibits, Financial Statement Schedules</w:t>
            </w: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5"/>
              </w:rPr>
              <w:t>Item 16.</w:t>
            </w: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8"/>
              </w:rPr>
              <w:t>Form 10-K Summary</w:t>
            </w:r>
          </w:p>
        </w:tc>
        <w:tc>
          <w:tcPr>
            <w:tcW w:w="1540" w:type="dxa"/>
            <w:vAlign w:val="bottom"/>
            <w:tcBorders>
              <w:top w:val="single" w:sz="8" w:color="0000EE"/>
            </w:tcBorders>
            <w:gridSpan w:val="5"/>
          </w:tcPr>
          <w:p>
            <w:pPr>
              <w:spacing w:after="0"/>
              <w:rPr>
                <w:sz w:val="15"/>
                <w:szCs w:val="15"/>
                <w:color w:val="auto"/>
              </w:rPr>
            </w:pPr>
          </w:p>
        </w:tc>
        <w:tc>
          <w:tcPr>
            <w:tcW w:w="260" w:type="dxa"/>
            <w:vAlign w:val="bottom"/>
            <w:gridSpan w:val="5"/>
          </w:tcPr>
          <w:p>
            <w:pPr>
              <w:spacing w:after="0"/>
              <w:rPr>
                <w:sz w:val="15"/>
                <w:szCs w:val="15"/>
                <w:color w:val="auto"/>
              </w:rPr>
            </w:pPr>
          </w:p>
        </w:tc>
        <w:tc>
          <w:tcPr>
            <w:tcW w:w="4100" w:type="dxa"/>
            <w:vAlign w:val="bottom"/>
            <w:gridSpan w:val="1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33"/>
          </w:tcPr>
          <w:p>
            <w:pPr>
              <w:spacing w:after="0"/>
              <w:rPr>
                <w:sz w:val="20"/>
                <w:szCs w:val="20"/>
                <w:color w:val="auto"/>
              </w:rPr>
            </w:pPr>
            <w:r>
              <w:rPr>
                <w:rFonts w:ascii="Arial" w:cs="Arial" w:eastAsia="Arial" w:hAnsi="Arial"/>
                <w:sz w:val="18"/>
                <w:szCs w:val="18"/>
                <w:color w:val="0000EE"/>
              </w:rPr>
              <w:t>Signatures</w:t>
            </w: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Index to</w:t>
            </w:r>
          </w:p>
        </w:tc>
        <w:tc>
          <w:tcPr>
            <w:tcW w:w="2600" w:type="dxa"/>
            <w:vAlign w:val="bottom"/>
            <w:tcBorders>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2"/>
              </w:rPr>
              <w:t>Consolidated Financial Statements</w:t>
            </w:r>
          </w:p>
        </w:tc>
        <w:tc>
          <w:tcPr>
            <w:tcW w:w="4100" w:type="dxa"/>
            <w:vAlign w:val="bottom"/>
            <w:gridSpan w:val="1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93"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*This item has been omitted pursuant to the reduced disclosure format as set forth in General Instructions (I) (2) (a) and (c)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726440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58" w:lineRule="exact"/>
        <w:rPr>
          <w:sz w:val="20"/>
          <w:szCs w:val="20"/>
          <w:color w:val="auto"/>
        </w:rPr>
      </w:pPr>
    </w:p>
    <w:p>
      <w:pPr>
        <w:jc w:val="both"/>
        <w:ind w:left="60" w:right="119"/>
        <w:spacing w:after="0" w:line="247" w:lineRule="auto"/>
        <w:rPr>
          <w:sz w:val="20"/>
          <w:szCs w:val="20"/>
          <w:color w:val="auto"/>
        </w:rPr>
      </w:pPr>
      <w:r>
        <w:rPr>
          <w:rFonts w:ascii="Arial" w:cs="Arial" w:eastAsia="Arial" w:hAnsi="Arial"/>
          <w:sz w:val="18"/>
          <w:szCs w:val="18"/>
          <w:color w:val="auto"/>
        </w:rPr>
        <w:t>Unless otherwise required by the context, in this report, the words “DISH Network,” the “Company,” “we,” “our” and “us” refer to DISH Network Corporation and its subsidiaries, “EchoStar” refers to EchoStar Corporation, our parent company, and its subsidiaries, including us, and “DISH DBS” refers to DISH DBS Corporation, a wholly-owned, indirect subsidiary of DISH Network, and its subsidiaries.</w:t>
      </w:r>
    </w:p>
    <w:p>
      <w:pPr>
        <w:spacing w:after="0" w:line="12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Annual Report on Form 10-K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77" w:lineRule="exact"/>
        <w:rPr>
          <w:sz w:val="20"/>
          <w:szCs w:val="20"/>
          <w:color w:val="auto"/>
        </w:rPr>
      </w:pPr>
    </w:p>
    <w:p>
      <w:pPr>
        <w:ind w:left="720" w:right="11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p>
      <w:pPr>
        <w:spacing w:after="0" w:line="28" w:lineRule="exact"/>
        <w:rPr>
          <w:rFonts w:ascii="Times New Roman" w:cs="Times New Roman" w:eastAsia="Times New Roman" w:hAnsi="Times New Roman"/>
          <w:sz w:val="18"/>
          <w:szCs w:val="18"/>
          <w:color w:val="auto"/>
        </w:rPr>
      </w:pPr>
    </w:p>
    <w:p>
      <w:pPr>
        <w:ind w:left="720" w:right="6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certain risks competing in the wireless services industry and operating a facilities-based wireless services business.</w:t>
      </w:r>
    </w:p>
    <w:p>
      <w:pPr>
        <w:spacing w:after="0" w:line="5" w:lineRule="exact"/>
        <w:rPr>
          <w:rFonts w:ascii="Times New Roman" w:cs="Times New Roman" w:eastAsia="Times New Roman" w:hAnsi="Times New Roman"/>
          <w:sz w:val="18"/>
          <w:szCs w:val="18"/>
          <w:color w:val="auto"/>
        </w:rPr>
      </w:pPr>
    </w:p>
    <w:p>
      <w:pPr>
        <w:ind w:left="720" w:right="99" w:hanging="319"/>
        <w:spacing w:after="0" w:line="297"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pay-TV competitors may be able to leverage their relationships with programmers to reduce their programming costs and/or offer exclusive content that will place them at a competitive advantage to us.</w:t>
      </w:r>
    </w:p>
    <w:p>
      <w:pPr>
        <w:spacing w:after="0" w:line="1" w:lineRule="exact"/>
        <w:rPr>
          <w:rFonts w:ascii="Times New Roman" w:cs="Times New Roman" w:eastAsia="Times New Roman" w:hAnsi="Times New Roman"/>
          <w:sz w:val="17"/>
          <w:szCs w:val="17"/>
          <w:color w:val="auto"/>
        </w:rPr>
      </w:pPr>
    </w:p>
    <w:p>
      <w:pPr>
        <w:ind w:left="720" w:right="7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Through the MNSA and the NSA, we depend in part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31" w:lineRule="exact"/>
        <w:rPr>
          <w:rFonts w:ascii="Times New Roman" w:cs="Times New Roman" w:eastAsia="Times New Roman" w:hAnsi="Times New Roman"/>
          <w:sz w:val="18"/>
          <w:szCs w:val="18"/>
          <w:color w:val="auto"/>
        </w:rPr>
      </w:pPr>
    </w:p>
    <w:p>
      <w:pPr>
        <w:jc w:val="both"/>
        <w:ind w:left="720" w:right="41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compete with the MNOs whose networks we partially rely on to provide wireless services to our customers, and they may seek to limit, reduce or terminate our network access to the extent that it becomes competitively advantageous to do so.</w:t>
      </w:r>
    </w:p>
    <w:p>
      <w:pPr>
        <w:spacing w:after="0" w:line="22"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77" w:lineRule="exact"/>
        <w:rPr>
          <w:sz w:val="20"/>
          <w:szCs w:val="20"/>
          <w:color w:val="auto"/>
        </w:rPr>
      </w:pPr>
    </w:p>
    <w:p>
      <w:pPr>
        <w:ind w:left="720" w:right="15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Any deterioration in our operational performance, subscriber activations and churn rate and subscriber satisfaction could adversely affect our business, financial condition and results of operations.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20" w:right="33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62"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62" w:lineRule="exact"/>
        <w:rPr>
          <w:rFonts w:ascii="Times New Roman" w:cs="Times New Roman" w:eastAsia="Times New Roman" w:hAnsi="Times New Roman"/>
          <w:sz w:val="18"/>
          <w:szCs w:val="18"/>
          <w:color w:val="auto"/>
        </w:rPr>
      </w:pPr>
    </w:p>
    <w:p>
      <w:pPr>
        <w:ind w:left="720" w:right="23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62"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62"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104" w:lineRule="exact"/>
        <w:rPr>
          <w:sz w:val="20"/>
          <w:szCs w:val="20"/>
          <w:color w:val="auto"/>
        </w:rPr>
      </w:pPr>
    </w:p>
    <w:p>
      <w:pPr>
        <w:ind w:left="720" w:right="2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62"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104" w:lineRule="exact"/>
        <w:rPr>
          <w:sz w:val="20"/>
          <w:szCs w:val="20"/>
          <w:color w:val="auto"/>
        </w:rPr>
      </w:pPr>
    </w:p>
    <w:p>
      <w:pPr>
        <w:ind w:left="720" w:right="67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46" w:lineRule="exact"/>
        <w:rPr>
          <w:rFonts w:ascii="Times New Roman" w:cs="Times New Roman" w:eastAsia="Times New Roman" w:hAnsi="Times New Roman"/>
          <w:sz w:val="18"/>
          <w:szCs w:val="18"/>
          <w:color w:val="auto"/>
        </w:rPr>
      </w:pPr>
    </w:p>
    <w:p>
      <w:pPr>
        <w:ind w:left="720" w:right="779" w:hanging="319"/>
        <w:spacing w:after="0" w:line="300" w:lineRule="auto"/>
        <w:tabs>
          <w:tab w:leader="none" w:pos="7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We are, and may become, party to various lawsuits which, if adversely decided, could have a significant adverse impact on our business, particularly lawsuits regarding intellectual property.</w:t>
      </w:r>
    </w:p>
    <w:p>
      <w:pPr>
        <w:spacing w:after="0" w:line="23" w:lineRule="exact"/>
        <w:rPr>
          <w:rFonts w:ascii="Times New Roman" w:cs="Times New Roman" w:eastAsia="Times New Roman" w:hAnsi="Times New Roman"/>
          <w:sz w:val="17"/>
          <w:szCs w:val="17"/>
          <w:color w:val="auto"/>
        </w:rPr>
      </w:pPr>
    </w:p>
    <w:p>
      <w:pPr>
        <w:jc w:val="both"/>
        <w:ind w:left="720" w:right="159" w:hanging="319"/>
        <w:spacing w:after="0" w:line="252"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104" w:lineRule="exact"/>
        <w:rPr>
          <w:sz w:val="20"/>
          <w:szCs w:val="20"/>
          <w:color w:val="auto"/>
        </w:rPr>
      </w:pPr>
    </w:p>
    <w:p>
      <w:pPr>
        <w:ind w:left="720" w:right="99" w:hanging="319"/>
        <w:spacing w:after="0" w:line="246"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68"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104" w:lineRule="exact"/>
        <w:rPr>
          <w:sz w:val="20"/>
          <w:szCs w:val="20"/>
          <w:color w:val="auto"/>
        </w:rPr>
      </w:pPr>
    </w:p>
    <w:p>
      <w:pPr>
        <w:ind w:left="720" w:right="279" w:hanging="319"/>
        <w:spacing w:after="0" w:line="300" w:lineRule="auto"/>
        <w:tabs>
          <w:tab w:leader="none" w:pos="7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have substantial debt outstanding and may incur additional debt and covenants in our Indentures could limit our ability to undertake certain types of activities and adversely affect our liquidity.</w:t>
      </w:r>
    </w:p>
    <w:p>
      <w:pPr>
        <w:spacing w:after="0" w:line="23" w:lineRule="exact"/>
        <w:rPr>
          <w:rFonts w:ascii="Times New Roman" w:cs="Times New Roman" w:eastAsia="Times New Roman" w:hAnsi="Times New Roman"/>
          <w:sz w:val="17"/>
          <w:szCs w:val="17"/>
          <w:color w:val="auto"/>
        </w:rPr>
      </w:pPr>
    </w:p>
    <w:p>
      <w:pPr>
        <w:ind w:left="720" w:right="399" w:hanging="319"/>
        <w:spacing w:after="0" w:line="246"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68"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substantial investments to acquire certain wireless spectrum licenses and other related assets, and may be unable to realize a return on these assets.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20" w:right="99" w:hanging="319"/>
        <w:spacing w:after="0" w:line="252"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may need additional capital, which may not be available on favorable terms or at all, to fund current obligations, to continue investing in our business and to finance acquisitions and other strategic transactions.</w:t>
      </w:r>
    </w:p>
    <w:p>
      <w:pPr>
        <w:spacing w:after="0" w:line="6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parent, EchoStar, is controlled by one principal stockholder, who is also our Chairman.</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104" w:lineRule="exact"/>
        <w:rPr>
          <w:sz w:val="20"/>
          <w:szCs w:val="20"/>
          <w:color w:val="auto"/>
        </w:rPr>
      </w:pPr>
    </w:p>
    <w:p>
      <w:pPr>
        <w:ind w:left="720" w:right="33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4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 Item 1A in this Annual Report on Form 10-K, those discussed in “Management’s Narrative Analysis of Results of Operations” herein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DISH Network is a holding company that was organized in 1995 as a corporation under the laws of the State of Nevada. Its subsidiaries, together with DISH Network Corporation, are referred to as “DISH Network,” the “Company,” “we,” “us” and/or “our,” unless otherwise required by the context. DISH Network is a wholly-owned subsidiary of EchoStar Corporation (“EchoStar”), a publicly traded company listed on the NASDAQ Global Select Market (“NASDAQ”) under the symbol “SATS.” Our principal executive offices are located at 9601 South Meridian Boulevard, Englewood, Colorado 80112 and our telephone number is (303) 723-1000. We refer readers of this report to EchoStar’s Annual Report on Form 10-K for the year ended December 31, 2024.</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with EchoStar</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 For further information, refer to the Consolidated Financial Statements and notes thereto included in our Annual Report on Form 10-K for the year ended December 31, 2023.</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02429"/>
        </w:rPr>
        <w:t>DIRECTV Transaction</w:t>
      </w:r>
    </w:p>
    <w:p>
      <w:pPr>
        <w:spacing w:after="0" w:line="19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On September 29, 2024, we and DIRECTV Holdings, LLC (“DTV”), entered into an Equity Purchase Agreement (the “Purchase Agreement”). Pursuant to the terms and subject to the conditions set forth in the Purchase Agreement, DTV agreed to acquire from us all of the issued and outstanding equity interests of DISH DBS Corporation (“DISH DBS”), which operates our Pay-TV business.</w:t>
      </w:r>
    </w:p>
    <w:p>
      <w:pPr>
        <w:spacing w:after="0" w:line="160" w:lineRule="exact"/>
        <w:rPr>
          <w:sz w:val="20"/>
          <w:szCs w:val="20"/>
          <w:color w:val="auto"/>
        </w:rPr>
      </w:pPr>
    </w:p>
    <w:p>
      <w:pPr>
        <w:ind w:left="60" w:right="99"/>
        <w:spacing w:after="0" w:line="270" w:lineRule="auto"/>
        <w:rPr>
          <w:sz w:val="20"/>
          <w:szCs w:val="20"/>
          <w:color w:val="auto"/>
        </w:rPr>
      </w:pPr>
      <w:r>
        <w:rPr>
          <w:rFonts w:ascii="Arial" w:cs="Arial" w:eastAsia="Arial" w:hAnsi="Arial"/>
          <w:sz w:val="18"/>
          <w:szCs w:val="18"/>
          <w:color w:val="auto"/>
        </w:rPr>
        <w:t>Following written notice from DTV received on November 20, 2024, DTV terminated the Purchase Agreement effective at 11:59 pm ET on November 22, 2024 pursuant to Section 7.01(a)(iv) of the Purchase Agreement because the DISH DBS Exchange Offers (as defined in Note 9 in the Notes to our Consolidated Financial Statements in this Annual Report on Form 10-K) were not consummated by the Exchange Offer Settlement Date (as defined in the Purchase Agreement). No termination fee or other payment was due from either party to the other as a result of the termination of the Purchase Agreement.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ind w:left="60" w:right="99"/>
        <w:spacing w:after="0" w:line="245" w:lineRule="auto"/>
        <w:rPr>
          <w:sz w:val="20"/>
          <w:szCs w:val="20"/>
          <w:color w:val="auto"/>
        </w:rPr>
      </w:pPr>
      <w:r>
        <w:rPr>
          <w:rFonts w:ascii="Arial" w:cs="Arial" w:eastAsia="Arial" w:hAnsi="Arial"/>
          <w:sz w:val="18"/>
          <w:szCs w:val="18"/>
          <w:color w:val="auto"/>
        </w:rPr>
        <w:t>DISH Network Corporation is a holding company. Its subsidiaries currently operate two primary business segments: (1) Pay-TV and (2) Wireless. Historically, we reported three primary business segments: (1) Pay-TV;</w:t>
      </w:r>
    </w:p>
    <w:p>
      <w:pPr>
        <w:ind w:left="60" w:right="319" w:hanging="10"/>
        <w:spacing w:after="0" w:line="250" w:lineRule="auto"/>
        <w:tabs>
          <w:tab w:leader="none" w:pos="3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Retail Wireless and (3) 5G Network Deployment. See Note 14 in the Notes to our Consolidated Financial Statements in this Annual Report on Form 10-K for further information.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w:t>
      </w:r>
    </w:p>
    <w:p>
      <w:pPr>
        <w:spacing w:after="0" w:line="196" w:lineRule="exact"/>
        <w:rPr>
          <w:sz w:val="20"/>
          <w:szCs w:val="20"/>
          <w:color w:val="auto"/>
        </w:rPr>
      </w:pPr>
    </w:p>
    <w:p>
      <w:pPr>
        <w:ind w:left="60" w:right="59"/>
        <w:spacing w:after="0" w:line="222" w:lineRule="auto"/>
        <w:rPr>
          <w:sz w:val="20"/>
          <w:szCs w:val="20"/>
          <w:color w:val="auto"/>
        </w:rPr>
      </w:pPr>
      <w:r>
        <w:rPr>
          <w:rFonts w:ascii="Arial" w:cs="Arial" w:eastAsia="Arial" w:hAnsi="Arial"/>
          <w:sz w:val="18"/>
          <w:szCs w:val="18"/>
          <w:color w:val="auto"/>
        </w:rPr>
        <w:t>We offer pay-TV services under the DISH</w:t>
      </w:r>
      <w:r>
        <w:rPr>
          <w:rFonts w:ascii="Arial" w:cs="Arial" w:eastAsia="Arial" w:hAnsi="Arial"/>
          <w:sz w:val="35"/>
          <w:szCs w:val="35"/>
          <w:color w:val="auto"/>
          <w:vertAlign w:val="superscript"/>
        </w:rPr>
        <w:t>®</w:t>
      </w:r>
      <w:r>
        <w:rPr>
          <w:rFonts w:ascii="Arial" w:cs="Arial" w:eastAsia="Arial" w:hAnsi="Arial"/>
          <w:sz w:val="18"/>
          <w:szCs w:val="18"/>
          <w:color w:val="auto"/>
        </w:rPr>
        <w:t xml:space="preserve"> brand and the SLING</w:t>
      </w:r>
      <w:r>
        <w:rPr>
          <w:rFonts w:ascii="Arial" w:cs="Arial" w:eastAsia="Arial" w:hAnsi="Arial"/>
          <w:sz w:val="35"/>
          <w:szCs w:val="35"/>
          <w:color w:val="auto"/>
          <w:vertAlign w:val="superscript"/>
        </w:rPr>
        <w:t>®</w:t>
      </w:r>
      <w:r>
        <w:rPr>
          <w:rFonts w:ascii="Arial" w:cs="Arial" w:eastAsia="Arial" w:hAnsi="Arial"/>
          <w:sz w:val="18"/>
          <w:szCs w:val="18"/>
          <w:color w:val="auto"/>
        </w:rPr>
        <w:t xml:space="preserve">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The SLING branded pay-TV services consist of, among other things, multichannel, live-linear and on-demand streaming over-the-top (“OTT”) Internet-based domestic, international, Latino and Freestream video programming services (“SLING TV”). As of December 31, 2024, we had 7.778 million Pay-TV subscribers in the United States, including 5.686 million DISH TV subscribers and 2.092 million SLING TV subscribers.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w:t>
      </w:r>
    </w:p>
    <w:p>
      <w:pPr>
        <w:spacing w:after="0" w:line="196"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Our Wireless segment provides wireless communication services (“Wireless” services) and products. We currently offer our Wireless services for 5G voice over new radio (“VoNR”) to over 220 million Americans and for 5G broadband service to over 268 million Americans, as well as a competitive portfolio of wireless devices.</w:t>
      </w:r>
    </w:p>
    <w:p>
      <w:pPr>
        <w:spacing w:after="0" w:line="155" w:lineRule="exact"/>
        <w:rPr>
          <w:sz w:val="20"/>
          <w:szCs w:val="20"/>
          <w:color w:val="auto"/>
        </w:rPr>
      </w:pPr>
    </w:p>
    <w:p>
      <w:pPr>
        <w:ind w:left="60" w:right="419" w:hanging="7"/>
        <w:spacing w:after="0" w:line="247" w:lineRule="auto"/>
        <w:rPr>
          <w:sz w:val="20"/>
          <w:szCs w:val="20"/>
          <w:color w:val="auto"/>
        </w:rPr>
      </w:pPr>
      <w:r>
        <w:rPr>
          <w:rFonts w:ascii="Arial" w:cs="Arial" w:eastAsia="Arial" w:hAnsi="Arial"/>
          <w:sz w:val="18"/>
          <w:szCs w:val="18"/>
          <w:color w:val="auto"/>
        </w:rPr>
        <w:t>We offer nationwide Wireless services to subscribers primarily under our Boost Mobile® and Gen Mobile® brands. Prepaid Wireless subscribers generally pay in advance for monthly access to wireless talk, text and data services. Postpaid Wireless subscribers are qualified to pay after receiving wireless talk, text and data services, and may also qualify for certain device financing arrangements.</w:t>
      </w:r>
    </w:p>
    <w:p>
      <w:pPr>
        <w:spacing w:after="0" w:line="201"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are currently operating primarily as a mobile virtual network operator (“MVNO”) as we continue our 5G Network Deployment and commercialize and grow customer traffic on our 5G Network. We are transitioning to a mobile network operator (“MNO”) as our 5G Network, defined below, has become commercially available and we grow customer traffic on our 5G Network. We are currently activating Boost Mobile subscribers with compatible devices onto our 5G Network in markets where we have reached VoNR. We currently offer a broad range of premium wireless devices on our 5G Network, including the Apple iPhone 15 and newer generation iPhones. We have deployed 5G VoNR covering over 220 million Americans. Within our MVNO operations, today we depend in part on T-Mobile and AT&amp;T to provide us with network services under the amended Master Network Services Agreement (“MNSA”) and Network Services Agreement (the “NSA”), respectively. As of December 31, 2024, we had 6.995 million Wireless subscribers.</w:t>
      </w:r>
    </w:p>
    <w:p>
      <w:pPr>
        <w:spacing w:after="0" w:line="166" w:lineRule="exact"/>
        <w:rPr>
          <w:sz w:val="20"/>
          <w:szCs w:val="20"/>
          <w:color w:val="auto"/>
        </w:rPr>
      </w:pPr>
    </w:p>
    <w:p>
      <w:pPr>
        <w:ind w:left="60" w:right="419"/>
        <w:spacing w:after="0" w:line="239" w:lineRule="auto"/>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Sale and Transfer of Assets to EchoStar. We currently have $24 billion of investments related to Wireless spectrum licenses, which does not include $7 billion of capitalized interest related to the carrying value of such licenses. See Note 1, Note 2 and Note 13 in the Notes to our Consolidated Financial Statements in this Annual Report on Form 10-K for further information. We continue to commercialize our Wireless spectrum licenses through the completion of the nation’s first cloud-native, Open Radio Access Network (“O-RAN”) based 5G network (our “5G Network Deployment”). We have committed to the FCC to deploy a facilities-based 5G broadband network (our “5G Network”) capable of serving increasingly larger portions of the U.S. population at different deadlines.</w:t>
      </w:r>
    </w:p>
    <w:p>
      <w:pPr>
        <w:spacing w:after="0" w:line="170"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On September 29, 2023, the FCC confirmed we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currently have the largest commercial deployment of 5G</w:t>
      </w:r>
      <w:r>
        <w:rPr>
          <w:rFonts w:ascii="Arial" w:cs="Arial" w:eastAsia="Arial" w:hAnsi="Arial"/>
          <w:sz w:val="18"/>
          <w:szCs w:val="18"/>
          <w:color w:val="auto"/>
        </w:rPr>
        <w:t xml:space="preserve"> </w:t>
      </w:r>
      <w:r>
        <w:rPr>
          <w:rFonts w:ascii="Arial" w:cs="Arial" w:eastAsia="Arial" w:hAnsi="Arial"/>
          <w:sz w:val="18"/>
          <w:szCs w:val="18"/>
          <w:color w:val="0A0A0A"/>
        </w:rPr>
        <w:t xml:space="preserve">VoNR in the world covering over 220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covering over 268 million Americans.</w:t>
      </w:r>
    </w:p>
    <w:p>
      <w:pPr>
        <w:spacing w:after="0" w:line="167"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0A0A0A"/>
        </w:rPr>
        <w:t xml:space="preserve">In September 2024, the FCC conditionally granted our requests to extend the 5G 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 January 10, 2025 filing to the</w:t>
      </w:r>
      <w:r>
        <w:rPr>
          <w:rFonts w:ascii="Arial" w:cs="Arial" w:eastAsia="Arial" w:hAnsi="Arial"/>
          <w:sz w:val="18"/>
          <w:szCs w:val="18"/>
          <w:color w:val="0A0A0A"/>
        </w:rPr>
        <w:t xml:space="preserve"> </w:t>
      </w:r>
      <w:r>
        <w:rPr>
          <w:rFonts w:ascii="Arial" w:cs="Arial" w:eastAsia="Arial" w:hAnsi="Arial"/>
          <w:sz w:val="18"/>
          <w:szCs w:val="18"/>
          <w:color w:val="222222"/>
        </w:rPr>
        <w:t>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w:t>
      </w:r>
      <w:r>
        <w:rPr>
          <w:rFonts w:ascii="Arial" w:cs="Arial" w:eastAsia="Arial" w:hAnsi="Arial"/>
          <w:sz w:val="18"/>
          <w:szCs w:val="18"/>
          <w:color w:val="222222"/>
        </w:rPr>
        <w:t xml:space="preserve"> </w:t>
      </w:r>
      <w:r>
        <w:rPr>
          <w:rFonts w:ascii="Arial" w:cs="Arial" w:eastAsia="Arial" w:hAnsi="Arial"/>
          <w:sz w:val="18"/>
          <w:szCs w:val="18"/>
          <w:color w:val="000000"/>
        </w:rPr>
        <w:t>2024. Thus, pursuant to the Extension Request, the final deployment deadlines for the licenses subject to the Extension Request (listed in Appendix G) shall be extended to December 14, 2026.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the final deployment deadlines for the licenses subject to the Extension Request (listed in Appendix</w:t>
      </w:r>
    </w:p>
    <w:p>
      <w:pPr>
        <w:spacing w:after="0" w:line="14" w:lineRule="exact"/>
        <w:rPr>
          <w:sz w:val="20"/>
          <w:szCs w:val="20"/>
          <w:color w:val="auto"/>
        </w:rPr>
      </w:pPr>
    </w:p>
    <w:p>
      <w:pPr>
        <w:ind w:left="60" w:right="479" w:hanging="10"/>
        <w:spacing w:after="0" w:line="242" w:lineRule="auto"/>
        <w:tabs>
          <w:tab w:leader="none" w:pos="3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shall be further extended to June 14, 2028 as long as we satisfy the remaining Extension Request commitments. See Note 13 in the Notes to our Consolidated Financial Statements in this Annual Report on Form 10-K </w:t>
      </w:r>
      <w:r>
        <w:rPr>
          <w:rFonts w:ascii="Arial" w:cs="Arial" w:eastAsia="Arial" w:hAnsi="Arial"/>
          <w:sz w:val="18"/>
          <w:szCs w:val="18"/>
          <w:color w:val="0A0A0A"/>
        </w:rPr>
        <w:t>for definitions and further details.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PAY-TV</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Strategy – Pay-TV</w:t>
      </w:r>
    </w:p>
    <w:p>
      <w:pPr>
        <w:spacing w:after="0" w:line="19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Our Pay-TV segment business strategy is to be the best provider of video services in the United States by providing products with the best technology, outstanding customer service, and great value. 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pacing w:after="0" w:line="125" w:lineRule="exact"/>
        <w:rPr>
          <w:sz w:val="20"/>
          <w:szCs w:val="20"/>
          <w:color w:val="auto"/>
        </w:rPr>
      </w:pPr>
    </w:p>
    <w:p>
      <w:pPr>
        <w:ind w:left="720" w:right="219"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Products with the Best Technology. </w:t>
      </w:r>
      <w:r>
        <w:rPr>
          <w:rFonts w:ascii="Arial" w:cs="Arial" w:eastAsia="Arial" w:hAnsi="Arial"/>
          <w:sz w:val="18"/>
          <w:szCs w:val="18"/>
          <w:color w:val="auto"/>
        </w:rPr>
        <w:t>We offer a wide selection of local and national HD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a technology leader in our industry, offering award-winning DVRs (including our Hopper® whole-home HD DVR), multiple tuner receivers, video on demand and external hard drives. We offer several SLING TV services, including SLING Orange (our single-stream SLING domestic service), SLING Blue (our multi-stream SLING domestic service), International, Latino and Freestream, among others, as well as add-on extras, direct to consumer services, pay-per-view events and a cloud-based DVR service.</w:t>
      </w:r>
    </w:p>
    <w:p>
      <w:pPr>
        <w:spacing w:after="0" w:line="129" w:lineRule="exact"/>
        <w:rPr>
          <w:rFonts w:ascii="Times New Roman" w:cs="Times New Roman" w:eastAsia="Times New Roman" w:hAnsi="Times New Roman"/>
          <w:sz w:val="18"/>
          <w:szCs w:val="18"/>
          <w:color w:val="auto"/>
        </w:rPr>
      </w:pPr>
    </w:p>
    <w:p>
      <w:pPr>
        <w:ind w:left="720" w:right="99" w:hanging="319"/>
        <w:spacing w:after="0" w:line="246"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Outstanding Customer Service. </w:t>
      </w:r>
      <w:r>
        <w:rPr>
          <w:rFonts w:ascii="Arial" w:cs="Arial" w:eastAsia="Arial" w:hAnsi="Arial"/>
          <w:sz w:val="18"/>
          <w:szCs w:val="18"/>
          <w:color w:val="auto"/>
        </w:rPr>
        <w:t>We strive to provide outstanding customer service by,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improving the quality of the initial installation of subscriber equipment, improving the reliability of our equipment, better educating our customers about our products and services, and resolving customer problems promptly and effectively when they arise.</w:t>
      </w:r>
    </w:p>
    <w:p>
      <w:pPr>
        <w:spacing w:after="0" w:line="122" w:lineRule="exact"/>
        <w:rPr>
          <w:rFonts w:ascii="Times New Roman" w:cs="Times New Roman" w:eastAsia="Times New Roman" w:hAnsi="Times New Roman"/>
          <w:sz w:val="18"/>
          <w:szCs w:val="18"/>
          <w:color w:val="auto"/>
        </w:rPr>
      </w:pPr>
    </w:p>
    <w:p>
      <w:pPr>
        <w:ind w:left="720" w:right="119"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Great Value. </w:t>
      </w:r>
      <w:r>
        <w:rPr>
          <w:rFonts w:ascii="Arial" w:cs="Arial" w:eastAsia="Arial" w:hAnsi="Arial"/>
          <w:sz w:val="18"/>
          <w:szCs w:val="18"/>
          <w:color w:val="auto"/>
        </w:rPr>
        <w:t>We have historically been viewed as the low-cost provider in the pay-TV industry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However, today with DISH TV, we are focused on a message of Service, Value and Technology. We also offer a differentiated customer experience with our award-winning Hopper® platform that integrates voice control, access to apps including Netflix, Prime Video and YouTube, and the ability to watch live, recorded and On Demand content anywhere with the DISH Anywhere mobile application. As another example, our SLING Orange service and our SLING Blue service are two of the lowest priced live-linear online streaming services in the industry.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WIRELESS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Strategy - Wireless</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Our Wireless segment business strategy is to expand our current target segments and profitably grow our Wireless subscriber base and commercialize and grow customer traffic on our 5G Network. We intend to grow our Wireless subscriber base by acquiring and retaining high quality subscribers with competitive offers, choice and outstanding customer service that better meet those subscribers’ needs and budget.</w:t>
      </w:r>
    </w:p>
    <w:p>
      <w:pPr>
        <w:spacing w:after="0" w:line="16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We offer nationwide Wireless services to subscribers primarily under our Boost Mobile and Gen Mobile brands, as well as a competitive portfolio of wireless devices. We offer customers value by providing choice and flexibility in our Wireless services. Prepaid Wireless subscribers generally pay in advance for monthly access to wireless talk, text and data services. Postpaid Wireless subscribers are qualified to pay after receiving wireless talk, text and data services, and may also qualify for certain device financing arrangements.</w:t>
      </w:r>
    </w:p>
    <w:p>
      <w:pPr>
        <w:spacing w:after="0" w:line="163"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i w:val="1"/>
          <w:iCs w:val="1"/>
          <w:color w:val="auto"/>
        </w:rPr>
        <w:t>Boost Mobile postpaid</w:t>
      </w:r>
      <w:r>
        <w:rPr>
          <w:rFonts w:ascii="Arial" w:cs="Arial" w:eastAsia="Arial" w:hAnsi="Arial"/>
          <w:sz w:val="18"/>
          <w:szCs w:val="18"/>
          <w:color w:val="auto"/>
        </w:rPr>
        <w:t>. During 2023, we launched our nationwide expansion of our Boost Mobile postpaid</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service. At the end of the third quarter of 2023, we began offering premium wireless devices, including Apple products. We currently offer a broad range of premium wireless devices on our 5G Network, including the Apple iPhone 15 and newer generation iPhones.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 xml:space="preserve">We are currently operating primarily as an MVNO as we continue our 5G Network Deployment and commercialize and grow customer traffic on our 5G Network. We are transitioning to an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VoNR</w:t>
      </w:r>
      <w:r>
        <w:rPr>
          <w:rFonts w:ascii="Arial" w:cs="Arial" w:eastAsia="Arial" w:hAnsi="Arial"/>
          <w:sz w:val="18"/>
          <w:szCs w:val="18"/>
          <w:color w:val="auto"/>
        </w:rPr>
        <w:t xml:space="preserve">. We have deployed </w:t>
      </w:r>
      <w:r>
        <w:rPr>
          <w:rFonts w:ascii="Arial" w:cs="Arial" w:eastAsia="Arial" w:hAnsi="Arial"/>
          <w:sz w:val="18"/>
          <w:szCs w:val="18"/>
          <w:color w:val="0A0A0A"/>
        </w:rPr>
        <w:t>5G VoNR covering over 220 million Americans.</w:t>
      </w:r>
      <w:r>
        <w:rPr>
          <w:rFonts w:ascii="Arial" w:cs="Arial" w:eastAsia="Arial" w:hAnsi="Arial"/>
          <w:sz w:val="18"/>
          <w:szCs w:val="18"/>
          <w:color w:val="auto"/>
        </w:rPr>
        <w:t xml:space="preserve"> Within our MVNO operations, today we depend in part on T-Mobile and AT&amp;T to provide us with network services under the MNSA and NSA, respectively.</w:t>
      </w:r>
    </w:p>
    <w:p>
      <w:pPr>
        <w:spacing w:after="0" w:line="171"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Sale and Transfer of Assets to EchoStar. We currently have $24 billion of investments related to Wireless spectrum licenses, which does not include $7 billion of capitalized interest related to the carrying value of such licenses. See Note 1, Note 2 and Note 13 in the Notes to our Consolidated Financial Statements in this Annual Report on Form 10-K for further information. We continue to commercialize our Wireless spectrum licenses through the completion of our 5G Network Deployment. We have committed to the FCC to deploy our 5G Network capable of serving increasingly larger portions of the U.S. population at different deadlines.</w:t>
      </w:r>
    </w:p>
    <w:p>
      <w:pPr>
        <w:spacing w:after="0" w:line="16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may need to raise additional capital in the future,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13 in the Notes to our Consolidated Financial Statements in this Annual Report on Form 10-K for further information.</w:t>
      </w:r>
    </w:p>
    <w:p>
      <w:pPr>
        <w:spacing w:after="0" w:line="171"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On September 29, 2023, the FCC confirmed we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currently have the largest commercial deployment of 5G</w:t>
      </w:r>
      <w:r>
        <w:rPr>
          <w:rFonts w:ascii="Arial" w:cs="Arial" w:eastAsia="Arial" w:hAnsi="Arial"/>
          <w:sz w:val="18"/>
          <w:szCs w:val="18"/>
          <w:color w:val="auto"/>
        </w:rPr>
        <w:t xml:space="preserve"> </w:t>
      </w:r>
      <w:r>
        <w:rPr>
          <w:rFonts w:ascii="Arial" w:cs="Arial" w:eastAsia="Arial" w:hAnsi="Arial"/>
          <w:sz w:val="18"/>
          <w:szCs w:val="18"/>
          <w:color w:val="0A0A0A"/>
        </w:rPr>
        <w:t xml:space="preserve">VoNR in the world covering over 220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covering over 268 million Americans.</w:t>
      </w:r>
    </w:p>
    <w:p>
      <w:pPr>
        <w:spacing w:after="0" w:line="167"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0A0A0A"/>
        </w:rPr>
        <w:t xml:space="preserve">In September 2024, the FCC conditionally granted our requests to extend the 5G 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 January 10, 2025 filing to the</w:t>
      </w:r>
      <w:r>
        <w:rPr>
          <w:rFonts w:ascii="Arial" w:cs="Arial" w:eastAsia="Arial" w:hAnsi="Arial"/>
          <w:sz w:val="18"/>
          <w:szCs w:val="18"/>
          <w:color w:val="0A0A0A"/>
        </w:rPr>
        <w:t xml:space="preserve"> </w:t>
      </w:r>
      <w:r>
        <w:rPr>
          <w:rFonts w:ascii="Arial" w:cs="Arial" w:eastAsia="Arial" w:hAnsi="Arial"/>
          <w:sz w:val="18"/>
          <w:szCs w:val="18"/>
          <w:color w:val="222222"/>
        </w:rPr>
        <w:t>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w:t>
      </w:r>
      <w:r>
        <w:rPr>
          <w:rFonts w:ascii="Arial" w:cs="Arial" w:eastAsia="Arial" w:hAnsi="Arial"/>
          <w:sz w:val="18"/>
          <w:szCs w:val="18"/>
          <w:color w:val="222222"/>
        </w:rPr>
        <w:t xml:space="preserve"> </w:t>
      </w:r>
      <w:r>
        <w:rPr>
          <w:rFonts w:ascii="Arial" w:cs="Arial" w:eastAsia="Arial" w:hAnsi="Arial"/>
          <w:sz w:val="18"/>
          <w:szCs w:val="18"/>
          <w:color w:val="000000"/>
        </w:rPr>
        <w:t xml:space="preserve">2024. Thus, pursuant to the Extension 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See Note 13 in the Notes to our Consolidated Financial Statements in this Annual Report on Form 10-K </w:t>
      </w:r>
      <w:r>
        <w:rPr>
          <w:rFonts w:ascii="Arial" w:cs="Arial" w:eastAsia="Arial" w:hAnsi="Arial"/>
          <w:sz w:val="18"/>
          <w:szCs w:val="18"/>
          <w:color w:val="0A0A0A"/>
        </w:rPr>
        <w:t>for definitions and</w:t>
      </w:r>
      <w:r>
        <w:rPr>
          <w:rFonts w:ascii="Arial" w:cs="Arial" w:eastAsia="Arial" w:hAnsi="Arial"/>
          <w:sz w:val="18"/>
          <w:szCs w:val="18"/>
          <w:color w:val="000000"/>
        </w:rPr>
        <w:t xml:space="preserve"> </w:t>
      </w:r>
      <w:r>
        <w:rPr>
          <w:rFonts w:ascii="Arial" w:cs="Arial" w:eastAsia="Arial" w:hAnsi="Arial"/>
          <w:sz w:val="18"/>
          <w:szCs w:val="18"/>
          <w:color w:val="0A0A0A"/>
        </w:rPr>
        <w:t>further details.</w:t>
      </w:r>
    </w:p>
    <w:p>
      <w:pPr>
        <w:spacing w:after="0" w:line="16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WEBSITE ACCESS</w:t>
      </w:r>
    </w:p>
    <w:p>
      <w:pPr>
        <w:spacing w:after="0" w:line="185" w:lineRule="exact"/>
        <w:rPr>
          <w:sz w:val="20"/>
          <w:szCs w:val="20"/>
          <w:color w:val="auto"/>
        </w:rPr>
      </w:pPr>
    </w:p>
    <w:p>
      <w:pPr>
        <w:ind w:left="60" w:right="159"/>
        <w:spacing w:after="0" w:line="245" w:lineRule="auto"/>
        <w:rPr>
          <w:sz w:val="20"/>
          <w:szCs w:val="20"/>
          <w:color w:val="auto"/>
        </w:rPr>
      </w:pPr>
      <w:r>
        <w:rPr>
          <w:rFonts w:ascii="Arial" w:cs="Arial" w:eastAsia="Arial" w:hAnsi="Arial"/>
          <w:sz w:val="18"/>
          <w:szCs w:val="18"/>
          <w:color w:val="auto"/>
        </w:rPr>
        <w:t>We voluntarily file with the SEC and are not subject to the informational requirements of Section 13(a) or 15(d) of the Exchange Act. Our SEC filings may be accessed free of charge through the website of our parent,</w:t>
      </w:r>
    </w:p>
    <w:p>
      <w:pPr>
        <w:ind w:left="60" w:right="139"/>
        <w:spacing w:after="0" w:line="237" w:lineRule="auto"/>
        <w:rPr>
          <w:sz w:val="20"/>
          <w:szCs w:val="20"/>
          <w:color w:val="auto"/>
        </w:rPr>
      </w:pPr>
      <w:r>
        <w:rPr>
          <w:rFonts w:ascii="Arial" w:cs="Arial" w:eastAsia="Arial" w:hAnsi="Arial"/>
          <w:sz w:val="18"/>
          <w:szCs w:val="18"/>
          <w:color w:val="auto"/>
        </w:rPr>
        <w:t>EchoStar, as soon as reasonably practicable after we have electronically filed such material with, or furnished it to, the SEC. The address of that website is https://ir.echostar.com/.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87"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i w:val="1"/>
          <w:iCs w:val="1"/>
          <w:color w:val="auto"/>
        </w:rPr>
        <w:t>The risks and uncertainties described below are not the only ones facing us. If any of the following events occur or evolve in a way different than expected, our business, financial condition, or results of operations could</w:t>
      </w:r>
    </w:p>
    <w:p>
      <w:pPr>
        <w:ind w:left="60"/>
        <w:spacing w:after="0"/>
        <w:rPr>
          <w:sz w:val="20"/>
          <w:szCs w:val="20"/>
          <w:color w:val="auto"/>
        </w:rPr>
      </w:pPr>
      <w:r>
        <w:rPr>
          <w:rFonts w:ascii="Arial" w:cs="Arial" w:eastAsia="Arial" w:hAnsi="Arial"/>
          <w:sz w:val="18"/>
          <w:szCs w:val="18"/>
          <w:i w:val="1"/>
          <w:iCs w:val="1"/>
          <w:color w:val="auto"/>
        </w:rPr>
        <w:t>be materially and adversely affected.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200" w:lineRule="exact"/>
        <w:rPr>
          <w:sz w:val="20"/>
          <w:szCs w:val="20"/>
          <w:color w:val="auto"/>
        </w:rPr>
      </w:pPr>
    </w:p>
    <w:p>
      <w:pPr>
        <w:ind w:left="60" w:right="439"/>
        <w:spacing w:after="0" w:line="256" w:lineRule="auto"/>
        <w:rPr>
          <w:sz w:val="20"/>
          <w:szCs w:val="20"/>
          <w:color w:val="auto"/>
        </w:rPr>
      </w:pPr>
      <w:r>
        <w:rPr>
          <w:rFonts w:ascii="Arial" w:cs="Arial" w:eastAsia="Arial" w:hAnsi="Arial"/>
          <w:sz w:val="18"/>
          <w:szCs w:val="18"/>
          <w:b w:val="1"/>
          <w:bCs w:val="1"/>
          <w:i w:val="1"/>
          <w:iCs w:val="1"/>
          <w:color w:val="auto"/>
        </w:rPr>
        <w:t>We face intense and increasing competition from providers of video, broadband and/or wireless services, which may require us to further increase subscriber acquisition and retention spending or accept lower subscriber activations and higher subscriber churn.</w:t>
      </w:r>
    </w:p>
    <w:p>
      <w:pPr>
        <w:spacing w:after="0" w:line="132"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auto"/>
        </w:rPr>
        <w:t>Our Pay-TV business faces substantial competition from established pay-TV providers and broadband service providers and increasing competition from companies providing/facilitating the delivery of video content via the</w:t>
      </w:r>
    </w:p>
    <w:p>
      <w:pPr>
        <w:ind w:left="60"/>
        <w:spacing w:after="0" w:line="235" w:lineRule="auto"/>
        <w:rPr>
          <w:sz w:val="20"/>
          <w:szCs w:val="20"/>
          <w:color w:val="auto"/>
        </w:rPr>
      </w:pPr>
      <w:r>
        <w:rPr>
          <w:rFonts w:ascii="Arial" w:cs="Arial" w:eastAsia="Arial" w:hAnsi="Arial"/>
          <w:sz w:val="18"/>
          <w:szCs w:val="18"/>
          <w:color w:val="auto"/>
        </w:rPr>
        <w:t>Internet to computers, televisions and other streaming and mobile devices, including, but not limited to, wireless</w:t>
      </w:r>
    </w:p>
    <w:p>
      <w:pPr>
        <w:ind w:left="60" w:right="79"/>
        <w:spacing w:after="0" w:line="226" w:lineRule="auto"/>
        <w:rPr>
          <w:sz w:val="20"/>
          <w:szCs w:val="20"/>
          <w:color w:val="auto"/>
        </w:rPr>
      </w:pPr>
      <w:r>
        <w:rPr>
          <w:rFonts w:ascii="Arial" w:cs="Arial" w:eastAsia="Arial" w:hAnsi="Arial"/>
          <w:sz w:val="18"/>
          <w:szCs w:val="18"/>
          <w:color w:val="auto"/>
        </w:rPr>
        <w:t>service providers. In recent years, the traditional pay-TV industry has matured, and industry consolidation and convergence have created competitors with greater scale and multiple product/service offerings. Some of these</w:t>
      </w:r>
    </w:p>
    <w:p>
      <w:pPr>
        <w:ind w:left="60"/>
        <w:spacing w:after="0" w:line="236" w:lineRule="auto"/>
        <w:rPr>
          <w:sz w:val="20"/>
          <w:szCs w:val="20"/>
          <w:color w:val="auto"/>
        </w:rPr>
      </w:pPr>
      <w:r>
        <w:rPr>
          <w:rFonts w:ascii="Arial" w:cs="Arial" w:eastAsia="Arial" w:hAnsi="Arial"/>
          <w:sz w:val="18"/>
          <w:szCs w:val="18"/>
          <w:color w:val="auto"/>
        </w:rPr>
        <w:t>services charge nominal or no fees for access to their content, which could adversely affect demand for our</w:t>
      </w:r>
    </w:p>
    <w:p>
      <w:pPr>
        <w:spacing w:after="0" w:line="1" w:lineRule="exact"/>
        <w:rPr>
          <w:sz w:val="20"/>
          <w:szCs w:val="20"/>
          <w:color w:val="auto"/>
        </w:rPr>
      </w:pPr>
    </w:p>
    <w:p>
      <w:pPr>
        <w:ind w:left="60" w:right="199"/>
        <w:spacing w:after="0" w:line="226" w:lineRule="auto"/>
        <w:rPr>
          <w:sz w:val="20"/>
          <w:szCs w:val="20"/>
          <w:color w:val="auto"/>
        </w:rPr>
      </w:pPr>
      <w:r>
        <w:rPr>
          <w:rFonts w:ascii="Arial" w:cs="Arial" w:eastAsia="Arial" w:hAnsi="Arial"/>
          <w:sz w:val="18"/>
          <w:szCs w:val="18"/>
          <w:color w:val="auto"/>
        </w:rPr>
        <w:t>Pay-TV services. Moreover, new technologies have been, and will likely continue to be, developed that further increase the number of competitors we face with respect to video services, including, but not limited to,</w:t>
      </w:r>
    </w:p>
    <w:p>
      <w:pPr>
        <w:spacing w:after="0" w:line="2" w:lineRule="exact"/>
        <w:rPr>
          <w:sz w:val="20"/>
          <w:szCs w:val="20"/>
          <w:color w:val="auto"/>
        </w:rPr>
      </w:pPr>
    </w:p>
    <w:p>
      <w:pPr>
        <w:ind w:left="60" w:right="699"/>
        <w:spacing w:after="0" w:line="250" w:lineRule="auto"/>
        <w:rPr>
          <w:sz w:val="20"/>
          <w:szCs w:val="20"/>
          <w:color w:val="auto"/>
        </w:rPr>
      </w:pPr>
      <w:r>
        <w:rPr>
          <w:rFonts w:ascii="Arial" w:cs="Arial" w:eastAsia="Arial" w:hAnsi="Arial"/>
          <w:sz w:val="18"/>
          <w:szCs w:val="18"/>
          <w:color w:val="auto"/>
        </w:rPr>
        <w:t>competition from piracy-based video offerings. These developments, among others, have contributed to intense and increasing competition, which we expect to continue.</w:t>
      </w:r>
    </w:p>
    <w:p>
      <w:pPr>
        <w:spacing w:after="0" w:line="158" w:lineRule="exact"/>
        <w:rPr>
          <w:sz w:val="20"/>
          <w:szCs w:val="20"/>
          <w:color w:val="auto"/>
        </w:rPr>
      </w:pPr>
    </w:p>
    <w:p>
      <w:pPr>
        <w:ind w:left="60" w:right="439"/>
        <w:spacing w:after="0" w:line="261" w:lineRule="auto"/>
        <w:rPr>
          <w:sz w:val="20"/>
          <w:szCs w:val="20"/>
          <w:color w:val="auto"/>
        </w:rPr>
      </w:pPr>
      <w:r>
        <w:rPr>
          <w:rFonts w:ascii="Arial" w:cs="Arial" w:eastAsia="Arial" w:hAnsi="Arial"/>
          <w:sz w:val="17"/>
          <w:szCs w:val="17"/>
          <w:color w:val="auto"/>
        </w:rPr>
        <w:t>We face increasing competition from content providers and other companies who distribute video directly to consumers over the Internet. These content providers and other companies, as well as traditional satellite television providers, cable companies and large telecommunication companies, are rapidly increasing their Internet-based video offerings. See “</w:t>
      </w:r>
      <w:r>
        <w:rPr>
          <w:rFonts w:ascii="Arial" w:cs="Arial" w:eastAsia="Arial" w:hAnsi="Arial"/>
          <w:sz w:val="17"/>
          <w:szCs w:val="17"/>
          <w:i w:val="1"/>
          <w:iCs w:val="1"/>
          <w:color w:val="auto"/>
        </w:rPr>
        <w:t>Item 7. Management’s Narrative Analysis of Results of Operations –</w:t>
      </w:r>
      <w:r>
        <w:rPr>
          <w:rFonts w:ascii="Arial" w:cs="Arial" w:eastAsia="Arial" w:hAnsi="Arial"/>
          <w:sz w:val="17"/>
          <w:szCs w:val="17"/>
          <w:color w:val="auto"/>
        </w:rPr>
        <w:t xml:space="preserve"> </w:t>
      </w:r>
      <w:r>
        <w:rPr>
          <w:rFonts w:ascii="Arial" w:cs="Arial" w:eastAsia="Arial" w:hAnsi="Arial"/>
          <w:sz w:val="17"/>
          <w:szCs w:val="17"/>
          <w:i w:val="1"/>
          <w:iCs w:val="1"/>
          <w:color w:val="auto"/>
        </w:rPr>
        <w:t>Trends in our Pay-TV Segment – Competition</w:t>
      </w:r>
      <w:r>
        <w:rPr>
          <w:rFonts w:ascii="Arial" w:cs="Arial" w:eastAsia="Arial" w:hAnsi="Arial"/>
          <w:sz w:val="17"/>
          <w:szCs w:val="17"/>
          <w:color w:val="auto"/>
        </w:rPr>
        <w:t>” in this Annual Report on Form 10-K for further information.</w:t>
      </w:r>
    </w:p>
    <w:p>
      <w:pPr>
        <w:spacing w:after="0" w:line="152"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herein. Such providers may be able to, among other things, utilize their increased leverage over third-party content owners and programmers to withhold online rights from us and reduce the price they pay for programming at the expense of other MVPDs, including us; thwart our ability to compete in the wireless market, by, among other things, refuse to enter into data roaming agreements; underutilize key orbital spectrum resources that could be more efficiently used by us; foreclose or degrade our online video offerings at various points in the broadband pipe; and impose data caps on consumers who access our online video offerings. See “</w:t>
      </w:r>
      <w:r>
        <w:rPr>
          <w:rFonts w:ascii="Arial" w:cs="Arial" w:eastAsia="Arial" w:hAnsi="Arial"/>
          <w:sz w:val="18"/>
          <w:szCs w:val="18"/>
          <w:i w:val="1"/>
          <w:iCs w:val="1"/>
          <w:color w:val="auto"/>
        </w:rPr>
        <w:t>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Narrative Analysis of Results of Operations – Trends in our Pay-TV Segment – Programming</w:t>
      </w:r>
      <w:r>
        <w:rPr>
          <w:rFonts w:ascii="Arial" w:cs="Arial" w:eastAsia="Arial" w:hAnsi="Arial"/>
          <w:sz w:val="18"/>
          <w:szCs w:val="18"/>
          <w:color w:val="auto"/>
        </w:rPr>
        <w:t>” in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believe that the availability and extent of programming, including, but not limited to, unique programming services such as foreign language, sports programming and original content, and other value-added services such as access to video via mobile devices, continue to be significant factors in consumers’ choice among pay-TV providers. Other pay-TV providers may have more successfully marketed and promoted their programming packages and value-added services and may also be better equipped and have greater resources to increase their programming offerings and value-added services to respond to increasing consumer demand. We may be required to make substantial additional investments in infrastructure to respond to competitive pressure to deliver enhanced programming and other value-added services, and there can be no assurance that we will be able to compete effectively with offerings from other pay-TV providers.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Furthermore, this increasingly competitive environment may require us to increase subscriber acquisition and</w:t>
      </w:r>
    </w:p>
    <w:p>
      <w:pPr>
        <w:spacing w:after="0" w:line="14" w:lineRule="exact"/>
        <w:rPr>
          <w:sz w:val="20"/>
          <w:szCs w:val="20"/>
          <w:color w:val="auto"/>
        </w:rPr>
      </w:pPr>
    </w:p>
    <w:p>
      <w:pPr>
        <w:ind w:left="60" w:right="299"/>
        <w:spacing w:after="0" w:line="226" w:lineRule="auto"/>
        <w:rPr>
          <w:sz w:val="20"/>
          <w:szCs w:val="20"/>
          <w:color w:val="auto"/>
        </w:rPr>
      </w:pPr>
      <w:r>
        <w:rPr>
          <w:rFonts w:ascii="Arial" w:cs="Arial" w:eastAsia="Arial" w:hAnsi="Arial"/>
          <w:sz w:val="18"/>
          <w:szCs w:val="18"/>
          <w:color w:val="auto"/>
        </w:rPr>
        <w:t>retention spending or accept lower subscriber activations and higher subscriber churn. Increasingly, we must seek to attract a greater proportion of new subscribers from our competitors’ existing subscriber bases rather</w:t>
      </w:r>
    </w:p>
    <w:p>
      <w:pPr>
        <w:ind w:left="60"/>
        <w:spacing w:after="0" w:line="236" w:lineRule="auto"/>
        <w:rPr>
          <w:sz w:val="20"/>
          <w:szCs w:val="20"/>
          <w:color w:val="auto"/>
        </w:rPr>
      </w:pPr>
      <w:r>
        <w:rPr>
          <w:rFonts w:ascii="Arial" w:cs="Arial" w:eastAsia="Arial" w:hAnsi="Arial"/>
          <w:sz w:val="18"/>
          <w:szCs w:val="18"/>
          <w:color w:val="auto"/>
        </w:rPr>
        <w:t>than from first-time purchasers of pay-TV services. In addition, because other pay-TV providers may be</w:t>
      </w:r>
    </w:p>
    <w:p>
      <w:pPr>
        <w:spacing w:after="0" w:line="1" w:lineRule="exact"/>
        <w:rPr>
          <w:sz w:val="20"/>
          <w:szCs w:val="20"/>
          <w:color w:val="auto"/>
        </w:rPr>
      </w:pPr>
    </w:p>
    <w:p>
      <w:pPr>
        <w:ind w:left="60" w:right="339"/>
        <w:spacing w:after="0" w:line="226" w:lineRule="auto"/>
        <w:rPr>
          <w:sz w:val="20"/>
          <w:szCs w:val="20"/>
          <w:color w:val="auto"/>
        </w:rPr>
      </w:pPr>
      <w:r>
        <w:rPr>
          <w:rFonts w:ascii="Arial" w:cs="Arial" w:eastAsia="Arial" w:hAnsi="Arial"/>
          <w:sz w:val="18"/>
          <w:szCs w:val="18"/>
          <w:color w:val="auto"/>
        </w:rPr>
        <w:t>seeking to attract a greater proportion of their new subscribers from our existing subscriber base, we may be required to increase retention spending and/or provide greater discounts or credits to acquire and retain</w:t>
      </w:r>
    </w:p>
    <w:p>
      <w:pPr>
        <w:ind w:left="60"/>
        <w:spacing w:after="0" w:line="236" w:lineRule="auto"/>
        <w:rPr>
          <w:sz w:val="20"/>
          <w:szCs w:val="20"/>
          <w:color w:val="auto"/>
        </w:rPr>
      </w:pPr>
      <w:r>
        <w:rPr>
          <w:rFonts w:ascii="Arial" w:cs="Arial" w:eastAsia="Arial" w:hAnsi="Arial"/>
          <w:sz w:val="18"/>
          <w:szCs w:val="18"/>
          <w:color w:val="auto"/>
        </w:rPr>
        <w:t>subscribers who may spend less on our services. Our SLING TV subscribers on average purchase lower-</w:t>
      </w:r>
    </w:p>
    <w:p>
      <w:pPr>
        <w:spacing w:after="0" w:line="1" w:lineRule="exact"/>
        <w:rPr>
          <w:sz w:val="20"/>
          <w:szCs w:val="20"/>
          <w:color w:val="auto"/>
        </w:rPr>
      </w:pPr>
    </w:p>
    <w:p>
      <w:pPr>
        <w:ind w:left="60" w:right="79"/>
        <w:spacing w:after="0" w:line="226" w:lineRule="auto"/>
        <w:rPr>
          <w:sz w:val="20"/>
          <w:szCs w:val="20"/>
          <w:color w:val="auto"/>
        </w:rPr>
      </w:pPr>
      <w:r>
        <w:rPr>
          <w:rFonts w:ascii="Arial" w:cs="Arial" w:eastAsia="Arial" w:hAnsi="Arial"/>
          <w:sz w:val="18"/>
          <w:szCs w:val="18"/>
          <w:color w:val="auto"/>
        </w:rPr>
        <w:t>priced programming services than do DISH TV subscribers. Accordingly, an increase in SLING TV subscribers has a negative impact on our Pay-TV average monthly revenue per subscriber (“Pay-TV ARPU”). If our Pay-TV</w:t>
      </w:r>
    </w:p>
    <w:p>
      <w:pPr>
        <w:ind w:left="60"/>
        <w:spacing w:after="0" w:line="236" w:lineRule="auto"/>
        <w:rPr>
          <w:sz w:val="20"/>
          <w:szCs w:val="20"/>
          <w:color w:val="auto"/>
        </w:rPr>
      </w:pPr>
      <w:r>
        <w:rPr>
          <w:rFonts w:ascii="Arial" w:cs="Arial" w:eastAsia="Arial" w:hAnsi="Arial"/>
          <w:sz w:val="18"/>
          <w:szCs w:val="18"/>
          <w:color w:val="auto"/>
        </w:rPr>
        <w:t>ARPU decreases or does not increase commensurate with increases in programming or other costs, our</w:t>
      </w:r>
    </w:p>
    <w:p>
      <w:pPr>
        <w:spacing w:after="0" w:line="1" w:lineRule="exact"/>
        <w:rPr>
          <w:sz w:val="20"/>
          <w:szCs w:val="20"/>
          <w:color w:val="auto"/>
        </w:rPr>
      </w:pPr>
    </w:p>
    <w:p>
      <w:pPr>
        <w:ind w:left="60" w:right="679"/>
        <w:spacing w:after="0" w:line="237" w:lineRule="auto"/>
        <w:rPr>
          <w:sz w:val="20"/>
          <w:szCs w:val="20"/>
          <w:color w:val="auto"/>
        </w:rPr>
      </w:pPr>
      <w:r>
        <w:rPr>
          <w:rFonts w:ascii="Arial" w:cs="Arial" w:eastAsia="Arial" w:hAnsi="Arial"/>
          <w:sz w:val="18"/>
          <w:szCs w:val="18"/>
          <w:color w:val="auto"/>
        </w:rPr>
        <w:t>margins may be reduced and the long-term value of a subscriber would then decrease and could have a material adverse effect on our business, results of operations and financial condition.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as a result of this increased competitive environment and the maturation of the pay-TV industry,</w:t>
      </w:r>
    </w:p>
    <w:p>
      <w:pPr>
        <w:spacing w:after="0" w:line="14" w:lineRule="exact"/>
        <w:rPr>
          <w:sz w:val="20"/>
          <w:szCs w:val="20"/>
          <w:color w:val="auto"/>
        </w:rPr>
      </w:pPr>
    </w:p>
    <w:p>
      <w:pPr>
        <w:ind w:left="60" w:right="279"/>
        <w:spacing w:after="0" w:line="226" w:lineRule="auto"/>
        <w:rPr>
          <w:sz w:val="20"/>
          <w:szCs w:val="20"/>
          <w:color w:val="auto"/>
        </w:rPr>
      </w:pPr>
      <w:r>
        <w:rPr>
          <w:rFonts w:ascii="Arial" w:cs="Arial" w:eastAsia="Arial" w:hAnsi="Arial"/>
          <w:sz w:val="18"/>
          <w:szCs w:val="18"/>
          <w:color w:val="auto"/>
        </w:rPr>
        <w:t>future growth opportunities of our DISH TV business may be limited and our margins may be reduced, which could have a material adverse effect on our business, results of operations and financial condition. Our gross</w:t>
      </w:r>
    </w:p>
    <w:p>
      <w:pPr>
        <w:ind w:left="60"/>
        <w:spacing w:after="0" w:line="236" w:lineRule="auto"/>
        <w:rPr>
          <w:sz w:val="20"/>
          <w:szCs w:val="20"/>
          <w:color w:val="auto"/>
        </w:rPr>
      </w:pPr>
      <w:r>
        <w:rPr>
          <w:rFonts w:ascii="Arial" w:cs="Arial" w:eastAsia="Arial" w:hAnsi="Arial"/>
          <w:sz w:val="18"/>
          <w:szCs w:val="18"/>
          <w:color w:val="auto"/>
        </w:rPr>
        <w:t>new DISH TV subscriber activations continue to be negatively impacted by stricter subscriber acquisition</w:t>
      </w:r>
    </w:p>
    <w:p>
      <w:pPr>
        <w:spacing w:after="0" w:line="1" w:lineRule="exact"/>
        <w:rPr>
          <w:sz w:val="20"/>
          <w:szCs w:val="20"/>
          <w:color w:val="auto"/>
        </w:rPr>
      </w:pPr>
    </w:p>
    <w:p>
      <w:pPr>
        <w:ind w:left="60" w:right="179"/>
        <w:spacing w:after="0"/>
        <w:rPr>
          <w:sz w:val="20"/>
          <w:szCs w:val="20"/>
          <w:color w:val="auto"/>
        </w:rPr>
      </w:pPr>
      <w:r>
        <w:rPr>
          <w:rFonts w:ascii="Arial" w:cs="Arial" w:eastAsia="Arial" w:hAnsi="Arial"/>
          <w:sz w:val="17"/>
          <w:szCs w:val="17"/>
          <w:color w:val="auto"/>
        </w:rPr>
        <w:t>policies (including, but not limited to, a focus on attaining higher quality subscribers) and increased competitive pressures, including, but not limited to, aggressive marketing, more aggressive retention efforts, bundled</w:t>
      </w:r>
    </w:p>
    <w:p>
      <w:pPr>
        <w:ind w:left="60"/>
        <w:spacing w:after="0" w:line="235" w:lineRule="auto"/>
        <w:rPr>
          <w:sz w:val="20"/>
          <w:szCs w:val="20"/>
          <w:color w:val="auto"/>
        </w:rPr>
      </w:pPr>
      <w:r>
        <w:rPr>
          <w:rFonts w:ascii="Arial" w:cs="Arial" w:eastAsia="Arial" w:hAnsi="Arial"/>
          <w:sz w:val="18"/>
          <w:szCs w:val="18"/>
          <w:color w:val="auto"/>
        </w:rPr>
        <w:t>discount offers combining broadband, video and/or wireless services and other discounted promotional offers.</w:t>
      </w:r>
    </w:p>
    <w:p>
      <w:pPr>
        <w:ind w:left="60" w:right="179" w:firstLine="50"/>
        <w:spacing w:after="0" w:line="226" w:lineRule="auto"/>
        <w:rPr>
          <w:sz w:val="20"/>
          <w:szCs w:val="20"/>
          <w:color w:val="auto"/>
        </w:rPr>
      </w:pPr>
      <w:r>
        <w:rPr>
          <w:rFonts w:ascii="Arial" w:cs="Arial" w:eastAsia="Arial" w:hAnsi="Arial"/>
          <w:sz w:val="18"/>
          <w:szCs w:val="18"/>
          <w:color w:val="auto"/>
        </w:rPr>
        <w:t>In addition, we face increased competitive pressures from content providers and other companies who distribute video directly to consumers over the Internet. These content providers and other companies, as well</w:t>
      </w:r>
    </w:p>
    <w:p>
      <w:pPr>
        <w:ind w:left="60"/>
        <w:spacing w:after="0" w:line="236" w:lineRule="auto"/>
        <w:rPr>
          <w:sz w:val="20"/>
          <w:szCs w:val="20"/>
          <w:color w:val="auto"/>
        </w:rPr>
      </w:pPr>
      <w:r>
        <w:rPr>
          <w:rFonts w:ascii="Arial" w:cs="Arial" w:eastAsia="Arial" w:hAnsi="Arial"/>
          <w:sz w:val="18"/>
          <w:szCs w:val="18"/>
          <w:color w:val="auto"/>
        </w:rPr>
        <w:t>as traditional satellite television providers, cable companies and large telecommunication companies, are</w:t>
      </w:r>
    </w:p>
    <w:p>
      <w:pPr>
        <w:spacing w:after="0" w:line="1" w:lineRule="exact"/>
        <w:rPr>
          <w:sz w:val="20"/>
          <w:szCs w:val="20"/>
          <w:color w:val="auto"/>
        </w:rPr>
      </w:pPr>
    </w:p>
    <w:p>
      <w:pPr>
        <w:ind w:left="60" w:right="559"/>
        <w:spacing w:after="0"/>
        <w:rPr>
          <w:sz w:val="20"/>
          <w:szCs w:val="20"/>
          <w:color w:val="auto"/>
        </w:rPr>
      </w:pPr>
      <w:r>
        <w:rPr>
          <w:rFonts w:ascii="Arial" w:cs="Arial" w:eastAsia="Arial" w:hAnsi="Arial"/>
          <w:sz w:val="17"/>
          <w:szCs w:val="17"/>
          <w:color w:val="auto"/>
        </w:rPr>
        <w:t>rapidly increasing their Internet-based video offerings and direct-to-consumer exclusive and non-exclusive content. There can be no assurance that our gross new DISH TV subscriber activations, net DISH TV</w:t>
      </w:r>
    </w:p>
    <w:p>
      <w:pPr>
        <w:ind w:left="60"/>
        <w:spacing w:after="0" w:line="235" w:lineRule="auto"/>
        <w:rPr>
          <w:sz w:val="20"/>
          <w:szCs w:val="20"/>
          <w:color w:val="auto"/>
        </w:rPr>
      </w:pPr>
      <w:r>
        <w:rPr>
          <w:rFonts w:ascii="Arial" w:cs="Arial" w:eastAsia="Arial" w:hAnsi="Arial"/>
          <w:sz w:val="18"/>
          <w:szCs w:val="18"/>
          <w:color w:val="auto"/>
        </w:rPr>
        <w:t>subscriber additions, and DISH TV churn rate will not continue to be negatively impacted and that the pace of</w:t>
      </w:r>
    </w:p>
    <w:p>
      <w:pPr>
        <w:ind w:left="60" w:right="119"/>
        <w:spacing w:after="0" w:line="226" w:lineRule="auto"/>
        <w:rPr>
          <w:sz w:val="20"/>
          <w:szCs w:val="20"/>
          <w:color w:val="auto"/>
        </w:rPr>
      </w:pPr>
      <w:r>
        <w:rPr>
          <w:rFonts w:ascii="Arial" w:cs="Arial" w:eastAsia="Arial" w:hAnsi="Arial"/>
          <w:sz w:val="18"/>
          <w:szCs w:val="18"/>
          <w:color w:val="auto"/>
        </w:rPr>
        <w:t>such negative impact will not accelerate. In the event that our DISH TV subscriber base continues to decline or such decline accelerates, it could have a material adverse effect on our business, results of operations and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financial condition.</w:t>
      </w:r>
    </w:p>
    <w:p>
      <w:pPr>
        <w:spacing w:after="0" w:line="182"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Changing consumer behavior and new technologies in our Pay-TV business may reduce our subscriber activations and may cause our subscribers to purchase fewer services from us or to cancel our services altogether, resulting in less revenue to us.</w:t>
      </w:r>
    </w:p>
    <w:p>
      <w:pPr>
        <w:spacing w:after="0" w:line="10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New technologies, products and services are driving rapid changes in consumer behavior as consumers seek more control over when, where and how they consume content and access communication services. In particular, through technological advancements and with the large increase in the number of consumers with broadband service, a significant amount of video content has become available through online content providers for users to stream and view on their personal computers, televisions, phones, tablets, video game consoles and other devices, in some cases without a fee required to access the content. While our subscribers can use their traditional video subscription to access mobile programming, an increasing number of subscribers are also using mobile devices as the sole means of viewing video, and an increasing number of non-traditional video providers is developing content and technologies to satisfy that demand. For example, these technological advancements, changes in consumer behavior, and the increasing number of choices available to consumers regarding the means by which consumers obtain video content may cause DISH TV subscribers to disconnect our services (“cord cutting”), downgrade to smaller, less expensive programming packages (“cord shaving”) or elect to purchase through online content providers a certain portion of the services that they would have historically purchased from us.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These technological advancements and changes in consumer behavior and/or our failure to effectively anticipate or adapt to such changes, could reduce our gross new Pay-TV subscriber activations and increase our subscriber churn rate and could have a material adverse effect on our business, results of operations and financial condition.</w:t>
      </w:r>
    </w:p>
    <w:p>
      <w:pPr>
        <w:spacing w:after="0" w:line="160"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New technologies could also create new competitors for us. For instance, we face increasing consumer demand for the delivery of digital video services via the Internet. We expect to continue to face increased competition from companies who use the Internet to deliver digital video services as the speed and quality of broadband and wireless networks continue to improve.</w:t>
      </w:r>
    </w:p>
    <w:p>
      <w:pPr>
        <w:spacing w:after="0" w:line="162" w:lineRule="exact"/>
        <w:rPr>
          <w:sz w:val="20"/>
          <w:szCs w:val="20"/>
          <w:color w:val="auto"/>
        </w:rPr>
      </w:pPr>
    </w:p>
    <w:p>
      <w:pPr>
        <w:ind w:left="60" w:right="659"/>
        <w:spacing w:after="0" w:line="278" w:lineRule="auto"/>
        <w:rPr>
          <w:sz w:val="20"/>
          <w:szCs w:val="20"/>
          <w:color w:val="auto"/>
        </w:rPr>
      </w:pPr>
      <w:r>
        <w:rPr>
          <w:rFonts w:ascii="Arial" w:cs="Arial" w:eastAsia="Arial" w:hAnsi="Arial"/>
          <w:sz w:val="18"/>
          <w:szCs w:val="18"/>
          <w:b w:val="1"/>
          <w:bCs w:val="1"/>
          <w:i w:val="1"/>
          <w:iCs w:val="1"/>
          <w:color w:val="auto"/>
        </w:rPr>
        <w:t>We face certain risks competing in the wireless services industry and operating a facilities-based wireless services business.</w:t>
      </w:r>
    </w:p>
    <w:p>
      <w:pPr>
        <w:spacing w:after="0" w:line="8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a result of certain acquisitions we have entered the Wireless business. We have made substantial investments to acquire certain wireless spectrum licenses. We plan to commercialize our Wireless spectrum licenses through the completion of our 5G Network Deployment. A Wireless services business presents certain risks. Any of the following risks, among others, may have a material adverse effect on our future business, results of operations and financial condition.</w:t>
      </w:r>
    </w:p>
    <w:p>
      <w:pPr>
        <w:spacing w:after="0" w:line="122" w:lineRule="exact"/>
        <w:rPr>
          <w:sz w:val="20"/>
          <w:szCs w:val="20"/>
          <w:color w:val="auto"/>
        </w:rPr>
      </w:pPr>
    </w:p>
    <w:p>
      <w:pPr>
        <w:ind w:left="720" w:right="79" w:hanging="319"/>
        <w:spacing w:after="0" w:line="236"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The wireless services industry is dominated by incumbents. </w:t>
      </w:r>
      <w:r>
        <w:rPr>
          <w:rFonts w:ascii="Arial" w:cs="Arial" w:eastAsia="Arial" w:hAnsi="Arial"/>
          <w:sz w:val="18"/>
          <w:szCs w:val="18"/>
          <w:color w:val="auto"/>
        </w:rPr>
        <w:t>We have limited experience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services industry, which is an industry with increasing subscriber demands for data services that require increasing capital resources to maintain a robust network. The wireless services industry has incumbent and established competitors such as Verizon, AT&amp;T and T-Mobile, each with substantial market share. These companies have, among other things, greater financial, marketing and other resources than us, and have existing cost and operational advantages that we lack. Market saturation is expected to continue to cause subscriber growth rates in the wireless services industry to moderate in comparison to historical growth rates, leading to increased competition for subscribers. As the industry matures, competitors increasingly must seek to attract a greater proportion of new subscribers from each other’s existing subscriber bases rather than from first-time purchasers of wireless services. Furthermore, the cost of attracting a new subscriber is generally higher than the cost associated with retaining an existing subscriber. In addition, we face increasing competition from wireless telecommunications providers who offer mobile video offerings or partner with others to create bundled offerings. Wireless mobile video offerings have become more prevalent in the marketplace as wireless telecommunications providers have expanded the fifth generation of wireless communications. As previously noted, 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Such companies may be able to, among other things, pressure third-party content owners and programmers to withhold online rights from us; utilize their increased leverage over third-party content owners and programmers to reduce the price they pay for programming at the expense of other MVPDs, including us; thwart our ability to compete in the wireless market, by, among other things, refusing to enter into data roaming agreements with us; foreclose or degrade our online video offerings at various points in the broadband pipe; and impose data caps on consumers who access our online video offerings. See “</w:t>
      </w:r>
      <w:r>
        <w:rPr>
          <w:rFonts w:ascii="Arial" w:cs="Arial" w:eastAsia="Arial" w:hAnsi="Arial"/>
          <w:sz w:val="18"/>
          <w:szCs w:val="18"/>
          <w:i w:val="1"/>
          <w:iCs w:val="1"/>
          <w:color w:val="auto"/>
        </w:rPr>
        <w:t>Item 1. Business – Overview –Wireless</w:t>
      </w:r>
      <w:r>
        <w:rPr>
          <w:rFonts w:ascii="Arial" w:cs="Arial" w:eastAsia="Arial" w:hAnsi="Arial"/>
          <w:sz w:val="18"/>
          <w:szCs w:val="18"/>
          <w:color w:val="auto"/>
        </w:rPr>
        <w:t>” and “</w:t>
      </w:r>
      <w:r>
        <w:rPr>
          <w:rFonts w:ascii="Arial" w:cs="Arial" w:eastAsia="Arial" w:hAnsi="Arial"/>
          <w:sz w:val="18"/>
          <w:szCs w:val="18"/>
          <w:i w:val="1"/>
          <w:iCs w:val="1"/>
          <w:color w:val="auto"/>
        </w:rPr>
        <w:t>Item 7. Management’s Narrative</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Results of Operations –Wireless Segment</w:t>
      </w:r>
      <w:r>
        <w:rPr>
          <w:rFonts w:ascii="Arial" w:cs="Arial" w:eastAsia="Arial" w:hAnsi="Arial"/>
          <w:sz w:val="18"/>
          <w:szCs w:val="18"/>
          <w:color w:val="auto"/>
        </w:rPr>
        <w:t>” in this Annual Report on Form 10-K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right="99" w:hanging="319"/>
        <w:spacing w:after="0" w:line="236"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Our ability to compete effectively in the wireless services industry is dependent on a number of factors. </w:t>
      </w:r>
      <w:r>
        <w:rPr>
          <w:rFonts w:ascii="Arial" w:cs="Arial" w:eastAsia="Arial" w:hAnsi="Arial"/>
          <w:sz w:val="18"/>
          <w:szCs w:val="18"/>
          <w:color w:val="auto"/>
        </w:rPr>
        <w:t>Our ability to compete effectively in the wireless services industry depends on, among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things, our network quality, capacity and coverage; the pricing of our products and services; the quality of subscriber service; our development of new and enhanced products and services; the reach and quality of our sales and distribution channels; our ability to predict and adapt to future changes in technologies and changes in consumer demands; and our capital resources. It also depends on how successfully we anticipate and respond to various competitive factors affecting the industry, including, among others, new technologies and business models, products and services that may be introduced by competitors, changes in consumer preferences, the demand for and usage of data, video and other voice and non-voice services, demographic trends, economic conditions and discount pricing and other strategies that may be implemented by competitors. It may be difficult for us to differentiate our products and services from other competitors in the industry, which may limit our ability to attract and retain subscribers. Our success also may depend on our ability to access and deploy adequate spectrum, deploy new technologies and offer attractive products and services to subscribers. For example, we may not be able to obtain and offer certain technologies, features or services that are subject to competitor patents or other exclusive arrangements. Our success and financial results also depend on, among other factors, our ability to achieve a lower cost structure in our 5G Network Deployment and commercialization of our 5G Network. As we complete our 5G Network Deployment and continue to transition our business to an MNO from an MVNO, our results of operations and financial performance will depend in part on our ability to offer wireless services more cost effectively than we are able to do so through the use of our current MVNO agreements.</w:t>
      </w:r>
    </w:p>
    <w:p>
      <w:pPr>
        <w:spacing w:after="0" w:line="179" w:lineRule="exact"/>
        <w:rPr>
          <w:rFonts w:ascii="Times New Roman" w:cs="Times New Roman" w:eastAsia="Times New Roman" w:hAnsi="Times New Roman"/>
          <w:sz w:val="18"/>
          <w:szCs w:val="18"/>
          <w:color w:val="auto"/>
        </w:rPr>
      </w:pPr>
    </w:p>
    <w:p>
      <w:pPr>
        <w:ind w:left="720" w:right="79" w:hanging="319"/>
        <w:spacing w:after="0" w:line="236"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We depend on certain third parties to provide us with infrastructure and products and services. </w:t>
      </w:r>
      <w:r>
        <w:rPr>
          <w:rFonts w:ascii="Arial" w:cs="Arial" w:eastAsia="Arial" w:hAnsi="Arial"/>
          <w:sz w:val="18"/>
          <w:szCs w:val="18"/>
          <w:color w:val="auto"/>
        </w:rPr>
        <w:t>We depend on various key suppliers and vendors to provide us, directly or through other suppliers, with infrastructure, equipment and services, such as switch and network equipment, handsets and other devices and equipment that we would need in order to operate a wireless services business and provide products and services to our subscribers. For example, handset and other device suppliers often rely on one vendor for the manufacture and supply of critical components, such as chipsets, used in their devices. If these suppliers or vendors fail to provide equipment or services on a timely basis, or at all, or fail to meet performance expectations, we may be unable to provide products and services as and when expected by our subscribers. Any difficulties experienced with these suppliers and vendors could result in additional expense and/or delays in operating our Wireless services. Our efforts involve significant expense and require strategic management decisions on, and timely implementation of, among other things, equipment choices, network deployment and management and service offerings. In addition, these suppliers and vendors may also be subject to litigation with respect to technology on which we depend, including, but not limited to, litigation involving claims of patent infringement. In addition, 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As a result, we generally serve as the overall system integrator. Failure of these products to, among other things, effectively interoperate with one another could adversely affect our financial performance, including, but not limited to, our ability to complete our 5G Network Deployment on a cost-effective or timely basis or at all. In addition, from time to time, we may make certain changes to these products. Failure to successfully implement the changes may result in, among other things, increased operating costs, increased capital expenditures and reduced network performance, each of which, individually or in the aggregate, could adversely affect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20" w:right="119" w:hanging="319"/>
        <w:spacing w:after="0" w:line="236"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Wireless services and our Wireless spectrum licenses are subject to government regulation. </w:t>
      </w:r>
      <w:r>
        <w:rPr>
          <w:rFonts w:ascii="Arial" w:cs="Arial" w:eastAsia="Arial" w:hAnsi="Arial"/>
          <w:sz w:val="18"/>
          <w:szCs w:val="18"/>
          <w:color w:val="auto"/>
        </w:rPr>
        <w:t>Wireless services and our Wireless spectrum licenses are subject to regulation by the FCC and other federal, state and local, as well as international, governmental authorities. These governmental authorities could adopt regulations or take other actions that would adversely affect our business prospects, making it more difficult and/or expensive to complete our 5G Network Deployment and to further commercialize our Wireless spectrum licenses or acquire additional licenses. The licensing, construction, operation, sale and interconnection arrangements of wireless telecommunications systems are regulated by the FCC and, depending on the jurisdiction, other federal and international, state and local regulatory agencies. In particular, the FCC imposes significant regulation on licensees of wireless spectrum with respect to, among other things, how radio spectrum is used by licensees, the nature of the services that licensees may offer and how the services may be offered and resolution of issues of interference between spectrum bands. The FCC grants wireless licenses for terms of generally 10-12 years that are subject to acceleration, renewal or revocation based on certain factors depending on the license including, among others, public interest considerations, level and quality of services and/or operations provided by the licensee, frequency and duration of any interruptions or outages of services and/or operations provided by the licensee, and the extent to which service is provided to, and/or operation is provided in, rural areas and tribal lands. For example, the FCC currently has an open proceeding considering whether to permit MVDDS licensees to become Fixed Service operators. We cannot predict either the outcome of this proceeding or any potential impact it might have on our operations.</w:t>
      </w:r>
    </w:p>
    <w:p>
      <w:pPr>
        <w:spacing w:after="0" w:line="179" w:lineRule="exact"/>
        <w:rPr>
          <w:sz w:val="20"/>
          <w:szCs w:val="20"/>
          <w:color w:val="auto"/>
        </w:rPr>
      </w:pPr>
    </w:p>
    <w:p>
      <w:pPr>
        <w:ind w:left="700" w:right="79"/>
        <w:spacing w:after="0" w:line="237" w:lineRule="auto"/>
        <w:rPr>
          <w:sz w:val="20"/>
          <w:szCs w:val="20"/>
          <w:color w:val="auto"/>
        </w:rPr>
      </w:pPr>
      <w:r>
        <w:rPr>
          <w:rFonts w:ascii="Arial" w:cs="Arial" w:eastAsia="Arial" w:hAnsi="Arial"/>
          <w:sz w:val="18"/>
          <w:szCs w:val="18"/>
          <w:color w:val="auto"/>
        </w:rPr>
        <w:t>There can be no assurances that our Wireless spectrum licenses will be renewed or that we will be able to obtain additional licenses. Failure to comply with FCC requirements in a given license area could result in revocation of the license for that license area. In addition, the FCC uses its transactional “spectrum screen” to identify prospective wireless transactions that may require additional competitive scrutiny. If a proposed transaction would exceed the spectrum screen threshold, the FCC undertakes a more detailed analysis of relevant market conditions in the impacted geographic areas to determine whether the transaction would reduce competition without offsetting public benefits. If a proposed spectrum acquisition exceeds the spectrum screen trigger, such additional review could extend the duration of the regulatory review process and there can be no assurance that such proposed spectrum acquisition would ultimately be completed, in whole or in part. In addition, from time to time, we may seek modification and/or waiver of certain build out or other requirements of our licenses from the applicable government agency. Historically, we have successfully negotiated such modifications and/or waivers. However, there can be no guarantee that we will continue to be successful and that failure to meet requirements of our license may result in, among other things, adverse government action, including, but not limited to, acceleration of build out deadlines or cancellation or revocation of our licenses.</w:t>
      </w:r>
    </w:p>
    <w:p>
      <w:pPr>
        <w:spacing w:after="0" w:line="174" w:lineRule="exact"/>
        <w:rPr>
          <w:sz w:val="20"/>
          <w:szCs w:val="20"/>
          <w:color w:val="auto"/>
        </w:rPr>
      </w:pPr>
    </w:p>
    <w:p>
      <w:pPr>
        <w:ind w:left="60" w:right="99"/>
        <w:spacing w:after="0" w:line="309" w:lineRule="auto"/>
        <w:rPr>
          <w:sz w:val="20"/>
          <w:szCs w:val="20"/>
          <w:color w:val="auto"/>
        </w:rPr>
      </w:pPr>
      <w:r>
        <w:rPr>
          <w:rFonts w:ascii="Arial" w:cs="Arial" w:eastAsia="Arial" w:hAnsi="Arial"/>
          <w:sz w:val="17"/>
          <w:szCs w:val="17"/>
          <w:b w:val="1"/>
          <w:bCs w:val="1"/>
          <w:i w:val="1"/>
          <w:iCs w:val="1"/>
          <w:color w:val="auto"/>
        </w:rPr>
        <w:t>Our pay-TV competitors may be able to leverage their relationships with programmers to reduce their programming costs and/or offer exclusive content that will place them at a competitive advantage to us.</w:t>
      </w:r>
    </w:p>
    <w:p>
      <w:pPr>
        <w:spacing w:after="0" w:line="10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cost of programming represents the largest percentage of our overall Pay-TV costs. Certain of our competitors own directly, partner with and/or are affiliated with companies that own programming content that may enable them to obtain lower programming costs or offer exclusive programming that may be attractive to prospective or existing subscribers. Unlike our larger cable and satellite competitors, some of which also provide internet or broadband based pay-TV services, we have not made significant investments in programming providers. In addition, certain programmers have begun offering a greater amount of their content on a direct-to-consumer basis, including, but not limited to, exclusive and non-exclusive content. As a result, it may be more difficult for us to obtain access to such programming networks on nondiscriminatory and fair terms, or at all. See “</w:t>
      </w:r>
      <w:r>
        <w:rPr>
          <w:rFonts w:ascii="Arial" w:cs="Arial" w:eastAsia="Arial" w:hAnsi="Arial"/>
          <w:sz w:val="18"/>
          <w:szCs w:val="18"/>
          <w:i w:val="1"/>
          <w:iCs w:val="1"/>
          <w:color w:val="auto"/>
        </w:rPr>
        <w:t>Item 1. Business – Government Regulations – FCC Regulations Applicable to Our</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 Cable Act and Program Access</w:t>
      </w:r>
      <w:r>
        <w:rPr>
          <w:rFonts w:ascii="Arial" w:cs="Arial" w:eastAsia="Arial" w:hAnsi="Arial"/>
          <w:sz w:val="18"/>
          <w:szCs w:val="18"/>
          <w:color w:val="auto"/>
        </w:rPr>
        <w:t>” in EchoStar’s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 for further information.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right="159"/>
        <w:spacing w:after="0" w:line="245" w:lineRule="auto"/>
        <w:rPr>
          <w:sz w:val="20"/>
          <w:szCs w:val="20"/>
          <w:color w:val="auto"/>
        </w:rPr>
      </w:pPr>
      <w:r>
        <w:rPr>
          <w:rFonts w:ascii="Arial" w:cs="Arial" w:eastAsia="Arial" w:hAnsi="Arial"/>
          <w:sz w:val="18"/>
          <w:szCs w:val="18"/>
          <w:b w:val="1"/>
          <w:bCs w:val="1"/>
          <w:i w:val="1"/>
          <w:iCs w:val="1"/>
          <w:color w:val="auto"/>
        </w:rPr>
        <w:t>Through the MNSA and the NSA, we depend in part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157"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In July 2021, we entered into the NSA with AT&amp;T to provide us with wireless network services. Under the NSA, we have committed to activate on AT&amp;T a minimum percentage of certain of our Wireless subscribers and to utilize AT&amp;T’s network for a minimum specified percentage of our domestic roaming data usage. In 2020 in connection with the Asset Purchase Agreement, we entered into a master network services agreement with T-Mobile to provide us with wireless network services for a period of seven years (the “Prior MNSA”). In June 2022, we and T-Mobile entered into the MNSA, which amended the Prior MNSA. Under the MNSA, we agreed to a minimum purchase commitment to T-Mobile, subject to certain terms and conditions.</w:t>
      </w:r>
    </w:p>
    <w:p>
      <w:pPr>
        <w:spacing w:after="0" w:line="171"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As a result, failure to meet the minimum commitments to AT&amp;T or T-Mobile could have a material adverse effect on our business, financial condition and results of operations. For example, failure to meet our minimum commitments could result in, among other things, the acceleration of financial commitments and potential termination of the NSA or the MNSA, respectively.</w:t>
      </w:r>
    </w:p>
    <w:p>
      <w:pPr>
        <w:spacing w:after="0" w:line="16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As we continue our 5G Network Deployment, we currently depend in part on T-Mobile and AT&amp;T to provide us with network services pursuant to the MNSA and the NSA, respectively, primarily in areas our 5G Network doesn’t cover. We rely on T-Mobile and AT&amp;T to, among other things, maintain their wireless facilities and government authorizations and to comply with government policies and regulations. If T-Mobile or AT&amp;T fails to do so, our subscriber activations and churn rate could be negatively impacted, which in turn could have a material adverse effect on our business, financial condition and results of operations. As a result, failure to manage these relationships, including, but not limited to, effectively activating subscribers on the optimal network, transitioning subscribers to a different network, managing the existing subscriber base and vendor relationships and meeting certain minimum commitments could have a material adverse effect on our business, financial condition and results of operations.</w:t>
      </w:r>
    </w:p>
    <w:p>
      <w:pPr>
        <w:spacing w:after="0" w:line="166"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In the event that a termination under the NSA or the MNSA were to occur, our Wireless subscribers may need to obtain a new device, a new SIM card or receive a software update to continue receiving Wireless services from us. These required measures could cause significant disruption to our Wireless subscriber base which could result in, among other things, a significant increase in our churn rate. A termination of either the NSA or the MNSA, respectively, could result in significant financial and operational challenges to mitigate such termination, and there can be no assurances that any attempts to mitigate a termination event would be successful on an acceptable timeframe or at all.</w:t>
      </w:r>
    </w:p>
    <w:p>
      <w:pPr>
        <w:spacing w:after="0" w:line="173" w:lineRule="exact"/>
        <w:rPr>
          <w:sz w:val="20"/>
          <w:szCs w:val="20"/>
          <w:color w:val="auto"/>
        </w:rPr>
      </w:pPr>
    </w:p>
    <w:p>
      <w:pPr>
        <w:jc w:val="both"/>
        <w:ind w:left="60" w:right="479"/>
        <w:spacing w:after="0" w:line="256" w:lineRule="auto"/>
        <w:rPr>
          <w:sz w:val="20"/>
          <w:szCs w:val="20"/>
          <w:color w:val="auto"/>
        </w:rPr>
      </w:pPr>
      <w:r>
        <w:rPr>
          <w:rFonts w:ascii="Arial" w:cs="Arial" w:eastAsia="Arial" w:hAnsi="Arial"/>
          <w:sz w:val="18"/>
          <w:szCs w:val="18"/>
          <w:b w:val="1"/>
          <w:bCs w:val="1"/>
          <w:i w:val="1"/>
          <w:iCs w:val="1"/>
          <w:color w:val="auto"/>
        </w:rPr>
        <w:t>We compete with the MNOs whose networks we partially rely on to provide wireless services to our customers, and they may seek to limit, reduce or terminate our network access to the extent that it becomes competitively advantageous to do so.</w:t>
      </w:r>
    </w:p>
    <w:p>
      <w:pPr>
        <w:spacing w:after="0" w:line="14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We are able to offer wireless services to our customers through the 5G Network, and through our existing agreements with AT&amp;T and T-Mobile, both of whom are competitors of ours. While our agreements with AT&amp;T and T-Mobile had ten and seven-year terms from the date of signing, respectively, to the extent that either network service provider experiences, among other things, network capacity challenges, it is possible that our subscribers could be de-prioritized for access to those networks. Further, AT&amp;T and/or T-Mobile may decide not to renew their agreements with us at acceptable rates, or at all or impose other obligations that we are unable or unwilling to accept. Any reduction in, or loss of, access to those networks in the future could significantly impact our ability to provide services to our subscribers and in turn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679"/>
        <w:spacing w:after="0" w:line="278" w:lineRule="auto"/>
        <w:rPr>
          <w:sz w:val="20"/>
          <w:szCs w:val="20"/>
          <w:color w:val="auto"/>
        </w:rPr>
      </w:pPr>
      <w:r>
        <w:rPr>
          <w:rFonts w:ascii="Arial" w:cs="Arial" w:eastAsia="Arial" w:hAnsi="Arial"/>
          <w:sz w:val="18"/>
          <w:szCs w:val="18"/>
          <w:b w:val="1"/>
          <w:bCs w:val="1"/>
          <w:i w:val="1"/>
          <w:iCs w:val="1"/>
          <w:color w:val="auto"/>
        </w:rPr>
        <w:t>Changes in how network operators handle and charge for access to data that travels across their networks could adversely impact our Pay-TV business.</w:t>
      </w:r>
    </w:p>
    <w:p>
      <w:pPr>
        <w:spacing w:after="0" w:line="13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With respect to our Pay-TV business, we rely upon the ability of consumers to access our SLING TV services and certain DISH TV functionality through the Internet. If network operators block, restrict, slow-down or throttle or otherwise impair access to our services over their networks, our business could be negatively affected. To the extent that network operators implement usage-based pricing including, but not limited to, meaningful bandwidth caps, or otherwise try to monetize access to their networks by data providers, we could incur greater operating expenses and our SLING TV subscriber count could be negatively impacted. Furthermore, to the extent network operators create tiers of Internet access service and either charge us for or prohibit us from being available through these tiers, our SLING TV business could be negatively impacted.</w:t>
      </w:r>
    </w:p>
    <w:p>
      <w:pPr>
        <w:spacing w:after="0" w:line="18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addition, many network operators that provide consumers with broadband service also provide these consumers with video programming, and these network operators may have an incentive to use their network infrastructure in a manner adverse to our continued growth and success. These risks may be exacerbated to the extent network operators are able to provide preferential treatment to their data, including, for example, by offering wireless subscribers access to owned or preferred video content over the Internet without counting against a subscriber’s monthly data caps, which may give an unfair advantage to the network operator’s own or partners video content.</w:t>
      </w:r>
    </w:p>
    <w:p>
      <w:pPr>
        <w:spacing w:after="0" w:line="171"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We cannot predict with any certainty the impact to our business that may result from changes in how network operators handle and charge for access to data that travels across their networks.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weakness and uncertainty may adversely affect our ability to grow or maintain our business.</w:t>
      </w:r>
    </w:p>
    <w:p>
      <w:pPr>
        <w:spacing w:after="0" w:line="196"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Our ability to grow or maintain our business may be adversely affected by economic weakness and uncertainty, which could result in the following:</w:t>
      </w:r>
    </w:p>
    <w:p>
      <w:pPr>
        <w:spacing w:after="0" w:line="46" w:lineRule="exact"/>
        <w:rPr>
          <w:sz w:val="20"/>
          <w:szCs w:val="20"/>
          <w:color w:val="auto"/>
        </w:rPr>
      </w:pPr>
    </w:p>
    <w:p>
      <w:pPr>
        <w:ind w:left="720" w:right="79" w:hanging="319"/>
        <w:spacing w:after="0" w:line="253" w:lineRule="auto"/>
        <w:tabs>
          <w:tab w:leader="none" w:pos="7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Fewer subscriber activations and increased subscriber churn rate. </w:t>
      </w:r>
      <w:r>
        <w:rPr>
          <w:rFonts w:ascii="Arial" w:cs="Arial" w:eastAsia="Arial" w:hAnsi="Arial"/>
          <w:sz w:val="17"/>
          <w:szCs w:val="17"/>
          <w:color w:val="auto"/>
        </w:rPr>
        <w:t>We could face fewer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subscriber activations and increased subscriber churn rate due to, among other things: (i) certain economic factors that impact consumers, including, among others, inflation, rising interest rates, a potential downturn in the housing market in the United States (including a decline in housing starts) and higher unemployment, which could lead to a lack of consumer confidence and lower discretionary spending; (ii) increased price competition for our products and services; and (iii) the potential loss of independent third-party retailers, who generate a meaningful percentage of our gross new DISH TV and Wireless subscriber activations, because many of them are small businesses that are more susceptible to the negative effects of economic weakness. In particular, our DISH TV churn rate and Wireless churn rate may increase with respect to subscribers who purchase our lower tier programming packages and Wireless services, and who may be more sensitive to economic weakness.</w:t>
      </w:r>
    </w:p>
    <w:p>
      <w:pPr>
        <w:spacing w:after="0" w:line="68" w:lineRule="exact"/>
        <w:rPr>
          <w:rFonts w:ascii="Times New Roman" w:cs="Times New Roman" w:eastAsia="Times New Roman" w:hAnsi="Times New Roman"/>
          <w:sz w:val="17"/>
          <w:szCs w:val="17"/>
          <w:color w:val="auto"/>
        </w:rPr>
      </w:pPr>
    </w:p>
    <w:p>
      <w:pPr>
        <w:jc w:val="both"/>
        <w:ind w:left="720" w:right="659" w:hanging="319"/>
        <w:spacing w:after="0" w:line="252"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Higher subscriber acquisition and retention costs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profits may be adversely affected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subscriber acquisition and retention costs necessary to attract and retain high-quality subscribers during a period of economic weakness.</w:t>
      </w:r>
    </w:p>
    <w:p>
      <w:pPr>
        <w:spacing w:after="0" w:line="15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are also subject to inflationary cost pressures, and if inflation continues or worsens, it could negatively impact us by increasing, among other things, our operating expenses. Inflation may lead to cost increases in multiple areas across our business, for example, rises in the prices of raw materials and manufactured goods, increased energy rates, as well as increased wage pressures and other expenses related to our labor, programming and other costs. While we attempt to increase our revenue to offset increases in costs, there is no assurance that we will be able to do so on an acceptable timeline or at all. Therefore, costs could rise faster than associated revenue, thereby resulting in a negative impact on our operating results, cash flows and liquidity.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left="60" w:right="379"/>
        <w:spacing w:after="0" w:line="256" w:lineRule="auto"/>
        <w:rPr>
          <w:sz w:val="20"/>
          <w:szCs w:val="20"/>
          <w:color w:val="auto"/>
        </w:rPr>
      </w:pPr>
      <w:r>
        <w:rPr>
          <w:rFonts w:ascii="Arial" w:cs="Arial" w:eastAsia="Arial" w:hAnsi="Arial"/>
          <w:sz w:val="18"/>
          <w:szCs w:val="18"/>
          <w:b w:val="1"/>
          <w:bCs w:val="1"/>
          <w:i w:val="1"/>
          <w:iCs w:val="1"/>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4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order to grow and remain competitive, we will need to adapt to changes in available technology, including, but not limited to, artificial intelligence and machine learning, continually invest in our 5G Network Deployment, increase 5G Network capacity, enhance our existing service offerings and introduce new offerings to meet our current and potential subscribers’ changing service demands. Enhancing our 5G Network, including, but not limited to, our ongoing 5G Network Deployment, is subject to risks related to, among other things, equipment choices, network deployment and management, and service offerings. In addition, 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Therefore, we generally serve as the overall system integrator.</w:t>
      </w:r>
    </w:p>
    <w:p>
      <w:pPr>
        <w:spacing w:after="0" w:line="16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As a result, adopting new and sophisticated technologies may result in implementation issues, such as scheduling and supplier delays, unexpected or increased costs, technological constraints, regulatory permitting issues, actual or perceived subscriber dissatisfaction and other issues that could cause delays in launching new technological capabilities, which in turn could result in significant costs or reduce the anticipated benefits of the upgrades. If our new services fail to retain or gain acceptance in the marketplace or if costs associated with these services are higher than anticipated, this could have a material adverse effect on our operating results.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200" w:lineRule="exact"/>
        <w:rPr>
          <w:sz w:val="20"/>
          <w:szCs w:val="20"/>
          <w:color w:val="auto"/>
        </w:rPr>
      </w:pPr>
    </w:p>
    <w:p>
      <w:pPr>
        <w:ind w:left="60" w:right="99"/>
        <w:spacing w:after="0" w:line="278" w:lineRule="auto"/>
        <w:rPr>
          <w:sz w:val="20"/>
          <w:szCs w:val="20"/>
          <w:color w:val="auto"/>
        </w:rPr>
      </w:pPr>
      <w:r>
        <w:rPr>
          <w:rFonts w:ascii="Arial" w:cs="Arial" w:eastAsia="Arial" w:hAnsi="Arial"/>
          <w:sz w:val="18"/>
          <w:szCs w:val="18"/>
          <w:b w:val="1"/>
          <w:bCs w:val="1"/>
          <w:i w:val="1"/>
          <w:iCs w:val="1"/>
          <w:color w:val="auto"/>
        </w:rPr>
        <w:t>Any deterioration in our operational performance and subscriber satisfaction could adversely affect our business, financial condition and results of operations.</w:t>
      </w:r>
    </w:p>
    <w:p>
      <w:pPr>
        <w:spacing w:after="0" w:line="12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If our operational performance and subscriber satisfaction with respect to our Pay-TV and/or Wireless businesses were to deteriorate, we may experience a decrease in subscriber activations and an increase in our subscriber churn rate, which could have a material adverse effect on our business, financial condition and results of operations. To improve our operational performance, we continue to make investments in staffing, training, information systems and other initiatives, primarily in our call center and in-home service operations, and our Wireless business operations. These investments are intended to, among other things, help combat inefficiencies introduced by the increasing complexity of our business, improve subscriber satisfaction, reduce subscriber churn, increase productivity and allow us to scale better over the long run. We cannot, however, be certain that our spending will ultimately be successful in improving our operational performance, and if unsuccessful, we may have to incur higher costs to improve our operational performance. While we believe that such costs will be outweighed by longer-term benefits, there can be no assurance when or if we will realize these benefits at all.</w:t>
      </w:r>
    </w:p>
    <w:p>
      <w:pPr>
        <w:spacing w:after="0" w:line="171" w:lineRule="exact"/>
        <w:rPr>
          <w:sz w:val="20"/>
          <w:szCs w:val="20"/>
          <w:color w:val="auto"/>
        </w:rPr>
      </w:pPr>
    </w:p>
    <w:p>
      <w:pPr>
        <w:ind w:left="60" w:right="279"/>
        <w:spacing w:after="0" w:line="278" w:lineRule="auto"/>
        <w:rPr>
          <w:sz w:val="20"/>
          <w:szCs w:val="20"/>
          <w:color w:val="auto"/>
        </w:rPr>
      </w:pPr>
      <w:r>
        <w:rPr>
          <w:rFonts w:ascii="Arial" w:cs="Arial" w:eastAsia="Arial" w:hAnsi="Arial"/>
          <w:sz w:val="18"/>
          <w:szCs w:val="18"/>
          <w:b w:val="1"/>
          <w:bCs w:val="1"/>
          <w:i w:val="1"/>
          <w:iCs w:val="1"/>
          <w:color w:val="auto"/>
        </w:rPr>
        <w:t>If our subscriber activations decrease, or if our subscriber churn rate, subscriber acquisition costs or retention costs increase, our financial performance will be adversely affected.</w:t>
      </w:r>
    </w:p>
    <w:p>
      <w:pPr>
        <w:spacing w:after="0" w:line="12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We may incur increased costs to acquire new subscribers and retain existing subscribers to some or all of our Pay-TV or Wireless businesses. For example, with respect to our Pay-TV business, our gross new DISH TV subscriber activations, net DISH TV subscriber additions, and DISH TV churn rate continue to be negatively impacted by stricter subscriber acquisition and retention policies for our DISH TV subscribers, including, but not limited to, higher quality subscribers. Retention costs with respect to our DISH TV services may be driven higher by, among other things, increased upgrades of existing subscribers’ equipment.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color w:val="auto"/>
        </w:rPr>
        <w:t>Although we expect to continue to incur expenses, such as providing retention credits and other subscriber acquisition and retention expenses, including, but not limited to, device subsidies and upgrade discounts, to attract and retain subscribers, there can be no assurance that our efforts will generate new subscribers or result in a lower churn rate. Our subscriber acquisition costs and our subscriber retention costs can vary significantly from period to period and can cause material variability to our net income (loss) and free cash flow. Any material increase in subscriber acquisition or retention costs from current levels could have a material adverse effect on our business, financial condition and results of operations.</w:t>
      </w:r>
    </w:p>
    <w:p>
      <w:pPr>
        <w:spacing w:after="0" w:line="185" w:lineRule="exact"/>
        <w:rPr>
          <w:sz w:val="20"/>
          <w:szCs w:val="20"/>
          <w:color w:val="auto"/>
        </w:rPr>
      </w:pPr>
    </w:p>
    <w:p>
      <w:pPr>
        <w:ind w:left="60" w:right="539"/>
        <w:spacing w:after="0" w:line="278" w:lineRule="auto"/>
        <w:rPr>
          <w:sz w:val="20"/>
          <w:szCs w:val="20"/>
          <w:color w:val="auto"/>
        </w:rPr>
      </w:pPr>
      <w:r>
        <w:rPr>
          <w:rFonts w:ascii="Arial" w:cs="Arial" w:eastAsia="Arial" w:hAnsi="Arial"/>
          <w:sz w:val="18"/>
          <w:szCs w:val="18"/>
          <w:b w:val="1"/>
          <w:bCs w:val="1"/>
          <w:i w:val="1"/>
          <w:iCs w:val="1"/>
          <w:color w:val="auto"/>
        </w:rPr>
        <w:t>With respect to our Pay-TV business, programming expenses are increasing, which may adversely affect our future financial condition and results of operations.</w:t>
      </w:r>
    </w:p>
    <w:p>
      <w:pPr>
        <w:spacing w:after="0" w:line="12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programming costs represent a significant component of our total expense and we expect these costs to continue to increase on a per subscriber basis. The pay-TV industry has continued to experience an increase in the cost of programming, especially local broadcast channels and sports programming. In addition, certain programming costs are rising at a much faster rate than wages or inflation. These factors may be exacerbated by, among other factors, the increasing trend of consolidation in the media industry, partnerships between companies that offer pay-TV services and programmers and increased direct-to-consumer offerings of both exclusive and non-exclusive content, which may further increase our programming expenses. Our ability to compete successfully will depend, among other things, on our ability to continue to obtain desirable programming and deliver it to our subscribers at competitive prices.</w:t>
      </w:r>
    </w:p>
    <w:p>
      <w:pPr>
        <w:spacing w:after="0" w:line="170"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In addition, increases in programming costs cause us to increase the rates that we charge our Pay-TV subscribers, which could in turn cause our existing Pay-TV subscribers to disconnect service. Therefore, we may be unable to pass increased programming costs on to our subscribers, which could have a material adverse effect on our business, financial condition and results of operations.</w:t>
      </w:r>
    </w:p>
    <w:p>
      <w:pPr>
        <w:spacing w:after="0" w:line="162" w:lineRule="exact"/>
        <w:rPr>
          <w:sz w:val="20"/>
          <w:szCs w:val="20"/>
          <w:color w:val="auto"/>
        </w:rPr>
      </w:pPr>
    </w:p>
    <w:p>
      <w:pPr>
        <w:jc w:val="both"/>
        <w:ind w:left="60" w:right="99"/>
        <w:spacing w:after="0" w:line="256" w:lineRule="auto"/>
        <w:rPr>
          <w:sz w:val="20"/>
          <w:szCs w:val="20"/>
          <w:color w:val="auto"/>
        </w:rPr>
      </w:pPr>
      <w:r>
        <w:rPr>
          <w:rFonts w:ascii="Arial" w:cs="Arial" w:eastAsia="Arial" w:hAnsi="Arial"/>
          <w:sz w:val="18"/>
          <w:szCs w:val="18"/>
          <w:b w:val="1"/>
          <w:bCs w:val="1"/>
          <w:i w:val="1"/>
          <w:iCs w:val="1"/>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05"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depend on certain third parties to provide us with programming services. Our programming agreements have remaining terms ranging from less than one to up to several years and contain various renewal, expiration and/or termination provisions. We may not be able to renew these agreements on acceptable terms or at all, and these agreements may be terminated prior to expiration of their original terms. In addition, our ability to provide services under these agreements and negotiate acceptable terms depends on, among other things, the number of Pay-TV subscribers we have, our actual, perceived or anticipated financial condition and our negotiating power against each programmer, which can vary depending on the size and scale of such programmer.</w:t>
      </w:r>
    </w:p>
    <w:p>
      <w:pPr>
        <w:spacing w:after="0" w:line="16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Negotiations over programming carriage contracts are generally contentious, and certain programmers have, in the past, limited our access to their programming in connection with those negotiations and the scheduled expiration of their programming carriage contracts with us. In recent years, our net Pay-TV subscriber additions have been negatively impacted as a result of programming interruptions and threatened programming interruptions in connection with the scheduled expiration of programming carriage contracts with content providers. In addition, certain content providers have begun making a greater percentage of their content available as a stand-alone product available direct-to-consumer and acceleration of this trend may result in lower net Pay-TV subscriber additions, higher net Pay-TV subscriber losses and increased DISH TV churn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2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typically have a few programming contracts with major content providers up for renewal each year and if we are unable to renew any of these agreements on acceptable terms or at all, or the other parties terminate the agreements, there can be no assurance that we would be able to obtain substitute programming, or that such substitute programming would be comparable in quality or cost to our existing programming. In addition, failure to obtain access to certain programming or loss of access to programming, particularly programming provided by major content providers and/or programming popular with our subscribers, could have a material adverse effect on our business, financial condition and results of operations, including, among other things, our net Pay-TV subscriber additions.</w:t>
      </w:r>
    </w:p>
    <w:p>
      <w:pPr>
        <w:spacing w:after="0" w:line="12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Our programming signals in our Pay-TV business are subject to theft, and we are vulnerable to other forms of fraud that could require significant expenditures to remedy. Increases in theft of our signal or our competitors’ signals could, in addition to reducing gross new DISH TV subscriber activations, also cause our DISH TV churn rate to increase.</w:t>
      </w:r>
    </w:p>
    <w:p>
      <w:pPr>
        <w:spacing w:after="0" w:line="122"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We may not be able to obtain necessary retransmission consent agreements at acceptable rates, or at all, from local network stations.</w:t>
      </w:r>
    </w:p>
    <w:p>
      <w:pPr>
        <w:spacing w:after="0" w:line="8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Copyright Act generally gives satellite companies a statutory copyright license to retransmit local broadcast channels by satellite back into the market from which they originated, subject to obtaining the retransmission consent of local broadcast television stations that do not elect “must carry” status, as required by the Communications Act. If we fail to reach retransmission consent agreements with such broadcasters, we cannot carry their signals. This could have an adverse effect on our strategy to compete with cable and other satellite companies that provide local signals. While we have generally been able to reach retransmission consent agreements with most of these local network stations, from time to time there are stations with which we have not been able to reach an agreement, resulting in the removal of their channels primarily from our DISH TV lineup. There can be no assurance that we will secure these agreements or that we will secure new agreements on acceptable terms, or at all, upon the expiration of our current retransmission consent agreements, some of which are short-term. In recent years, national broadcasters have used their ownership of certain local broadcast stations to require us to carry additional cable programming in exchange for retransmission consent of their local broadcast stations. These requirements may place constraints on available capacity on our satellites for other programming. Furthermore, the rates we are charged for retransmitting local channels have been increasing substantially and may exceed our ability to increase our prices to our subscribers, which could have a material adverse effect on our business, financial condition and results of operations.</w:t>
      </w:r>
    </w:p>
    <w:p>
      <w:pPr>
        <w:spacing w:after="0" w:line="172" w:lineRule="exact"/>
        <w:rPr>
          <w:sz w:val="20"/>
          <w:szCs w:val="20"/>
          <w:color w:val="auto"/>
        </w:rPr>
      </w:pPr>
    </w:p>
    <w:p>
      <w:pPr>
        <w:ind w:left="60" w:right="159"/>
        <w:spacing w:after="0" w:line="278" w:lineRule="auto"/>
        <w:rPr>
          <w:sz w:val="20"/>
          <w:szCs w:val="20"/>
          <w:color w:val="auto"/>
        </w:rPr>
      </w:pPr>
      <w:r>
        <w:rPr>
          <w:rFonts w:ascii="Arial" w:cs="Arial" w:eastAsia="Arial" w:hAnsi="Arial"/>
          <w:sz w:val="18"/>
          <w:szCs w:val="18"/>
          <w:b w:val="1"/>
          <w:bCs w:val="1"/>
          <w:i w:val="1"/>
          <w:iCs w:val="1"/>
          <w:color w:val="auto"/>
        </w:rPr>
        <w:t>We have limited satellite capacity and failures or reduced capacity could adversely affect our business, financial condition and results of operations.</w:t>
      </w:r>
    </w:p>
    <w:p>
      <w:pPr>
        <w:spacing w:after="0" w:line="126"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Operation of our Pay-TV business requires that we have adequate satellite transmission capacity for the programming we offer. While we generally have had in-orbit satellite capacity sufficient to transmit our existing channels and some backup capacity to recover the transmission of certain critical programming, our backup capacity is limited.</w:t>
      </w:r>
    </w:p>
    <w:p>
      <w:pPr>
        <w:spacing w:after="0" w:line="16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ability to earn revenue from our Pay-TV business depends on, among other things, the usefulness of our owned and leased satellites, each of which has a limited useful life. A number of factors affect the useful lives of the satellites, including, among other things, the quality of their construction, the durability of their component parts, the ability to continue to maintain proper orbits and control over the satellites’ functions, the efficiency of the launch vehicles used and the remaining on-board fuel following in-orbit insertion. Generally, the minimum design life of each of our owned and leased satellites ranges from 12 to 15 years. We can provide no assurance, however, as to the actual useful lives of any of these satellites. Our operating results could be adversely affected if the useful life of any of our owned or leased satellites was significantly shorter than the minimum design life.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1A. Risk Factors – Risks Related to our Satellites”</w:t>
      </w:r>
      <w:r>
        <w:rPr>
          <w:rFonts w:ascii="Arial" w:cs="Arial" w:eastAsia="Arial" w:hAnsi="Arial"/>
          <w:sz w:val="18"/>
          <w:szCs w:val="18"/>
          <w:color w:val="auto"/>
        </w:rPr>
        <w:t xml:space="preserve"> in this Annual Report on Form 10-K for further information.</w:t>
      </w:r>
    </w:p>
    <w:p>
      <w:pPr>
        <w:spacing w:after="0" w:line="142" w:lineRule="exact"/>
        <w:rPr>
          <w:sz w:val="20"/>
          <w:szCs w:val="20"/>
          <w:color w:val="auto"/>
        </w:rPr>
      </w:pPr>
    </w:p>
    <w:p>
      <w:pPr>
        <w:ind w:left="60" w:right="239"/>
        <w:spacing w:after="0" w:line="278" w:lineRule="auto"/>
        <w:rPr>
          <w:sz w:val="20"/>
          <w:szCs w:val="20"/>
          <w:color w:val="auto"/>
        </w:rPr>
      </w:pPr>
      <w:r>
        <w:rPr>
          <w:rFonts w:ascii="Arial" w:cs="Arial" w:eastAsia="Arial" w:hAnsi="Arial"/>
          <w:sz w:val="17"/>
          <w:szCs w:val="17"/>
          <w:b w:val="1"/>
          <w:bCs w:val="1"/>
          <w:i w:val="1"/>
          <w:iCs w:val="1"/>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2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Extreme weather has the potential to directly damage our network facilities and other infrastructure and/or disrupt our ability to build and maintain portions of our network and could potentially disrupt suppliers’ ability to, among other things, provide the products and services we require to support our operations. Any such disruption could delay our 5G Network Deployment plans, interrupt service for our customers, increase our costs and have a negative effect on our operating results and financial condition. The potential physical effects of extreme weather, such as storms, floods, fires, freezing conditions, sea-level rise and other adverse weather events, could negatively affect our operations and infrastructure and, as a result, our financial results. Operational impacts resulting from extreme weather, such as, among other things, damage to our 5G Network infrastructure, could result in increased costs and loss of revenue. We could be required to incur significant costs to improve the resiliency of our infrastructure and otherwise prepare for, respond to and mitigate such weather events. It is impossible to accurately predict the materiality of any potential losses or costs associated with extreme weather.</w:t>
      </w:r>
    </w:p>
    <w:p>
      <w:pPr>
        <w:spacing w:after="0" w:line="171" w:lineRule="exact"/>
        <w:rPr>
          <w:sz w:val="20"/>
          <w:szCs w:val="20"/>
          <w:color w:val="auto"/>
        </w:rPr>
      </w:pPr>
    </w:p>
    <w:p>
      <w:pPr>
        <w:ind w:left="60" w:right="219"/>
        <w:spacing w:after="0" w:line="309" w:lineRule="auto"/>
        <w:rPr>
          <w:sz w:val="20"/>
          <w:szCs w:val="20"/>
          <w:color w:val="auto"/>
        </w:rPr>
      </w:pPr>
      <w:r>
        <w:rPr>
          <w:rFonts w:ascii="Arial" w:cs="Arial" w:eastAsia="Arial" w:hAnsi="Arial"/>
          <w:sz w:val="17"/>
          <w:szCs w:val="17"/>
          <w:b w:val="1"/>
          <w:bCs w:val="1"/>
          <w:i w:val="1"/>
          <w:iCs w:val="1"/>
          <w:color w:val="auto"/>
        </w:rPr>
        <w:t>Our failure to effectively invest in, introduce and implement new competitive products and services could cause our products and services to become obsolete and could negatively impact our business.</w:t>
      </w:r>
    </w:p>
    <w:p>
      <w:pPr>
        <w:spacing w:after="0" w:line="10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Technology in the pay-TV and wireless industries changes rapidly as new technologies are developed, which could cause our products and services to become obsolete. We and our suppliers may not be able to keep pace with technological developments. Our operating results are dependent to a significant extent upon our ability to continue to introduce new products and services, to upgrade existing products and services on a timely basis and to reduce costs of our existing products and services. We may not be able to successfully identify new product or service opportunities or develop and market these opportunities in a timely or cost-effective manner.</w:t>
      </w:r>
    </w:p>
    <w:p>
      <w:pPr>
        <w:spacing w:after="0" w:line="171"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The research and development of new, technologically advanced products is a complex and uncertain process requiring high levels of innovation and investment. The success of new product and service development depends on many factors, including among others, the following:</w:t>
      </w:r>
    </w:p>
    <w:p>
      <w:pPr>
        <w:spacing w:after="0" w:line="61" w:lineRule="exact"/>
        <w:rPr>
          <w:sz w:val="20"/>
          <w:szCs w:val="20"/>
          <w:color w:val="auto"/>
        </w:rPr>
      </w:pPr>
    </w:p>
    <w:p>
      <w:pPr>
        <w:ind w:left="720" w:right="259" w:hanging="319"/>
        <w:spacing w:after="0" w:line="244" w:lineRule="auto"/>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difficulties and delays in the development, production, timely completion, testing and marketing of products and services;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the products and services;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proper identification of subscriber needs and subscriber acceptance of products and services;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development of, approval of and compliance with industry standards;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of resources we must devote to the development of new technologies; and</w:t>
      </w:r>
    </w:p>
    <w:p>
      <w:pPr>
        <w:spacing w:after="0" w:line="8" w:lineRule="exact"/>
        <w:rPr>
          <w:rFonts w:ascii="Times New Roman" w:cs="Times New Roman" w:eastAsia="Times New Roman" w:hAnsi="Times New Roman"/>
          <w:sz w:val="18"/>
          <w:szCs w:val="18"/>
          <w:color w:val="auto"/>
        </w:rPr>
      </w:pPr>
    </w:p>
    <w:p>
      <w:pPr>
        <w:ind w:left="720" w:right="419" w:hanging="319"/>
        <w:spacing w:after="0" w:line="249" w:lineRule="auto"/>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differentiate our products and services and compete with other companies in the same markets.</w:t>
      </w:r>
    </w:p>
    <w:p>
      <w:pPr>
        <w:spacing w:after="0" w:line="159" w:lineRule="exact"/>
        <w:rPr>
          <w:sz w:val="20"/>
          <w:szCs w:val="20"/>
          <w:color w:val="auto"/>
        </w:rPr>
      </w:pPr>
    </w:p>
    <w:p>
      <w:pPr>
        <w:ind w:left="60" w:right="239"/>
        <w:spacing w:after="0" w:line="263" w:lineRule="auto"/>
        <w:rPr>
          <w:sz w:val="20"/>
          <w:szCs w:val="20"/>
          <w:color w:val="auto"/>
        </w:rPr>
      </w:pPr>
      <w:r>
        <w:rPr>
          <w:rFonts w:ascii="Arial" w:cs="Arial" w:eastAsia="Arial" w:hAnsi="Arial"/>
          <w:sz w:val="17"/>
          <w:szCs w:val="17"/>
          <w:color w:val="auto"/>
        </w:rPr>
        <w:t>If the new technologies on which we focus our research and development investments fail to achieve acceptance in the marketplace, our competitive position could be negatively impacted, causing a reduction in our revenues and earnings. For example, our competitors could use proprietary technologies that are perceived by the market as being superior. In addition, delays in the delivery of components or other unforeseen problems associated with our technology may occur that could materially and adversely affect our ability to generate revenue, offer new products and services and remain competitive. Furthermore, after we have incurred substantial costs, one or more of the products or services under our development, or under development by one or more of our strategic partners, could become obsolete prior to it being widely adopted.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If our products and services are not competitive or perceived as not competitive, our business could suffer and our financial performance could be negatively impacted. Our products and services may also experience quality problems, including, but not limited to, outages and service slowdowns, from time to time. If the quality of our products and services does not meet our subscribers’ expectations, then our business, and ultimately our reputation, could be negatively impacted.</w:t>
      </w:r>
    </w:p>
    <w:p>
      <w:pPr>
        <w:spacing w:after="0" w:line="165" w:lineRule="exact"/>
        <w:rPr>
          <w:sz w:val="20"/>
          <w:szCs w:val="20"/>
          <w:color w:val="auto"/>
        </w:rPr>
      </w:pPr>
    </w:p>
    <w:p>
      <w:pPr>
        <w:jc w:val="both"/>
        <w:ind w:left="60" w:right="219"/>
        <w:spacing w:after="0" w:line="256" w:lineRule="auto"/>
        <w:rPr>
          <w:sz w:val="20"/>
          <w:szCs w:val="20"/>
          <w:color w:val="auto"/>
        </w:rPr>
      </w:pPr>
      <w:r>
        <w:rPr>
          <w:rFonts w:ascii="Arial" w:cs="Arial" w:eastAsia="Arial" w:hAnsi="Arial"/>
          <w:sz w:val="18"/>
          <w:szCs w:val="18"/>
          <w:b w:val="1"/>
          <w:bCs w:val="1"/>
          <w:i w:val="1"/>
          <w:iCs w:val="1"/>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4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Historically, we have contracted with and rely on a single vendor or a limited number of vendors to provide certain key products or services to us such as information technology support, billing systems, security access devices and many components that we provide to subscribers in order to deliver services from our Pay-TV and Wireless businesses. We also rely on a limited number of vendors to supply our wireless devices and wireless network equipment used in connection with our 5G Network Deployment. If these vendors are unable to meet our needs because, among other things, they fail to perform adequately, are no longer in business, are experiencing shortages or supply chain issues or discontinue a certain product or service we need, our business, financial condition and results of operations may be adversely affected.</w:t>
      </w:r>
    </w:p>
    <w:p>
      <w:pPr>
        <w:spacing w:after="0" w:line="167"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We have experienced in the past and may continue to experience shortages driven by raw material availability (which may be negatively impacted by, among other things, trade protection policies such as tariffs and or/escalating trade tensions, particularly with countries in Asia), manufacturing capacity, labor shortages, industry allocations, natural disasters, logistical delays and significant changes in the financial or business conditions of its suppliers that negatively impact our operations.</w:t>
      </w:r>
    </w:p>
    <w:p>
      <w:pPr>
        <w:spacing w:after="0" w:line="163"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While alternative sources for these products and services exist, we may not be able to develop these alternative sources quickly and cost-effectively, or at all, which could materially impair our ability to timely deliver our products to our subscribers or operate our business. Furthermore, our vendors may request changes in pricing, payment terms or other contractual obligations between the parties, which could require us to make substantial additional investments or find alternative arrangements.</w:t>
      </w:r>
    </w:p>
    <w:p>
      <w:pPr>
        <w:spacing w:after="0" w:line="165" w:lineRule="exact"/>
        <w:rPr>
          <w:sz w:val="20"/>
          <w:szCs w:val="20"/>
          <w:color w:val="auto"/>
        </w:rPr>
      </w:pPr>
    </w:p>
    <w:p>
      <w:pPr>
        <w:ind w:left="60" w:right="319"/>
        <w:spacing w:after="0" w:line="278" w:lineRule="auto"/>
        <w:rPr>
          <w:sz w:val="20"/>
          <w:szCs w:val="20"/>
          <w:color w:val="auto"/>
        </w:rPr>
      </w:pPr>
      <w:r>
        <w:rPr>
          <w:rFonts w:ascii="Arial" w:cs="Arial" w:eastAsia="Arial" w:hAnsi="Arial"/>
          <w:sz w:val="18"/>
          <w:szCs w:val="18"/>
          <w:b w:val="1"/>
          <w:bCs w:val="1"/>
          <w:i w:val="1"/>
          <w:iCs w:val="1"/>
          <w:color w:val="auto"/>
        </w:rPr>
        <w:t>We depend on independent third parties to solicit orders for our services that represent a meaningful percentage of our total gross new subscriber activations.</w:t>
      </w:r>
    </w:p>
    <w:p>
      <w:pPr>
        <w:spacing w:after="0" w:line="8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While we offer products and services through direct sales channels, a meaningful percentage of our total gross new subscriber activations are generated through independent third parties such as small retailers, direct marketing groups, local and regional consumer electronics stores, nationwide retailers, and telecommunications companies. Most of our independent third-party retailers are not exclusive to us and some of our independent third-party retailers may favor our competitors’ products and services over ours based on the relative financial arrangements associated with marketing our products and services and those of our competitors. Furthermore, most of these independent third-party retailers are significantly smaller than we are and may be more susceptible to economic weaknesses that make it more difficult for them to operate profitably. From time to time, we may adjust the economic terms of agreements with our independent third-party retailers to, among other things, further align our interests with theirs. It may be difficult to better align our interests with our independent third-party retailers because of their capital and liquidity constraints. In addition, any changes we may make may not result in the intended benefits on an acceptable timeline or at all and as a result, negatively affect our operating results. Loss of these relationships could have an adverse effect on our subscriber base and certain of our other key operating metrics because we may not be able to develop comparable alternative distribution channels.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200"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We rely on highly skilled personnel for our business, and any inability to hire and retain key personnel or to hire qualified personnel may negatively affect our business, financial condition and results of operations.</w:t>
      </w:r>
    </w:p>
    <w:p>
      <w:pPr>
        <w:spacing w:after="0" w:line="14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businesses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w:t>
      </w:r>
    </w:p>
    <w:p>
      <w:pPr>
        <w:spacing w:after="0" w:line="173" w:lineRule="exact"/>
        <w:rPr>
          <w:sz w:val="20"/>
          <w:szCs w:val="20"/>
          <w:color w:val="auto"/>
        </w:rPr>
      </w:pPr>
    </w:p>
    <w:p>
      <w:pPr>
        <w:ind w:left="60" w:right="379"/>
        <w:spacing w:after="0" w:line="278" w:lineRule="auto"/>
        <w:rPr>
          <w:sz w:val="20"/>
          <w:szCs w:val="20"/>
          <w:color w:val="auto"/>
        </w:rPr>
      </w:pPr>
      <w:r>
        <w:rPr>
          <w:rFonts w:ascii="Arial" w:cs="Arial" w:eastAsia="Arial" w:hAnsi="Arial"/>
          <w:sz w:val="18"/>
          <w:szCs w:val="18"/>
          <w:b w:val="1"/>
          <w:bCs w:val="1"/>
          <w:i w:val="1"/>
          <w:iCs w:val="1"/>
          <w:color w:val="auto"/>
        </w:rPr>
        <w:t>Our business growth and customer retention strategies rely in part on the work of technically skilled employees.</w:t>
      </w:r>
    </w:p>
    <w:p>
      <w:pPr>
        <w:spacing w:after="0" w:line="126"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Our response to technological developments depends, to a significant degree, on the work of technically skilled employees. In addition, we have made and will continue to make significant investments in, among other things, research, development and marketing for new products, services, satellites and related technologies, as well as entry into new business areas. 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 attract, retain, motivate and manage these employees, we may not succeed in these respects. Additionally, if we were to lose certain key technically skilled employees, the loss of knowledge and intellectual capital might have an adverse impact on our business. Furthermore, we believe that our Wireless business, including, but not limited to, our ability to complete our 5G Network Deployment, is dependent on our ability to identify, hire, develop, motivate and retain a team of highly skilled personnel with knowledge of the wireless industry. Our Wireless business will be adversely affected if we fail to effectively hire, develop, motivate and retain highly skilled personnel with knowledge of the wireless industry.</w:t>
      </w:r>
    </w:p>
    <w:p>
      <w:pPr>
        <w:spacing w:after="0" w:line="15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success of our business is also dependent on our ability to recruit engineers and other professionals, including those who are citizens of other countries. Immigration laws in the U.S. and other countries in which we operate are subject to legislative and regulatory changes, as well as variations in the standards of application and enforcement due to, among other things, political forces and economic conditions. It is difficult to predict the political and economic events that could affect immigration laws, or the restrictive impact they could have on obtaining or renewing work visas for our professionals. If immigration laws are changed or if new and more restrictive government regulations are enacted or increased, our access to qualified and skilled professionals may be limited.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Satellites</w:t>
      </w:r>
    </w:p>
    <w:p>
      <w:pPr>
        <w:spacing w:after="0" w:line="200"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Our owned and leased satellites in orbit are subject to significant operational and environmental risks that could limit our ability to utilize these satellites.</w:t>
      </w:r>
    </w:p>
    <w:p>
      <w:pPr>
        <w:spacing w:after="0" w:line="12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Satellites are subject to significant operational risks while in orbit. These risks include, but are not limited to, malfunctions, commonly referred to as anomalies, which have occurred and may occur in the future in our satellites and the satellites of other operators. Any single anomaly could materially and adversely affect our ability to utilize the satellite. Anomalies may also reduce, among other things,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We may not be able to prevent or mitigate the impacts of anomalies in the future.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Meteoroid events, decommissioned satellites, increased solar activity and other adverse events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spacing w:after="0" w:line="16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spacing w:after="0" w:line="16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162"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auto"/>
        </w:rPr>
        <w:t>Our satellites under construction are subject to risks related to, among other things, construction, technology, regulations and launch that could limit our ability to utilize these satellites, increase costs and adversely affect our business.</w:t>
      </w:r>
    </w:p>
    <w:p>
      <w:pPr>
        <w:spacing w:after="0" w:line="14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Satellite construction and launch are subject to significant risks, including, but not limited to, manufacturing and delivery delays, anomalies, launch failure and incorrect orbital placement. The technologies in our satellite designs are very complex and difficulties in constructing our designs could result in delays in the deployment of our satellites or increased or unanticipated costs. There can be no assurance that the technologies in our existing satellites or in new satellites that we design, acquire and build will work as we expect, will not become obsolete, that we will realize any or all of the anticipated benefits of our satellite designs or our new satellites and/or that we will obtain all regulatory approvals required to operate our new or acquired satellites on an acceptable timeline, or at all. Launch anomalies and failures can result in significant delays in the deployment of satellites because of the need both to construct replacement satellites, which can take significant amounts of time and to obtain other launch opportunities. Such significant delays have and could in the future materially affect, among other things, our business, our ability to meet 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In addition, we generally do not carry in-orbit insurance on our satellites or payloads because we have assessed that the cost of insurance is not economical relative to the risk of failures. If we do obtain launch or in-orbit insurance, it may not cover the full cost of constructing and launching or replacing a satellite nor fully cover our losses in the event of a launch failure or significant degradation.</w:t>
      </w:r>
    </w:p>
    <w:p>
      <w:pPr>
        <w:spacing w:after="0" w:line="168" w:lineRule="exact"/>
        <w:rPr>
          <w:sz w:val="20"/>
          <w:szCs w:val="20"/>
          <w:color w:val="auto"/>
        </w:rPr>
      </w:pPr>
    </w:p>
    <w:p>
      <w:pPr>
        <w:ind w:left="60" w:right="499"/>
        <w:spacing w:after="0" w:line="278" w:lineRule="auto"/>
        <w:rPr>
          <w:sz w:val="20"/>
          <w:szCs w:val="20"/>
          <w:color w:val="auto"/>
        </w:rPr>
      </w:pPr>
      <w:r>
        <w:rPr>
          <w:rFonts w:ascii="Arial" w:cs="Arial" w:eastAsia="Arial" w:hAnsi="Arial"/>
          <w:sz w:val="18"/>
          <w:szCs w:val="18"/>
          <w:b w:val="1"/>
          <w:bCs w:val="1"/>
          <w:i w:val="1"/>
          <w:iCs w:val="1"/>
          <w:color w:val="auto"/>
        </w:rPr>
        <w:t>Our use of certain satellites is often dependent on satellite coordination agreements, which may be difficult to obtain.</w:t>
      </w:r>
    </w:p>
    <w:p>
      <w:pPr>
        <w:spacing w:after="0" w:line="12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Satellite operators are required to enter into international spectrum coordination agreements with other affected satellite operators and must be approved by the relevant governments. If a required agreement cannot be negotiated, we may have to operate the applicable satellite(s) in a manner that does not cause harmful radio frequency interference with the affected satellite. If we cannot do so, we may have to cease operating such satellite(s) at the affected orbital locations.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interference from other services sharing satellite spectrum</w:t>
      </w:r>
      <w:r>
        <w:rPr>
          <w:rFonts w:ascii="Arial" w:cs="Arial" w:eastAsia="Arial" w:hAnsi="Arial"/>
          <w:sz w:val="18"/>
          <w:szCs w:val="18"/>
          <w:i w:val="1"/>
          <w:iCs w:val="1"/>
          <w:color w:val="auto"/>
        </w:rPr>
        <w:t>.</w:t>
      </w:r>
    </w:p>
    <w:p>
      <w:pPr>
        <w:spacing w:after="0" w:line="19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FCC and other national, state, local and international regulators have adopted rules or may adopt rules in the future that require us to share spectrum on a basis with other radio services. There can be no assurance that these operations would not interfere with our operations and adversely affect our business. In the event that the FCC and/or another regulator determines that our spectrum interferes with another service, we may be required to, among other things, find or develop a solution. We cannot make any assurance that we will be able to do so on an acceptable timeline or at all, or that such solution will not adversely affect our business.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00" w:lineRule="exact"/>
        <w:rPr>
          <w:sz w:val="20"/>
          <w:szCs w:val="20"/>
          <w:color w:val="auto"/>
        </w:rPr>
      </w:pPr>
    </w:p>
    <w:p>
      <w:pPr>
        <w:ind w:left="60" w:right="639"/>
        <w:spacing w:after="0" w:line="278" w:lineRule="auto"/>
        <w:rPr>
          <w:sz w:val="20"/>
          <w:szCs w:val="20"/>
          <w:color w:val="auto"/>
        </w:rPr>
      </w:pPr>
      <w:r>
        <w:rPr>
          <w:rFonts w:ascii="Arial" w:cs="Arial" w:eastAsia="Arial" w:hAnsi="Arial"/>
          <w:sz w:val="18"/>
          <w:szCs w:val="18"/>
          <w:b w:val="1"/>
          <w:bCs w:val="1"/>
          <w:i w:val="1"/>
          <w:iCs w:val="1"/>
          <w:color w:val="auto"/>
        </w:rPr>
        <w:t>Our business depends on certain intellectual property rights and on not infringing the intellectual property rights of others.</w:t>
      </w:r>
    </w:p>
    <w:p>
      <w:pPr>
        <w:spacing w:after="0" w:line="126"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which could require us to change our business practices or limit our ability to compete effectively or could have an adverse effect on our results of operations.</w:t>
      </w:r>
    </w:p>
    <w:p>
      <w:pPr>
        <w:spacing w:after="0" w:line="167" w:lineRule="exact"/>
        <w:rPr>
          <w:sz w:val="20"/>
          <w:szCs w:val="20"/>
          <w:color w:val="auto"/>
        </w:rPr>
      </w:pPr>
    </w:p>
    <w:p>
      <w:pPr>
        <w:jc w:val="both"/>
        <w:ind w:left="60" w:right="139"/>
        <w:spacing w:after="0" w:line="244" w:lineRule="auto"/>
        <w:rPr>
          <w:sz w:val="20"/>
          <w:szCs w:val="20"/>
          <w:color w:val="auto"/>
        </w:rPr>
      </w:pPr>
      <w:r>
        <w:rPr>
          <w:rFonts w:ascii="Arial" w:cs="Arial" w:eastAsia="Arial" w:hAnsi="Arial"/>
          <w:sz w:val="18"/>
          <w:szCs w:val="18"/>
          <w:color w:val="auto"/>
        </w:rPr>
        <w:t>Even if we believe any such challenges or claims are without merit, they can be time consuming and costly to defend and divert management’s attention and resources away from our business. Moreover, because of the rapid pace of technological change, we rely on technologies developed by or licensed from third parties, and if we are unable to obtain or continue to obtain licenses from these third parties on reasonable terms or at all, our business, financial condition and results of operations could be adversely affected.</w:t>
      </w:r>
    </w:p>
    <w:p>
      <w:pPr>
        <w:spacing w:after="0" w:line="16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we work with certain third parties such as vendors, contractors and suppliers for the development and manufacture of components that are integrated into our products and services, and our products and services may contain technologies provided to us by these third parties or other third parties. We may have little or no ability to determine in advance whether any such technology infringes the intellectual property rights of others. Our vendors, contractors and suppliers may not be required to indemnify us if a claim of infringement is asserted against us, license the potential infringing technology from other third parties or they may be required to indemnify us only up to a maximum amount, above which we would be responsible for any further costs or damages.</w:t>
      </w:r>
    </w:p>
    <w:p>
      <w:pPr>
        <w:spacing w:after="0" w:line="16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Legal challenges to these intellectual property rights may impair our ability to use the products, services and technologies that we need in order to operate our business and may materially and adversely affect our business, financial condition and results of operations. Furthermore, our digital content offerings depend in part on effective digital rights management technology to control access to digital content. If the digital rights management technology that we use is compromised or otherwise malfunctions, content providers may be unwilling to provide access to their content. Changes in the copyright laws or how such laws may be interpreted could impact our ability to deliver content and provide certain features and functionality, particularly over the Internet.</w:t>
      </w:r>
    </w:p>
    <w:p>
      <w:pPr>
        <w:spacing w:after="0" w:line="169" w:lineRule="exact"/>
        <w:rPr>
          <w:sz w:val="20"/>
          <w:szCs w:val="20"/>
          <w:color w:val="auto"/>
        </w:rPr>
      </w:pPr>
    </w:p>
    <w:p>
      <w:pPr>
        <w:ind w:left="60" w:right="99"/>
        <w:spacing w:after="0" w:line="278" w:lineRule="auto"/>
        <w:rPr>
          <w:sz w:val="20"/>
          <w:szCs w:val="20"/>
          <w:color w:val="auto"/>
        </w:rPr>
      </w:pPr>
      <w:r>
        <w:rPr>
          <w:rFonts w:ascii="Arial" w:cs="Arial" w:eastAsia="Arial" w:hAnsi="Arial"/>
          <w:sz w:val="18"/>
          <w:szCs w:val="18"/>
          <w:b w:val="1"/>
          <w:bCs w:val="1"/>
          <w:i w:val="1"/>
          <w:iCs w:val="1"/>
          <w:color w:val="auto"/>
        </w:rPr>
        <w:t>We are, and may become, party to various lawsuits which, if adversely decided, could have a significant adverse impact on our business, particularly lawsuits regarding intellectual property.</w:t>
      </w:r>
    </w:p>
    <w:p>
      <w:pPr>
        <w:spacing w:after="0" w:line="12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are, and may become, subject to various legal proceedings and claims which arise in the ordinary course of business, including, among other things, intellectual property disputes. Many entities, including some of our competitors, have or may in the future obtain patents and other intellectual property rights that may cover or affect products or services related to those that we offer. In general, if a court determines that one or more of our products or services infringes on intellectual property held by others, we may be required to cease developing or marketing those products or services, to obtain licenses from the holders of the intellectual property at a material cost or to redesign those products or services in such a way as to avoid infringing the intellectual property. If those intellectual property rights are held by a competitor, we may be unable to obtain the intellectual property at any price, which could adversely affect our competitive position.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 Patents and Other Intellectual Property” </w:t>
      </w:r>
      <w:r>
        <w:rPr>
          <w:rFonts w:ascii="Arial" w:cs="Arial" w:eastAsia="Arial" w:hAnsi="Arial"/>
          <w:sz w:val="18"/>
          <w:szCs w:val="18"/>
          <w:color w:val="auto"/>
        </w:rPr>
        <w:t>in EchoStar’s Annual Report on Form 10-K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2024 for further information.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We may not be aware of all intellectual property rights that our services or the products used in connection with our services may potentially infringe. In addition, patent applications in the United States are confidential until the Patent and Trademark Office either publishes the application or issues a patent (whichever arises first). Therefore, it is difficult to evaluate the extent to which our services or the products used in connection with our services may infringe claims contained in pending patent applications. Furthermore, it is sometimes not possible to determine definitively whether a claim of infringement is valid.</w:t>
      </w:r>
    </w:p>
    <w:p>
      <w:pPr>
        <w:spacing w:after="0" w:line="167" w:lineRule="exact"/>
        <w:rPr>
          <w:sz w:val="20"/>
          <w:szCs w:val="20"/>
          <w:color w:val="auto"/>
        </w:rPr>
      </w:pPr>
    </w:p>
    <w:p>
      <w:pPr>
        <w:jc w:val="both"/>
        <w:ind w:left="60" w:right="99"/>
        <w:spacing w:after="0" w:line="256" w:lineRule="auto"/>
        <w:rPr>
          <w:sz w:val="20"/>
          <w:szCs w:val="20"/>
          <w:color w:val="auto"/>
        </w:rPr>
      </w:pPr>
      <w:r>
        <w:rPr>
          <w:rFonts w:ascii="Arial" w:cs="Arial" w:eastAsia="Arial" w:hAnsi="Arial"/>
          <w:sz w:val="18"/>
          <w:szCs w:val="18"/>
          <w:b w:val="1"/>
          <w:bCs w:val="1"/>
          <w:i w:val="1"/>
          <w:i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4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Our products and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in a timely manner or at all. The occurrence of, and failure to remedy, any defects, errors or failures in our products or network services could materially affect our business. In addition, 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As a result, any defect or other problem may adversely affect our business, financial condition and results of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200"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spacing w:after="0" w:line="14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capacity, reliability and security of our information technology hardware and software infrastructure (including, but not limited to, our billing systems) and communications systems, or those of third parties that we use in our operations, are important to the operation of our business, which has in the past and would in the future suffer in the event of system failures or cyber-attacks. Likewise, our ability to expand and update our information technology infrastructure in response to, among other things, our growth and changing needs is important to the continued implementation of our new service offering initiatives. Our inability to expand or upgrade our technology infrastructure could have adverse consequences, which could include, among other things, the delayed implementation of new service offerings, service or billing interruptions, and the diversion of management and developmental resources.</w:t>
      </w:r>
    </w:p>
    <w:p>
      <w:pPr>
        <w:spacing w:after="0" w:line="17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rely on certain third parties for developing key components of our information technology and communications systems and ongoing service, all of which affect our Pay-TV and Wireless businesses. Some of our key systems and operations, including, but not limited to, those supplied by certain third-party providers, are not fully redundant, and our disaster recovery planning cannot account for all eventualities. Interruption and/or failure of any of these systems could, among other things, disrupt our operations, interrupt our services, result in significant financial expenditures and damage our reputation, thus adversely impacting our ability to provide our services, retain our current subscribers and attract new Pay-TV and Wireless subscribers and complete our 5G Network Deployment.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59"/>
        <w:spacing w:after="0" w:line="256" w:lineRule="auto"/>
        <w:rPr>
          <w:sz w:val="20"/>
          <w:szCs w:val="20"/>
          <w:color w:val="auto"/>
        </w:rPr>
      </w:pPr>
      <w:r>
        <w:rPr>
          <w:rFonts w:ascii="Arial" w:cs="Arial" w:eastAsia="Arial" w:hAnsi="Arial"/>
          <w:sz w:val="17"/>
          <w:szCs w:val="17"/>
          <w:color w:val="auto"/>
        </w:rPr>
        <w:t>In addition,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These protective measures may not be sufficient for all eventualities and may themselves be vulnerable to hacking, malfeasance, system error or other irregularities.</w:t>
      </w:r>
    </w:p>
    <w:p>
      <w:pPr>
        <w:spacing w:after="0" w:line="15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For example, certain parties may attempt to fraudulently induce employees or subscribers into disclosing usernames, passwords or other sensitive information, which may in turn be used to access our information technology systems. In addition, third-party providers of some of our key systems may also experience interruptions to their information technology hardware and software infrastructure and communications systems that could adversely impact us and over which we may have limited or no control. We may obtain certain confidential, proprietary and personal information about our subscribers, personnel and vendors, and may provide this information to third parties in connection with our business. If one or more of such interruptions or failures occur to us or our third-party providers, it potentially could jeopardize such information and other information processed and stored in, and transmitted through, our or our third-party providers’ information technology hardware and software infrastructure and communications systems, or otherwise cause interruptions or malfunctions in our operations, which could result in, among other things, lawsuits, government claims, investigations or proceedings, significant losses or reputational damage. Due to the fast-moving pace of technology, it may be difficult to detect, contain and remediate every such event on an acceptable timeline or at all.</w:t>
      </w:r>
    </w:p>
    <w:p>
      <w:pPr>
        <w:spacing w:after="0" w:line="176" w:lineRule="exact"/>
        <w:rPr>
          <w:sz w:val="20"/>
          <w:szCs w:val="20"/>
          <w:color w:val="auto"/>
        </w:rPr>
      </w:pPr>
    </w:p>
    <w:p>
      <w:pPr>
        <w:ind w:left="60" w:right="59"/>
        <w:spacing w:after="0" w:line="256" w:lineRule="auto"/>
        <w:rPr>
          <w:sz w:val="20"/>
          <w:szCs w:val="20"/>
          <w:color w:val="auto"/>
        </w:rPr>
      </w:pPr>
      <w:r>
        <w:rPr>
          <w:rFonts w:ascii="Arial" w:cs="Arial" w:eastAsia="Arial" w:hAnsi="Arial"/>
          <w:sz w:val="17"/>
          <w:szCs w:val="17"/>
          <w:color w:val="auto"/>
        </w:rPr>
        <w:t>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As a result, we generally serve as the overall system integrator. We may be required to expend significant additional resources to modify our protective measures or to investigate and remediate vulnerabilities or other exposures, and we may be subject to financial losses. In addition, this may divert management’s attention and resources away from our business, and therefore adversely affect our business. Furthermore, the amount and scope of insurance we maintain may not cover all expenses related to such activities or all types of claims that may arise.</w:t>
      </w:r>
    </w:p>
    <w:p>
      <w:pPr>
        <w:spacing w:after="0" w:line="15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a result of the increasing awareness concerning the importance of safeguarding personal information, the potential misuse of such information and legislation that has been adopted or is being considered regarding the protection, privacy and security of personal information, the potential liability associated with information-related risks is increasing, particularly for businesses like ours that handle personal subscriber data. The occurrence of any network or information system related events or security breaches could have a material adverse effect on, among other things, our reputation, business, financial condition and results of operations. Significant incidents could result in a disruption of our operations, subscriber dissatisfaction, damage to our reputation or a loss of subscribers and revenues.</w:t>
      </w:r>
    </w:p>
    <w:p>
      <w:pPr>
        <w:spacing w:after="0" w:line="169" w:lineRule="exact"/>
        <w:rPr>
          <w:sz w:val="20"/>
          <w:szCs w:val="20"/>
          <w:color w:val="auto"/>
        </w:rPr>
      </w:pPr>
    </w:p>
    <w:p>
      <w:pPr>
        <w:ind w:left="60" w:right="759"/>
        <w:spacing w:after="0" w:line="278" w:lineRule="auto"/>
        <w:rPr>
          <w:sz w:val="20"/>
          <w:szCs w:val="20"/>
          <w:color w:val="auto"/>
        </w:rPr>
      </w:pPr>
      <w:r>
        <w:rPr>
          <w:rFonts w:ascii="Arial" w:cs="Arial" w:eastAsia="Arial" w:hAnsi="Arial"/>
          <w:sz w:val="18"/>
          <w:szCs w:val="18"/>
          <w:b w:val="1"/>
          <w:bCs w:val="1"/>
          <w:i w:val="1"/>
          <w:iCs w:val="1"/>
          <w:color w:val="auto"/>
        </w:rPr>
        <w:t>We have experienced and may experience in the future cyber-attacks and other attempts to gain unauthorized access to our systems on a consistent basis.</w:t>
      </w:r>
    </w:p>
    <w:p>
      <w:pPr>
        <w:spacing w:after="0" w:line="12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experienced and may experience in the future security issues, whether due to, among other things, insider error or malfeasance or system errors or vulnerabilities in our or our third parties’ systems, which could result in, among other things, substantial legal and financial exposure, government inquiries and enforcement actions, litigation, diversion of management time and attention from our existing businesses and unfavorable media coverage. We may be unable to anticipate or detect attacks or vulnerabilities or implement adequate preventative measures on an acceptable timeframe or at all. Attacks and security issues could also compromise trade secrets and other sensitive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are subject to persistent cybersecurity threats to our networks and systems.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 protective measures we take may not be sufficient for all eventualities and may themselves be vulnerable to hacking, malfeasance, system error, or other irregularities. For example, certain parties may attempt to fraudulently induce employees or subscribers into disclosing usernames, passwords or other sensitive information, which may in turn be used to access our information technology systems.</w:t>
      </w:r>
    </w:p>
    <w:p>
      <w:pPr>
        <w:spacing w:after="0" w:line="16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addition, cybersecurity threat actors are increasingly sophisticated through various techniques that involve social engineering and/or misrepresentation. Techniques used in cyber-attacks to obtain unauthorized access to, disable or sabotage information technology systems are increasingly diverse and sophisticated, including as a result of emerging technologies, such as artificial intelligence and machine learning. Data breaches and other cybersecurity events have become increasingly commonplace, including as a result of the intensification of state-sponsored cyber-attacks during periods of geopolitical conflict. Various events described above have occurred in the past and may occur in the future. Although impacts of past events have been immaterial, the impacts of such events in the future may be material, including, but not limited to, increase in our DISH TV and Wireless churn rates, reduced new subscriber activations and reputational harm which could increase or accelerate any of the above risks.</w:t>
      </w:r>
    </w:p>
    <w:p>
      <w:pPr>
        <w:spacing w:after="0" w:line="168" w:lineRule="exact"/>
        <w:rPr>
          <w:sz w:val="20"/>
          <w:szCs w:val="20"/>
          <w:color w:val="auto"/>
        </w:rPr>
      </w:pPr>
    </w:p>
    <w:p>
      <w:pPr>
        <w:ind w:left="60" w:right="359"/>
        <w:spacing w:after="0" w:line="278" w:lineRule="auto"/>
        <w:rPr>
          <w:sz w:val="20"/>
          <w:szCs w:val="20"/>
          <w:color w:val="auto"/>
        </w:rPr>
      </w:pPr>
      <w:r>
        <w:rPr>
          <w:rFonts w:ascii="Arial" w:cs="Arial" w:eastAsia="Arial" w:hAnsi="Arial"/>
          <w:sz w:val="18"/>
          <w:szCs w:val="18"/>
          <w:b w:val="1"/>
          <w:bCs w:val="1"/>
          <w:i w:val="1"/>
          <w:iCs w:val="1"/>
          <w:color w:val="auto"/>
        </w:rPr>
        <w:t>The confidentiality, integrity and availability of our services and products depends on the continuing operation of our information technology and other enabling systems.</w:t>
      </w:r>
    </w:p>
    <w:p>
      <w:pPr>
        <w:spacing w:after="0" w:line="126"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auto"/>
        </w:rPr>
        <w:t>Our systems are vulnerable to damage, intrusion or disruption from, among other things, criminal and/or terrorist attacks, telecommunications failures, computer viruses, ransomware attacks, digital denial of service attacks, phishing and/or other attempts to injure or maliciously access our systems. Some of our systems are not fully redundant and disaster recovery planning cannot account for all possibilities. In addition, our products and services are highly technical and complex and may contain errors or vulnerabilities, which could result in interruptions in or failure of our services or systems. Failure to respond, mitigate and/or remedy any cyber-attack or other information technology failure on a timely basis or at all, could materially affect our business.</w:t>
      </w:r>
    </w:p>
    <w:p>
      <w:pPr>
        <w:spacing w:after="0" w:line="157" w:lineRule="exact"/>
        <w:rPr>
          <w:sz w:val="20"/>
          <w:szCs w:val="20"/>
          <w:color w:val="auto"/>
        </w:rPr>
      </w:pPr>
    </w:p>
    <w:p>
      <w:pPr>
        <w:ind w:left="60" w:right="719"/>
        <w:spacing w:after="0" w:line="278" w:lineRule="auto"/>
        <w:rPr>
          <w:sz w:val="20"/>
          <w:szCs w:val="20"/>
          <w:color w:val="auto"/>
        </w:rPr>
      </w:pPr>
      <w:r>
        <w:rPr>
          <w:rFonts w:ascii="Arial" w:cs="Arial" w:eastAsia="Arial" w:hAnsi="Arial"/>
          <w:sz w:val="18"/>
          <w:szCs w:val="18"/>
          <w:b w:val="1"/>
          <w:bCs w:val="1"/>
          <w:i w:val="1"/>
          <w:iCs w:val="1"/>
          <w:color w:val="auto"/>
        </w:rPr>
        <w:t>Our ongoing investments in security will likely continue to identify new vulnerabilities within our services and products.</w:t>
      </w:r>
    </w:p>
    <w:p>
      <w:pPr>
        <w:spacing w:after="0" w:line="12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addition to our efforts to, among other things, mitigate the risk of cyber-attacks and improve our products and services, we are making significant investments to assure that our products are resistant to compromise. As a result of these efforts, we could discover new vulnerabilities within our products and systems that would be undesirable for our users and customers. We have discovered and remediated, and may discover new vulnerabilities due to the scale of activities on our platforms, and may not be able to mitigate or fix such vulnerabilities on acceptable timeframes or at all, due to other factors, including, but not limited to, issues outside of our control such as natural disasters/climate change such as sea level rise, drought, flooding, wildfires, increased storm severity, power loss, and we may be notified of such vulnerabilities via third parties. Any of the foregoing developments may, among other things, negatively affect user and customer trust, harm our reputation and brands and adversely affect our business and financial results.</w:t>
      </w:r>
    </w:p>
    <w:p>
      <w:pPr>
        <w:spacing w:after="0" w:line="166" w:lineRule="exact"/>
        <w:rPr>
          <w:sz w:val="20"/>
          <w:szCs w:val="20"/>
          <w:color w:val="auto"/>
        </w:rPr>
      </w:pPr>
    </w:p>
    <w:p>
      <w:pPr>
        <w:ind w:left="60" w:right="79"/>
        <w:spacing w:after="0" w:line="301" w:lineRule="auto"/>
        <w:rPr>
          <w:sz w:val="20"/>
          <w:szCs w:val="20"/>
          <w:color w:val="auto"/>
        </w:rPr>
      </w:pPr>
      <w:r>
        <w:rPr>
          <w:rFonts w:ascii="Arial" w:cs="Arial" w:eastAsia="Arial" w:hAnsi="Arial"/>
          <w:sz w:val="17"/>
          <w:szCs w:val="17"/>
          <w:color w:val="auto"/>
        </w:rPr>
        <w:t>Any such developments may also subject us to litigation and regulatory inquiries, which could result in monetary penalties and damages, distract management’s time and attention and lead to enhanced regulatory oversight.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substantial debt outstanding and may incur additional debt.</w:t>
      </w:r>
    </w:p>
    <w:p>
      <w:pPr>
        <w:spacing w:after="0" w:line="156"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As of December 31, 2024, our total debt, finance lease and other obligations (including current portion) outstanding, including the debt of our subsidiaries, was $21.688 billion. Our debt levels could have significant consequences, including, but not limited to;</w:t>
      </w:r>
    </w:p>
    <w:p>
      <w:pPr>
        <w:spacing w:after="0" w:line="155"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making it more difficult to satisfy our obligations;</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 dilutive effect on our future earnings;</w:t>
      </w:r>
    </w:p>
    <w:p>
      <w:pPr>
        <w:spacing w:after="0" w:line="8" w:lineRule="exact"/>
        <w:rPr>
          <w:rFonts w:ascii="Times New Roman" w:cs="Times New Roman" w:eastAsia="Times New Roman" w:hAnsi="Times New Roman"/>
          <w:sz w:val="18"/>
          <w:szCs w:val="18"/>
          <w:color w:val="auto"/>
        </w:rPr>
      </w:pPr>
    </w:p>
    <w:p>
      <w:pPr>
        <w:ind w:left="720" w:right="659" w:hanging="319"/>
        <w:spacing w:after="0" w:line="234"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our vulnerability to general adverse economic conditions, including, but not limited to, changes in interest rates;</w:t>
      </w:r>
    </w:p>
    <w:p>
      <w:pPr>
        <w:ind w:left="720" w:right="179" w:hanging="319"/>
        <w:spacing w:after="0" w:line="234"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us to devote a substantial portion of our cash to make interest and principal payments on our debt, thereby reducing the amount of cash available for other purposes. As a result, we would have limited financial and operating flexibility to changing economic and competitive conditions;</w:t>
      </w:r>
    </w:p>
    <w:p>
      <w:pPr>
        <w:spacing w:after="0" w:line="1" w:lineRule="exact"/>
        <w:rPr>
          <w:rFonts w:ascii="Times New Roman" w:cs="Times New Roman" w:eastAsia="Times New Roman" w:hAnsi="Times New Roman"/>
          <w:sz w:val="18"/>
          <w:szCs w:val="18"/>
          <w:color w:val="auto"/>
        </w:rPr>
      </w:pPr>
    </w:p>
    <w:p>
      <w:pPr>
        <w:ind w:left="720" w:right="839" w:hanging="319"/>
        <w:spacing w:after="0" w:line="234"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raise additional debt because it may be more difficult for us to obtain debt financing on attractive terms or at all; and</w:t>
      </w:r>
    </w:p>
    <w:p>
      <w:pPr>
        <w:ind w:left="720" w:right="159" w:hanging="319"/>
        <w:spacing w:after="0" w:line="249"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placing us at a disadvantage compared to our competitors that are less leveraged or can borrow funds at a lower interest rate.</w:t>
      </w:r>
    </w:p>
    <w:p>
      <w:pPr>
        <w:spacing w:after="0" w:line="119"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In addition, we may incur additional debt in the future. The terms of the indentures relating to our senior notes, senior secured notes and our convertible notes permit us to incur additional debt. If new debt is added to our current debt levels, the risks we now face could intensify.</w:t>
      </w:r>
    </w:p>
    <w:p>
      <w:pPr>
        <w:spacing w:after="0" w:line="157" w:lineRule="exact"/>
        <w:rPr>
          <w:sz w:val="20"/>
          <w:szCs w:val="20"/>
          <w:color w:val="auto"/>
        </w:rPr>
      </w:pPr>
    </w:p>
    <w:p>
      <w:pPr>
        <w:ind w:left="60" w:right="659"/>
        <w:spacing w:after="0" w:line="278" w:lineRule="auto"/>
        <w:rPr>
          <w:sz w:val="20"/>
          <w:szCs w:val="20"/>
          <w:color w:val="auto"/>
        </w:rPr>
      </w:pPr>
      <w:r>
        <w:rPr>
          <w:rFonts w:ascii="Arial" w:cs="Arial" w:eastAsia="Arial" w:hAnsi="Arial"/>
          <w:sz w:val="18"/>
          <w:szCs w:val="18"/>
          <w:b w:val="1"/>
          <w:bCs w:val="1"/>
          <w:i w:val="1"/>
          <w:iCs w:val="1"/>
          <w:color w:val="auto"/>
        </w:rPr>
        <w:t>We depend upon our subsidiaries’ earnings and/or contributions or intercompany loans from our parent, EchoStar, to make payments on our indebtedness.</w:t>
      </w:r>
    </w:p>
    <w:p>
      <w:pPr>
        <w:spacing w:after="0" w:line="12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Since we are a holding company and our operations are conducted through our subsidiaries, our ability to service our debt obligations may depend upon the earnings of our operating subsidiaries and their ability to distribute cash or other property to us as well as contributions or intercompany loans from our parent, EchoStar. We have few assets of significance other than the capital stock of our subsidiaries. Furthermore, creditors of our subsidiaries will have a superior claim to certain of our subsidiaries’ assets. In addition, our subsidiaries’ ability to make any payments to us will depend on, among other factors, their earnings, the terms of their indebtedness, business and tax considerations and legal restrictions. We cannot assure you that our subsidiaries will be able to pay dividends or that our subsidiaries will be able to otherwise distribute funds to us in an amount sufficient to pay the principal of or interest on the indebtedness owed by us.</w:t>
      </w:r>
    </w:p>
    <w:p>
      <w:pPr>
        <w:spacing w:after="0" w:line="172" w:lineRule="exact"/>
        <w:rPr>
          <w:sz w:val="20"/>
          <w:szCs w:val="20"/>
          <w:color w:val="auto"/>
        </w:rPr>
      </w:pPr>
    </w:p>
    <w:p>
      <w:pPr>
        <w:ind w:left="60" w:right="179"/>
        <w:spacing w:after="0" w:line="278" w:lineRule="auto"/>
        <w:rPr>
          <w:sz w:val="20"/>
          <w:szCs w:val="20"/>
          <w:color w:val="auto"/>
        </w:rPr>
      </w:pPr>
      <w:r>
        <w:rPr>
          <w:rFonts w:ascii="Arial" w:cs="Arial" w:eastAsia="Arial" w:hAnsi="Arial"/>
          <w:sz w:val="18"/>
          <w:szCs w:val="18"/>
          <w:b w:val="1"/>
          <w:bCs w:val="1"/>
          <w:i w:val="1"/>
          <w:iCs w:val="1"/>
          <w:color w:val="auto"/>
        </w:rPr>
        <w:t>We have made substantial investments to acquire certain wireless spectrum licenses and other related assets, and may be unable to realize a return on these assets.</w:t>
      </w:r>
    </w:p>
    <w:p>
      <w:pPr>
        <w:spacing w:after="0" w:line="12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Sale and Transfer of Assets to EchoStar. We currently have $24 billion of investments related to Wireless spectrum licenses. 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319"/>
        <w:spacing w:after="0" w:line="242" w:lineRule="auto"/>
        <w:rPr>
          <w:sz w:val="20"/>
          <w:szCs w:val="20"/>
          <w:color w:val="auto"/>
        </w:rPr>
      </w:pPr>
      <w:r>
        <w:rPr>
          <w:rFonts w:ascii="Arial" w:cs="Arial" w:eastAsia="Arial" w:hAnsi="Arial"/>
          <w:sz w:val="18"/>
          <w:szCs w:val="18"/>
          <w:color w:val="auto"/>
        </w:rPr>
        <w:t>There is no assurance that the FCC will find our 5G Network Deployment sufficient to meet the build-out requirements to which our Wireless spectrum licenses are subject. Failure to comply with FCC build-out requirements and/or renewal requirements in a given license area could result in, among other things, acceleration of the build-out deadlines or revocation of the license for that license area. The revocation of a material portion of our Wireless spectrum licenses would have a significant material adverse effect on our 5G Network Deployment and our future business, results of operations and financial condition.</w:t>
      </w:r>
    </w:p>
    <w:p>
      <w:pPr>
        <w:spacing w:after="0" w:line="16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We may need to raise additional capital in the future, which may not be available on favorable terms or at all, to fund the efforts described above,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w:t>
      </w:r>
    </w:p>
    <w:p>
      <w:pPr>
        <w:spacing w:after="0" w:line="165"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Furthermore, the fair values of wireless spectrum licenses may vary significantly in the future. In particular, valuation swings could occur if:</w:t>
      </w:r>
    </w:p>
    <w:p>
      <w:pPr>
        <w:spacing w:after="0" w:line="100" w:lineRule="exact"/>
        <w:rPr>
          <w:sz w:val="20"/>
          <w:szCs w:val="20"/>
          <w:color w:val="auto"/>
        </w:rPr>
      </w:pPr>
    </w:p>
    <w:p>
      <w:pPr>
        <w:ind w:left="1040" w:right="239" w:hanging="315"/>
        <w:spacing w:after="0" w:line="241" w:lineRule="auto"/>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consolidation in the wireless industry allows or requires wireless carriers to sell significant portions of their wireless spectrum holdings, which could in turn reduce the value of our spectrum holdings;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sale of spectrum by one or more wireless providers occurs;</w:t>
      </w:r>
    </w:p>
    <w:p>
      <w:pPr>
        <w:spacing w:after="0" w:line="8" w:lineRule="exact"/>
        <w:rPr>
          <w:rFonts w:ascii="Times New Roman" w:cs="Times New Roman" w:eastAsia="Times New Roman" w:hAnsi="Times New Roman"/>
          <w:sz w:val="18"/>
          <w:szCs w:val="18"/>
          <w:color w:val="auto"/>
        </w:rPr>
      </w:pPr>
    </w:p>
    <w:p>
      <w:pPr>
        <w:ind w:left="1040" w:right="299" w:hanging="315"/>
        <w:spacing w:after="0" w:line="234" w:lineRule="auto"/>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FCC pursues certain policies designed to increase the number of wireless spectrum licenses available in each of our markets; or</w:t>
      </w: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FCC conducts additional wireless spectrum auctions.</w:t>
      </w:r>
    </w:p>
    <w:p>
      <w:pPr>
        <w:spacing w:after="0" w:line="15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If the fair value of our Wireless spectrum licenses were to decline significantly, the value of these licenses could be subject to impairment charges. We assess potential impairments to our indefinite-lived intangible assets annually or more often if indicators of impairment arise to determine whether there is evidence that indicates an impairment condition may exist.</w:t>
      </w:r>
    </w:p>
    <w:p>
      <w:pPr>
        <w:spacing w:after="0" w:line="12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capitalize our interest expense associated with the acquisition or construction of certain assets including, among others, our Wireless spectrum licenses. This capitalized interest increases the carrying amount of these licenses for purposes of impairment testing, under which we consider whether it is more likely than not that the fair value of these licenses exceeds the carrying amount of these licenses. An increase in the carrying amount of these licenses combined with other changes in circumstances and/or market conditions could result in an increased risk of an impairment of these licenses in the future, and an impairment of these assets may have a material adverse effect on our business, results of operations and financial condition.</w:t>
      </w:r>
    </w:p>
    <w:p>
      <w:pPr>
        <w:spacing w:after="0" w:line="173" w:lineRule="exact"/>
        <w:rPr>
          <w:sz w:val="20"/>
          <w:szCs w:val="20"/>
          <w:color w:val="auto"/>
        </w:rPr>
      </w:pPr>
    </w:p>
    <w:p>
      <w:pPr>
        <w:ind w:left="60" w:right="379"/>
        <w:spacing w:after="0" w:line="249" w:lineRule="auto"/>
        <w:rPr>
          <w:sz w:val="20"/>
          <w:szCs w:val="20"/>
          <w:color w:val="auto"/>
        </w:rPr>
      </w:pPr>
      <w:r>
        <w:rPr>
          <w:rFonts w:ascii="Arial" w:cs="Arial" w:eastAsia="Arial" w:hAnsi="Arial"/>
          <w:sz w:val="18"/>
          <w:szCs w:val="18"/>
          <w:b w:val="1"/>
          <w:bCs w:val="1"/>
          <w:i w:val="1"/>
          <w:iCs w:val="1"/>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-345440</wp:posOffset>
            </wp:positionV>
            <wp:extent cx="317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32"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Our future success may depend on opportunities to buy or otherwise invest in other businesses or technologies that could complement, enhance or expand our current business or products or that might otherwise offer us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ind w:left="60" w:right="539"/>
        <w:spacing w:after="0" w:line="245" w:lineRule="auto"/>
        <w:rPr>
          <w:sz w:val="20"/>
          <w:szCs w:val="20"/>
          <w:color w:val="auto"/>
        </w:rPr>
      </w:pPr>
      <w:r>
        <w:rPr>
          <w:rFonts w:ascii="Arial" w:cs="Arial" w:eastAsia="Arial" w:hAnsi="Arial"/>
          <w:sz w:val="18"/>
          <w:szCs w:val="18"/>
          <w:color w:val="auto"/>
        </w:rPr>
        <w:t>We may be unable to obtain in the anticipated time frame, or at all, any regulatory approvals required to complete proposed acquisitions and other strategic transactions. Furthermore, the conditions imposed for</w:t>
      </w:r>
    </w:p>
    <w:p>
      <w:pPr>
        <w:ind w:left="60" w:right="359"/>
        <w:spacing w:after="0" w:line="226" w:lineRule="auto"/>
        <w:rPr>
          <w:sz w:val="20"/>
          <w:szCs w:val="20"/>
          <w:color w:val="auto"/>
        </w:rPr>
      </w:pPr>
      <w:r>
        <w:rPr>
          <w:rFonts w:ascii="Arial" w:cs="Arial" w:eastAsia="Arial" w:hAnsi="Arial"/>
          <w:sz w:val="18"/>
          <w:szCs w:val="18"/>
          <w:color w:val="auto"/>
        </w:rPr>
        <w:t>obtaining any necessary approvals could delay the completion of such transactions for a significant period of time or prevent them from occurring at all. We may not be able to complete such transactions, and such</w:t>
      </w:r>
    </w:p>
    <w:p>
      <w:pPr>
        <w:ind w:left="60"/>
        <w:spacing w:after="0" w:line="236" w:lineRule="auto"/>
        <w:rPr>
          <w:sz w:val="20"/>
          <w:szCs w:val="20"/>
          <w:color w:val="auto"/>
        </w:rPr>
      </w:pPr>
      <w:r>
        <w:rPr>
          <w:rFonts w:ascii="Arial" w:cs="Arial" w:eastAsia="Arial" w:hAnsi="Arial"/>
          <w:sz w:val="18"/>
          <w:szCs w:val="18"/>
          <w:color w:val="auto"/>
        </w:rPr>
        <w:t>transactions, if executed, pose significant risks and could have a negative effect on our operations. Any</w:t>
      </w:r>
    </w:p>
    <w:p>
      <w:pPr>
        <w:spacing w:after="0" w:line="1"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transactions that we are able to identify and complete may involve a number of risks, including, but not limited to:</w:t>
      </w:r>
    </w:p>
    <w:p>
      <w:pPr>
        <w:spacing w:after="0" w:line="167"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developing and constructing new satellites;</w:t>
      </w:r>
    </w:p>
    <w:p>
      <w:pPr>
        <w:spacing w:after="0" w:line="26"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management’s attention from our existing business onto a strategic initiative;</w:t>
      </w:r>
    </w:p>
    <w:p>
      <w:pPr>
        <w:spacing w:after="0" w:line="8" w:lineRule="exact"/>
        <w:rPr>
          <w:rFonts w:ascii="Times New Roman" w:cs="Times New Roman" w:eastAsia="Times New Roman" w:hAnsi="Times New Roman"/>
          <w:sz w:val="18"/>
          <w:szCs w:val="18"/>
          <w:color w:val="auto"/>
        </w:rPr>
      </w:pPr>
    </w:p>
    <w:p>
      <w:pPr>
        <w:ind w:left="740" w:right="599" w:hanging="325"/>
        <w:spacing w:after="0" w:line="234" w:lineRule="auto"/>
        <w:tabs>
          <w:tab w:leader="none" w:pos="74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adverse effects on our and our targets’ and partners’ business, financial condition or operating results during the integration process;</w:t>
      </w:r>
    </w:p>
    <w:p>
      <w:pPr>
        <w:ind w:left="740" w:right="259" w:hanging="325"/>
        <w:spacing w:after="0" w:line="234" w:lineRule="auto"/>
        <w:tabs>
          <w:tab w:leader="none" w:pos="74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high degree of risk inherent in these transactions, which could become substantial over time, and higher exposure to significant financial losses if the underlying ventures are not successful on an acceptable timeline or at all;</w:t>
      </w:r>
    </w:p>
    <w:p>
      <w:pPr>
        <w:spacing w:after="0" w:line="1"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inability to achieve the intended objectives of the transaction;</w:t>
      </w:r>
    </w:p>
    <w:p>
      <w:pPr>
        <w:spacing w:after="0" w:line="8" w:lineRule="exact"/>
        <w:rPr>
          <w:rFonts w:ascii="Times New Roman" w:cs="Times New Roman" w:eastAsia="Times New Roman" w:hAnsi="Times New Roman"/>
          <w:sz w:val="18"/>
          <w:szCs w:val="18"/>
          <w:color w:val="auto"/>
        </w:rPr>
      </w:pPr>
    </w:p>
    <w:p>
      <w:pPr>
        <w:ind w:left="740" w:right="659" w:hanging="325"/>
        <w:spacing w:after="0" w:line="234" w:lineRule="auto"/>
        <w:tabs>
          <w:tab w:leader="none" w:pos="74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complying with contractual provisions and regulations applicable to the acquired business, which may cause us to incur substantial expenses;</w:t>
      </w:r>
    </w:p>
    <w:p>
      <w:pPr>
        <w:ind w:left="740" w:hanging="325"/>
        <w:spacing w:after="0"/>
        <w:tabs>
          <w:tab w:leader="none" w:pos="74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disruption of relationships with employees, vendors or customers; and</w:t>
      </w:r>
    </w:p>
    <w:p>
      <w:pPr>
        <w:spacing w:after="0" w:line="8"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foreign and international operations and/or investments or dispositions.</w:t>
      </w:r>
    </w:p>
    <w:p>
      <w:pPr>
        <w:spacing w:after="0" w:line="19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 addition, we may not be able to successfully or profitably integrate, operate, maintain and manage our newly acquired operations or employees on an acceptable timeline or at all. We may not be able to maintain uniform standards, controls, procedures and policies, and this may lead to, among other things, operational inefficiencies. In addition, the integration process may strain our financial and managerial controls and reporting systems and procedures.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acquisitions, joint ventures and other transactions may require the commitment of significant capital that</w:t>
      </w:r>
    </w:p>
    <w:p>
      <w:pPr>
        <w:spacing w:after="0" w:line="14" w:lineRule="exact"/>
        <w:rPr>
          <w:sz w:val="20"/>
          <w:szCs w:val="20"/>
          <w:color w:val="auto"/>
        </w:rPr>
      </w:pPr>
    </w:p>
    <w:p>
      <w:pPr>
        <w:ind w:left="60" w:right="139"/>
        <w:spacing w:after="0" w:line="226" w:lineRule="auto"/>
        <w:rPr>
          <w:sz w:val="20"/>
          <w:szCs w:val="20"/>
          <w:color w:val="auto"/>
        </w:rPr>
      </w:pPr>
      <w:r>
        <w:rPr>
          <w:rFonts w:ascii="Arial" w:cs="Arial" w:eastAsia="Arial" w:hAnsi="Arial"/>
          <w:sz w:val="18"/>
          <w:szCs w:val="18"/>
          <w:color w:val="auto"/>
        </w:rPr>
        <w:t>would otherwise be directed to investments in our existing business. To pursue acquisitions and other strategic transactions, we may need to raise additional capital in the future, which may not be available on favorable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terms or at all.</w:t>
      </w:r>
    </w:p>
    <w:p>
      <w:pPr>
        <w:spacing w:after="0" w:line="167" w:lineRule="exact"/>
        <w:rPr>
          <w:sz w:val="20"/>
          <w:szCs w:val="20"/>
          <w:color w:val="auto"/>
        </w:rPr>
      </w:pPr>
    </w:p>
    <w:p>
      <w:pPr>
        <w:ind w:left="60" w:right="139"/>
        <w:spacing w:after="0" w:line="251" w:lineRule="auto"/>
        <w:rPr>
          <w:sz w:val="20"/>
          <w:szCs w:val="20"/>
          <w:color w:val="auto"/>
        </w:rPr>
      </w:pPr>
      <w:r>
        <w:rPr>
          <w:rFonts w:ascii="Arial" w:cs="Arial" w:eastAsia="Arial" w:hAnsi="Arial"/>
          <w:sz w:val="17"/>
          <w:szCs w:val="17"/>
          <w:color w:val="auto"/>
        </w:rPr>
        <w:t>In addition to committing capital to complete the acquisitions, substantial capital may be required to operate the acquired businesses following their acquisition. These acquisitions may result in significant financial losses if</w:t>
      </w:r>
    </w:p>
    <w:p>
      <w:pPr>
        <w:ind w:left="60"/>
        <w:spacing w:after="0" w:line="235" w:lineRule="auto"/>
        <w:rPr>
          <w:sz w:val="20"/>
          <w:szCs w:val="20"/>
          <w:color w:val="auto"/>
        </w:rPr>
      </w:pPr>
      <w:r>
        <w:rPr>
          <w:rFonts w:ascii="Arial" w:cs="Arial" w:eastAsia="Arial" w:hAnsi="Arial"/>
          <w:sz w:val="18"/>
          <w:szCs w:val="18"/>
          <w:color w:val="auto"/>
        </w:rPr>
        <w:t>the intended objectives of the transactions are not achieved. Some of the businesses that we have acquired</w:t>
      </w:r>
    </w:p>
    <w:p>
      <w:pPr>
        <w:ind w:left="60" w:right="399"/>
        <w:spacing w:after="0" w:line="226" w:lineRule="auto"/>
        <w:rPr>
          <w:sz w:val="20"/>
          <w:szCs w:val="20"/>
          <w:color w:val="auto"/>
        </w:rPr>
      </w:pPr>
      <w:r>
        <w:rPr>
          <w:rFonts w:ascii="Arial" w:cs="Arial" w:eastAsia="Arial" w:hAnsi="Arial"/>
          <w:sz w:val="18"/>
          <w:szCs w:val="18"/>
          <w:color w:val="auto"/>
        </w:rPr>
        <w:t>have experienced significant operating and financial challenges in their recent history, which in some cases resulted in these businesses commencing bankruptcy proceedings prior to our acquisition. We may acquire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similar businesses in the future.</w:t>
      </w:r>
    </w:p>
    <w:p>
      <w:pPr>
        <w:spacing w:after="0" w:line="180" w:lineRule="exact"/>
        <w:rPr>
          <w:sz w:val="20"/>
          <w:szCs w:val="20"/>
          <w:color w:val="auto"/>
        </w:rPr>
      </w:pPr>
    </w:p>
    <w:p>
      <w:pPr>
        <w:ind w:left="60" w:right="439"/>
        <w:spacing w:after="0" w:line="251" w:lineRule="auto"/>
        <w:rPr>
          <w:sz w:val="20"/>
          <w:szCs w:val="20"/>
          <w:color w:val="auto"/>
        </w:rPr>
      </w:pPr>
      <w:r>
        <w:rPr>
          <w:rFonts w:ascii="Arial" w:cs="Arial" w:eastAsia="Arial" w:hAnsi="Arial"/>
          <w:sz w:val="17"/>
          <w:szCs w:val="17"/>
          <w:color w:val="auto"/>
        </w:rPr>
        <w:t>There is no assurance that we will be able to successfully address the challenges and risks encountered by these businesses following their acquisition. If we are unable to successfully address these challenges 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risks, our business, financial condition and/or results of operations may suffer.</w:t>
      </w:r>
    </w:p>
    <w:p>
      <w:pPr>
        <w:spacing w:after="0" w:line="196" w:lineRule="exact"/>
        <w:rPr>
          <w:sz w:val="20"/>
          <w:szCs w:val="20"/>
          <w:color w:val="auto"/>
        </w:rPr>
      </w:pPr>
    </w:p>
    <w:p>
      <w:pPr>
        <w:ind w:left="60" w:right="159"/>
        <w:spacing w:after="0" w:line="256" w:lineRule="auto"/>
        <w:rPr>
          <w:sz w:val="20"/>
          <w:szCs w:val="20"/>
          <w:color w:val="auto"/>
        </w:rPr>
      </w:pPr>
      <w:r>
        <w:rPr>
          <w:rFonts w:ascii="Arial" w:cs="Arial" w:eastAsia="Arial" w:hAnsi="Arial"/>
          <w:sz w:val="18"/>
          <w:szCs w:val="18"/>
          <w:b w:val="1"/>
          <w:bCs w:val="1"/>
          <w:i w:val="1"/>
          <w:iCs w:val="1"/>
          <w:color w:val="auto"/>
        </w:rPr>
        <w:t>We may need additional capital, which may not be available on favorable terms or at all, to fund current obligations, continue investing in our business and to finance acquisitions and other strategic transactions.</w:t>
      </w:r>
    </w:p>
    <w:p>
      <w:pPr>
        <w:spacing w:after="0" w:line="132"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Adverse changes in the credit markets including, but not limited to, rising interest rates and macro-economic conditions, could increase our borrowing costs and/or make it more difficult for us to obtain financing for our operations or for us to refinance existing indebtedness on favorable terms.</w:t>
      </w:r>
    </w:p>
    <w:p>
      <w:pPr>
        <w:spacing w:after="0" w:line="15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Continued or prolonged higher interest rates could increase our cost of capital and require us to devote a higher percentage of our cash flow to interest payments, which could have a material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addition, economic weakness, weak results of operations or other factors may limit our ability to, among other things, generate sufficient internal cash to fund investments, capital expenditures, acquisitions and other strategic transactions, as well as to fund ongoing operations and service our debt. We may be unable to generate cash flows from operating activities sufficient to pay the principal, premium, if any, and interest on our debt and other obligations. If we are unable to service our debt and other obligations from cash flows from operating activities, we may need to refinance or restructure all or a portion of such obligations prior to maturity.</w:t>
      </w:r>
    </w:p>
    <w:p>
      <w:pPr>
        <w:spacing w:after="0" w:line="16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Any refinancing or restructuring could have a material adverse effect on our business, results of operations and/or financial condition. In addition, we cannot guarantee that any refinancing or restructuring would sufficiently meet any debt or other obligations then due. If we do not pay interest or otherwise fulfill our debt obligations when due, our business, cash flows, results of operations and financial condition would be materially adversely impacted.</w:t>
      </w:r>
    </w:p>
    <w:p>
      <w:pPr>
        <w:spacing w:after="0" w:line="163" w:lineRule="exact"/>
        <w:rPr>
          <w:sz w:val="20"/>
          <w:szCs w:val="20"/>
          <w:color w:val="auto"/>
        </w:rPr>
      </w:pPr>
    </w:p>
    <w:p>
      <w:pPr>
        <w:jc w:val="both"/>
        <w:ind w:left="60" w:right="139"/>
        <w:spacing w:after="0" w:line="247" w:lineRule="auto"/>
        <w:rPr>
          <w:sz w:val="20"/>
          <w:szCs w:val="20"/>
          <w:color w:val="auto"/>
        </w:rPr>
      </w:pPr>
      <w:r>
        <w:rPr>
          <w:rFonts w:ascii="Arial" w:cs="Arial" w:eastAsia="Arial" w:hAnsi="Arial"/>
          <w:sz w:val="18"/>
          <w:szCs w:val="18"/>
          <w:color w:val="auto"/>
        </w:rPr>
        <w:t>Furthermore, our borrowing costs can be affected by short and long-term debt ratings assigned by independent rating agencies, which are based, in significant part, on, among other factors, our performance as measured by their credit metrics. A decrease in these ratings would likely increase our cost of borrowing and/or make it more difficult for us to obtain financing.</w:t>
      </w:r>
    </w:p>
    <w:p>
      <w:pPr>
        <w:spacing w:after="0" w:line="16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 severe disruption in the global financial markets could impact some of the financial institutions with which we do business, and such instability could also affect our access to financing. As a result, these conditions could make it difficult for us to accurately forecast and plan future business activities because we may not have access to funding sources necessary for us to pursue organic and strategic business development opportunities.</w:t>
      </w:r>
    </w:p>
    <w:p>
      <w:pPr>
        <w:spacing w:after="0" w:line="165" w:lineRule="exact"/>
        <w:rPr>
          <w:sz w:val="20"/>
          <w:szCs w:val="20"/>
          <w:color w:val="auto"/>
        </w:rPr>
      </w:pPr>
    </w:p>
    <w:p>
      <w:pPr>
        <w:ind w:left="60" w:right="539"/>
        <w:spacing w:after="0" w:line="278" w:lineRule="auto"/>
        <w:rPr>
          <w:sz w:val="20"/>
          <w:szCs w:val="20"/>
          <w:color w:val="auto"/>
        </w:rPr>
      </w:pPr>
      <w:r>
        <w:rPr>
          <w:rFonts w:ascii="Arial" w:cs="Arial" w:eastAsia="Arial" w:hAnsi="Arial"/>
          <w:sz w:val="18"/>
          <w:szCs w:val="18"/>
          <w:b w:val="1"/>
          <w:bCs w:val="1"/>
          <w:i w:val="1"/>
          <w:iCs w:val="1"/>
          <w:color w:val="auto"/>
        </w:rPr>
        <w:t>The conditional conversion features of our convertible notes, if triggered, may adversely affect our financial condition.</w:t>
      </w:r>
    </w:p>
    <w:p>
      <w:pPr>
        <w:spacing w:after="0" w:line="12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In the event the conditional conversion features of the convertible notes are triggered, holders of these instruments will be entitled to convert their convertible notes at any time during specified periods at their option. If one or more holders elect to convert their convertible notes, unless EchoStar elects to satisfy its conversion obligation by delivering solely shares of EchoStar’s Class A common stock, EchoStar would be required to make cash payments to satisfy all or a portion of its conversion obligation based on the conversion rate, which could adversely affect our liquidity.</w:t>
      </w:r>
    </w:p>
    <w:p>
      <w:pPr>
        <w:spacing w:after="0" w:line="12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 addition, even if holders do not elect to convert their convertible notes, we could be required under applicable accounting rules to reclassify all or a portion of the outstanding principal of the convertible notes as a current rather than long-term liability, which could result in a material reduction of our net working capital.</w:t>
      </w:r>
    </w:p>
    <w:p>
      <w:pPr>
        <w:spacing w:after="0" w:line="157" w:lineRule="exact"/>
        <w:rPr>
          <w:sz w:val="20"/>
          <w:szCs w:val="20"/>
          <w:color w:val="auto"/>
        </w:rPr>
      </w:pPr>
    </w:p>
    <w:p>
      <w:pPr>
        <w:ind w:left="60" w:right="279"/>
        <w:spacing w:after="0" w:line="278" w:lineRule="auto"/>
        <w:rPr>
          <w:sz w:val="20"/>
          <w:szCs w:val="20"/>
          <w:color w:val="auto"/>
        </w:rPr>
      </w:pPr>
      <w:r>
        <w:rPr>
          <w:rFonts w:ascii="Arial" w:cs="Arial" w:eastAsia="Arial" w:hAnsi="Arial"/>
          <w:sz w:val="18"/>
          <w:szCs w:val="18"/>
          <w:b w:val="1"/>
          <w:bCs w:val="1"/>
          <w:i w:val="1"/>
          <w:iCs w:val="1"/>
          <w:color w:val="auto"/>
        </w:rPr>
        <w:t>From time to time a portion of our investment portfolio may be invested in securities that have limited liquidity and may not be immediately accessible to support our financing needs.</w:t>
      </w:r>
    </w:p>
    <w:p>
      <w:pPr>
        <w:spacing w:after="0" w:line="8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From time to time a portion of our investment portfolio may be invested in strategic investments, and as a result, a portion of our portfolio may have restricted liquidity. If the credit ratings of these securities deteriorate or there is a lack of liquidity in the marketplace, we may be required to record impairment charges. Moreover, the uncertainty of domestic and global financial markets can greatly affect the volatility and value of our marketable investment securities. In addition, a portion of our investment portfolio may include strategic and financial investments in debt and equity securities of public companies that are highly speculative and that may experience volatility. Typically, these investments are concentrated in a small number of companies.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The concentration of these investments as a percentage of our overall investment portfolio fluctuates from time to time based on, among other things, the size of our investment portfolio and our ability to liquidate these investments.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addition, because our portfolio may be concentrated in a limited number of companies, we may experience a significant loss if any of these companies, among other things, defaults on its obligations, performs poorly, does not generate adequate cash flow to fund its operations, is unable to obtain necessary financing on acceptable terms, or at all, or files for bankruptcy, or if the sectors in which these companies operate experience a market downturn. To the extent we require access to funds, we may need to sell these securities under unfavorable market conditions, record impairment charges and fall short of our financing needs.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Covenants in our and our subsidiaries’ Indentures restrict our business in many ways.</w:t>
      </w:r>
    </w:p>
    <w:p>
      <w:pPr>
        <w:spacing w:after="0" w:line="196"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There are restrictive covenants in our and our subsidiaries’ Indentures that restrict us and our subsidiaries (as applicable), under certain circumstances, from taking certain actions such as, among other things:</w:t>
      </w:r>
    </w:p>
    <w:p>
      <w:pPr>
        <w:spacing w:after="0" w:line="140"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debt;</w:t>
      </w:r>
    </w:p>
    <w:p>
      <w:pPr>
        <w:spacing w:after="0" w:line="26" w:lineRule="exact"/>
        <w:rPr>
          <w:rFonts w:ascii="Times New Roman" w:cs="Times New Roman" w:eastAsia="Times New Roman" w:hAnsi="Times New Roman"/>
          <w:sz w:val="18"/>
          <w:szCs w:val="18"/>
          <w:color w:val="auto"/>
        </w:rPr>
      </w:pPr>
    </w:p>
    <w:p>
      <w:pPr>
        <w:ind w:left="720" w:right="419" w:hanging="319"/>
        <w:spacing w:after="0" w:line="234"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allow to exist certain restrictions on certain subsidiaries’ ability to pay dividends, make distributions, make other payments or transfer assets;</w:t>
      </w: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our ability to make investments or make other payments in respect of our other indebtedness;</w:t>
      </w:r>
    </w:p>
    <w:p>
      <w:pPr>
        <w:spacing w:after="0" w:line="8" w:lineRule="exact"/>
        <w:rPr>
          <w:rFonts w:ascii="Times New Roman" w:cs="Times New Roman" w:eastAsia="Times New Roman" w:hAnsi="Times New Roman"/>
          <w:sz w:val="18"/>
          <w:szCs w:val="18"/>
          <w:color w:val="auto"/>
        </w:rPr>
      </w:pPr>
    </w:p>
    <w:p>
      <w:pPr>
        <w:ind w:left="720" w:right="199" w:hanging="319"/>
        <w:spacing w:after="0" w:line="234"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ability to incur indebtedness that is senior to, equal or subordinate to certain Indebtedness, or to engage in certain sale/leaseback transactions;</w:t>
      </w: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certain transactions with affiliates;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our ability to repurchase or prepay any other of our securities or other indebtedness;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our ability to enter into highly leveraged transactions.</w:t>
      </w:r>
    </w:p>
    <w:p>
      <w:pPr>
        <w:spacing w:after="0" w:line="193"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Our ability to, among other things, recapitalize, incur additional debt, secure existing or future debt or take a number of other actions may be limited by the terms of our Indentures, business and tax considerations and legal restrictions, including, but not limited to, repurchasing indebtedness or paying dividends and could have the effect of diminishing our ability to make payments on our outstanding Indebtedness when due.</w:t>
      </w:r>
    </w:p>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parent, EchoStar, is controlled by one principal stockholder who is also our Chairman.</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Charles W. Ergen, our and EchoStar’s Chairman, beneficially owns approximately 51.7% of EchoStar’s total equity securities (assuming conversion of the Class B common stock beneficially owned by Mr. Ergen into Class A common stock and giving effect to the exercise of options held by Mr. Ergen that are either currently exercisable as of, or may become exercisable within 60 days) and beneficially owns approximately 90.6% of the total voting power of all classes of EchoStar’s shares (assuming no conversion of any Class B common stock and giving effect to the exercise of options held by Mr. Ergen that are either currently exercisable as of, or may become exercisable within 60 days). Through his beneficial ownership of EchoStar’s equity securities,</w:t>
      </w:r>
    </w:p>
    <w:p>
      <w:pPr>
        <w:spacing w:after="0" w:line="5" w:lineRule="exact"/>
        <w:rPr>
          <w:sz w:val="20"/>
          <w:szCs w:val="20"/>
          <w:color w:val="auto"/>
        </w:rPr>
      </w:pPr>
    </w:p>
    <w:p>
      <w:pPr>
        <w:ind w:left="60" w:right="179"/>
        <w:spacing w:after="0" w:line="234" w:lineRule="auto"/>
        <w:rPr>
          <w:sz w:val="20"/>
          <w:szCs w:val="20"/>
          <w:color w:val="auto"/>
        </w:rPr>
      </w:pPr>
      <w:r>
        <w:rPr>
          <w:rFonts w:ascii="Arial" w:cs="Arial" w:eastAsia="Arial" w:hAnsi="Arial"/>
          <w:sz w:val="18"/>
          <w:szCs w:val="18"/>
          <w:color w:val="auto"/>
        </w:rPr>
        <w:t>Mr. Ergen has the ability to elect a majority of EchoStar’s directors and to control all other matters requiring the approval of its stockholders. As a result of Mr. Ergen’s voting power, EchoStar is a “controlled company” as defined in the NASDAQ listing rules and, therefore, is not subject to NASDAQ requirements that would otherwise require EchoStar to have (i) a majority of independent directors; (ii) a nominating committee composed solely of independent directors; (iii) compensation of EchoStar’s executive officers determined by a majority of the independent directors or a compensation committee composed solely of independent directors;</w:t>
      </w:r>
    </w:p>
    <w:p>
      <w:pPr>
        <w:spacing w:after="0" w:line="4" w:lineRule="exact"/>
        <w:rPr>
          <w:sz w:val="20"/>
          <w:szCs w:val="20"/>
          <w:color w:val="auto"/>
        </w:rPr>
      </w:pPr>
    </w:p>
    <w:p>
      <w:pPr>
        <w:ind w:left="60" w:right="119" w:hanging="10"/>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compensation committee charter which provides the compensation committee with the authority and funding to retain compensation consultants and other advisors; and/or (v) director nominees selected, or recommended for EchoStar’s Board of Directors selection, either by a majority of the independent directors or a nominating committee composed solely of independent directors.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00" w:lineRule="exact"/>
        <w:rPr>
          <w:sz w:val="20"/>
          <w:szCs w:val="20"/>
          <w:color w:val="auto"/>
        </w:rPr>
      </w:pPr>
    </w:p>
    <w:p>
      <w:pPr>
        <w:ind w:left="60" w:right="399"/>
        <w:spacing w:after="0" w:line="278" w:lineRule="auto"/>
        <w:rPr>
          <w:sz w:val="20"/>
          <w:szCs w:val="20"/>
          <w:color w:val="auto"/>
        </w:rPr>
      </w:pPr>
      <w:r>
        <w:rPr>
          <w:rFonts w:ascii="Arial" w:cs="Arial" w:eastAsia="Arial" w:hAnsi="Arial"/>
          <w:sz w:val="18"/>
          <w:szCs w:val="18"/>
          <w:b w:val="1"/>
          <w:bCs w:val="1"/>
          <w:i w:val="1"/>
          <w:iCs w:val="1"/>
          <w:color w:val="auto"/>
        </w:rPr>
        <w:t>Our services depend on FCC licenses that can expire or be revoked or modified and applications for FCC licenses that may not be granted.</w:t>
      </w:r>
    </w:p>
    <w:p>
      <w:pPr>
        <w:spacing w:after="0" w:line="12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If the FCC were to cancel, revoke, suspend, restrict, significantly condition, or fail to renew any of our licenses or authorizations, or fail to grant our applications for FCC licenses that we may file from time to time, it could have a material adverse effect on our business, financial condition and results of operations. As an example, a loss of a frequency authorization would reduce the amount of spectrum available to us, potentially reducing the amount of DISH TV, and/or Wireless offerings available to our subscribers. The materiality of such a loss of authorizations would vary based upon, among other things, the location of the frequency used or the availability of replacement spectrum. In addition, Congress and other Administrative and Regulatory agencies often consider and enact legislation that affects us and FCC proceedings to implement the Communications Act and enforce its regulations are ongoing. We cannot predict the outcomes of these legislative or regulatory proceedings or their effect on our business.</w:t>
      </w:r>
    </w:p>
    <w:p>
      <w:pPr>
        <w:spacing w:after="0" w:line="16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Wireless services and our Wireless spectrum licenses are subject to regulation by the FCC and, depending on the jurisdiction, other federal, state and local, as well as international, governmental authorities and regulatory agencies, including, among other things, regulations governing the licensing, construction, operation, sale and interconnection arrangements of wireless telecommunications systems. In particular, the FCC imposes significant regulation on licensees of wireless spectrum with respect to, among others, how radio spectrum is used by licensees, the nature of the services that licensees may offer and how the services may be offered, and resolution of issues of interference between spectrum bands. The FCC grants wireless licenses for terms of generally 10-12 years that are subject to renewal or revocation.</w:t>
      </w:r>
    </w:p>
    <w:p>
      <w:pPr>
        <w:spacing w:after="0" w:line="167"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There can be no assurances that our Wireless spectrum licenses will be renewed. Failure to comply with FCC build-out requirements in a given license area may result in acceleration of other build-out requirements or in the modification, cancellation, or non-renewal of licenses. See Note 13 in the Notes to our Consolidated Financial Statements in this Annual Report on Form 10-K for further information.</w:t>
      </w:r>
    </w:p>
    <w:p>
      <w:pPr>
        <w:spacing w:after="0" w:line="162"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The risk of non-compliance with laws and regulations, including, but not limited to, the risk of changes to laws and regulations, could adversely affect our business.</w:t>
      </w:r>
    </w:p>
    <w:p>
      <w:pPr>
        <w:spacing w:after="0" w:line="12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Our business is regulated by numerous governmental agencies and other regulatory bodies, both domestically and internationally.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spacing w:after="0" w:line="16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These laws and regulations are subject to the administrative and political process and do change from time to time. We may be affected by changes to government leadership and policy changes resulting from new leaders. We have been subject to such changes in the past and may be subject to such changes in the future and those changes may negatively impact us, including but not limited to, the addition of new regulations, the modification or rescission of past regulations which may be favorable and the increase or decrease of government programs which us or our subscribers may be recipients. Our business could suffer a material adverse impact if laws and regulations change and we are not able to adapt to these changes efficiently.</w:t>
      </w:r>
    </w:p>
    <w:p>
      <w:pPr>
        <w:spacing w:after="0" w:line="171"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Additionally, we are subject to emerging and evolving regulatory requirements and frameworks regarding environmental, social and governance matters, including, but not limited to, potential new or revised disclosure rules proposed by the SEC and recently enacted or proposed legislation in jurisdictions such as California. The ultimate scope of these regulations may change as they are finalized, and they may not be uniform across jurisdictions. Meeting these obligations may require significant investments of time, capital and personnel.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If our internal controls are not effective, our business, EchoStar’s stock price and investor confidence in our financial results may be adversely affected.</w:t>
      </w:r>
    </w:p>
    <w:p>
      <w:pPr>
        <w:spacing w:after="0" w:line="12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periodically evaluate and test our internal control over financial reporting to satisfy the requirements of Section 404 of the Sarbanes-Oxley Act. Our management has concluded that our internal control over financial reporting was effective as of December 31, 2024. We depend on our third-party vendors’ internal controls and rely on these controls when evaluating the effectiveness of our internal controls. If in the future we are unable to report that our internal control over financial reporting is effective, investors, subscribers and business partners could lose confidence in the accuracy of our financial reports, which could in turn have a material adverse effect on our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Sociopolitical volatility and polarization may adversely affect our business operations and reputation.</w:t>
      </w:r>
    </w:p>
    <w:p>
      <w:pPr>
        <w:spacing w:after="0" w:line="19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current sociopolitical environment is characterized by deep complexity, volatility and polarization on various social and political issues. The increasing intersection of technology and politics has led to rapid and unpredictable shifts in public sentiment. Social media and digital platforms have amplified the voices of various stakeholders, creating the potential for swift change in public opinion and stronger reactions to corporate actions. As a company that sells products and services across the nation to millions of customers, these dynamics increase the risk of negative government and customer reactions, including, but not limited to, potential reputational damage, boycotts and shifts in consumer behavior that could adversely affect our brand, sales and profitability. Our ability to respond effectively, sensitively and authentically to the expectations and concerns of our customers, employees and other stakeholders is key to mitigating these risks. If we are unable to manage these challenges effectively, there may be adverse impacts to our business, reputation, financial condition and operating results.</w:t>
      </w:r>
    </w:p>
    <w:p>
      <w:pPr>
        <w:spacing w:after="0" w:line="134" w:lineRule="exact"/>
        <w:rPr>
          <w:sz w:val="20"/>
          <w:szCs w:val="20"/>
          <w:color w:val="auto"/>
        </w:rPr>
      </w:pPr>
    </w:p>
    <w:p>
      <w:pPr>
        <w:ind w:left="60" w:right="499"/>
        <w:spacing w:after="0" w:line="278" w:lineRule="auto"/>
        <w:rPr>
          <w:sz w:val="20"/>
          <w:szCs w:val="20"/>
          <w:color w:val="auto"/>
        </w:rPr>
      </w:pPr>
      <w:r>
        <w:rPr>
          <w:rFonts w:ascii="Arial" w:cs="Arial" w:eastAsia="Arial" w:hAnsi="Arial"/>
          <w:sz w:val="18"/>
          <w:szCs w:val="18"/>
          <w:b w:val="1"/>
          <w:bCs w:val="1"/>
          <w:i w:val="1"/>
          <w:iCs w:val="1"/>
          <w:color w:val="auto"/>
        </w:rPr>
        <w:t>We may face other risks described from time to time in periodic and current reports we file with the SEC.</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1C. CYBERSECURITY</w:t>
      </w:r>
    </w:p>
    <w:p>
      <w:pPr>
        <w:spacing w:after="0" w:line="198"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recognize the importance of assessing, identifying, reviewing and managing material risks associated with cybersecurity threats, as such term is defined in Item 106(a) of Regulation S-K. These risks include, among other things: operational and legal risks including intellectual property theft or loss, fraud, extortion, harm to employees or customers and violation of data privacy or security laws. Our framework is informed in part by the National Institute of Standards and Technology (NIST) Cybersecurity Framework, although this does not imply that we meet all technical standards, specifications or requirements under NIST.</w:t>
      </w:r>
    </w:p>
    <w:p>
      <w:pPr>
        <w:spacing w:after="0" w:line="165" w:lineRule="exact"/>
        <w:rPr>
          <w:sz w:val="20"/>
          <w:szCs w:val="20"/>
          <w:color w:val="auto"/>
        </w:rPr>
      </w:pPr>
    </w:p>
    <w:p>
      <w:pPr>
        <w:ind w:left="60" w:right="199"/>
        <w:spacing w:after="0" w:line="259" w:lineRule="auto"/>
        <w:rPr>
          <w:sz w:val="20"/>
          <w:szCs w:val="20"/>
          <w:color w:val="auto"/>
        </w:rPr>
      </w:pPr>
      <w:r>
        <w:rPr>
          <w:rFonts w:ascii="Arial" w:cs="Arial" w:eastAsia="Arial" w:hAnsi="Arial"/>
          <w:sz w:val="17"/>
          <w:szCs w:val="17"/>
          <w:color w:val="auto"/>
        </w:rPr>
        <w:t>We have an enterprise-wide information security program designed to identify, protect against, detect, respond to and recover from cybersecurity risks, threats and events. Our cyber risk management system contributes significantly to the overall resilience and integrity of our business by, among other things, integrating the risk identification process in all major company initiatives and deployment processes, implementing a unified approach to managing both digital and traditional business risks, making continuous improvements and regularly reporting to management and EchoStar’s Board of Directors as a whole to ensure accountability.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regularly assess risks from cybersecurity and technology threats and monitor our information systems for potential vulnerabilities. We and certain third parties conduct regular reviews and tests of our information security program and also leverage, among other things, audits, tabletop exercises, penetration and vulnerability testing, cybersecurity maturity assessments, simulations and other exercises to evaluate the effectiveness of our information security program and improve our security measures and planning. In addition, we evaluate third-party risks and perform third-party risk management to assess, identify and mitigate risks from third parties such as vendors, suppliers and other business partners.</w:t>
      </w:r>
    </w:p>
    <w:p>
      <w:pPr>
        <w:spacing w:after="0" w:line="171"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We have experienced cyber-attacks or other malicious activities that disrupted our business in the past. Any future failure or disruption of our information technology infrastructure and communications systems or those of third parties that we use in our operations could harm our business in the future.</w:t>
      </w:r>
    </w:p>
    <w:p>
      <w:pPr>
        <w:spacing w:after="0" w:line="15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We describe whether and how risks from identified cybersecurity threats, including, but not limited to, as a result of any previous cybersecurity incidents, have materially affected or are reasonably likely to materially affect us, including our business strategy, results of operations or financial condition included as part of our risk factor disclosures at Item 1A of this Annual Report on Form 10-K.</w:t>
      </w:r>
    </w:p>
    <w:p>
      <w:pPr>
        <w:spacing w:after="0" w:line="16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Chief Information Security Officer (“CISO”) leads our information security organization responsible for overseeing our information security program. The CISO has over 25 years of experience in various roles involving information security, including risk management and security leadership. Team members who support our information security program have relevant education, professional certifications and industry experience, including but not limited to, holding similar positions at large technology companies. The team provides regular reports, no less frequently than monthly, to senior management and other relevant teams, including, but not limited to, the Chief Executive Officer (“CEO”), Chief Operating Officer (“COO”), Chief Information Officer (“CIO”) and Chief Legal Officer (“CLO”).</w:t>
      </w:r>
    </w:p>
    <w:p>
      <w:pPr>
        <w:spacing w:after="0" w:line="167" w:lineRule="exact"/>
        <w:rPr>
          <w:sz w:val="20"/>
          <w:szCs w:val="20"/>
          <w:color w:val="auto"/>
        </w:rPr>
      </w:pPr>
    </w:p>
    <w:p>
      <w:pPr>
        <w:ind w:left="60" w:right="279"/>
        <w:spacing w:after="0" w:line="239" w:lineRule="auto"/>
        <w:rPr>
          <w:sz w:val="20"/>
          <w:szCs w:val="20"/>
          <w:color w:val="auto"/>
        </w:rPr>
      </w:pPr>
      <w:r>
        <w:rPr>
          <w:rFonts w:ascii="Arial" w:cs="Arial" w:eastAsia="Arial" w:hAnsi="Arial"/>
          <w:sz w:val="18"/>
          <w:szCs w:val="18"/>
          <w:color w:val="auto"/>
        </w:rPr>
        <w:t>Preparation for and, where possible prevention of cybersecurity incidents involves regular and structured briefings to key management on risk remediation measures that should be taken to decrease, among other things, the likelihood and severability of incidents and to mitigate and manage their effects. The CEO, COO, CIO, CLO and other members of management receive detailed updates on cybersecurity risks on a regular basis, no less frequently than monthly, or when significant risks or incidents are identified. These briefings enable the management team to, among other things, stay informed of the latest threats, assess the effectiveness of current security measures and make timely decisions on strategic security initiatives. In addition, EchoStar’s Board of Directors is regularly briefed, no less frequently than quarterly, on cybersecurity risks as part of its oversight functions and to ensure that cybersecurity practices align with the company’s overall risk management framework and business objectives.</w:t>
      </w:r>
    </w:p>
    <w:p>
      <w:pPr>
        <w:spacing w:after="0" w:line="166"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We anticipate that we will continue to evaluate and address as needed our cybersecurity risk management, policies, structure, strategies and governance to meet our needs.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198"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The following table sets forth certain information concerning our principal properties related to our business segments.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4"/>
          </w:tcPr>
          <w:p>
            <w:pPr>
              <w:ind w:left="200"/>
              <w:spacing w:after="0"/>
              <w:rPr>
                <w:sz w:val="20"/>
                <w:szCs w:val="20"/>
                <w:color w:val="auto"/>
              </w:rPr>
            </w:pPr>
            <w:r>
              <w:rPr>
                <w:rFonts w:ascii="Arial" w:cs="Arial" w:eastAsia="Arial" w:hAnsi="Arial"/>
                <w:sz w:val="15"/>
                <w:szCs w:val="15"/>
                <w:b w:val="1"/>
                <w:bCs w:val="1"/>
                <w:color w:val="auto"/>
              </w:rPr>
              <w:t>Leased From</w:t>
            </w:r>
          </w:p>
        </w:tc>
        <w:tc>
          <w:tcPr>
            <w:tcW w:w="0" w:type="dxa"/>
            <w:vAlign w:val="bottom"/>
          </w:tcPr>
          <w:p>
            <w:pPr>
              <w:spacing w:after="0"/>
              <w:rPr>
                <w:sz w:val="1"/>
                <w:szCs w:val="1"/>
                <w:color w:val="auto"/>
              </w:rPr>
            </w:pPr>
          </w:p>
        </w:tc>
      </w:tr>
      <w:tr>
        <w:trPr>
          <w:trHeight w:val="136"/>
        </w:trPr>
        <w:tc>
          <w:tcPr>
            <w:tcW w:w="4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vMerge w:val="restart"/>
          </w:tcPr>
          <w:p>
            <w:pPr>
              <w:jc w:val="center"/>
              <w:ind w:left="84"/>
              <w:spacing w:after="0"/>
              <w:rPr>
                <w:sz w:val="20"/>
                <w:szCs w:val="20"/>
                <w:color w:val="auto"/>
              </w:rPr>
            </w:pPr>
            <w:r>
              <w:rPr>
                <w:rFonts w:ascii="Arial" w:cs="Arial" w:eastAsia="Arial" w:hAnsi="Arial"/>
                <w:sz w:val="15"/>
                <w:szCs w:val="15"/>
                <w:b w:val="1"/>
                <w:bCs w:val="1"/>
                <w:color w:val="auto"/>
              </w:rPr>
              <w:t>Segment(s)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Other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Description/Use/Location</w:t>
            </w:r>
          </w:p>
        </w:tc>
        <w:tc>
          <w:tcPr>
            <w:tcW w:w="18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jc w:val="center"/>
              <w:ind w:right="60"/>
              <w:spacing w:after="0" w:line="162" w:lineRule="exact"/>
              <w:rPr>
                <w:sz w:val="20"/>
                <w:szCs w:val="20"/>
                <w:color w:val="auto"/>
              </w:rPr>
            </w:pPr>
            <w:r>
              <w:rPr>
                <w:rFonts w:ascii="Arial" w:cs="Arial" w:eastAsia="Arial" w:hAnsi="Arial"/>
                <w:sz w:val="15"/>
                <w:szCs w:val="15"/>
                <w:b w:val="1"/>
                <w:bCs w:val="1"/>
                <w:color w:val="auto"/>
              </w:rPr>
              <w:t>Third</w:t>
            </w:r>
          </w:p>
        </w:tc>
        <w:tc>
          <w:tcPr>
            <w:tcW w:w="0" w:type="dxa"/>
            <w:vAlign w:val="bottom"/>
          </w:tcPr>
          <w:p>
            <w:pPr>
              <w:spacing w:after="0"/>
              <w:rPr>
                <w:sz w:val="1"/>
                <w:szCs w:val="1"/>
                <w:color w:val="auto"/>
              </w:rPr>
            </w:pPr>
          </w:p>
        </w:tc>
      </w:tr>
      <w:tr>
        <w:trPr>
          <w:trHeight w:val="181"/>
        </w:trPr>
        <w:tc>
          <w:tcPr>
            <w:tcW w:w="4660" w:type="dxa"/>
            <w:vAlign w:val="bottom"/>
            <w:gridSpan w:val="2"/>
            <w:vMerge w:val="continue"/>
          </w:tcPr>
          <w:p>
            <w:pPr>
              <w:spacing w:after="0"/>
              <w:rPr>
                <w:sz w:val="15"/>
                <w:szCs w:val="15"/>
                <w:color w:val="auto"/>
              </w:rPr>
            </w:pPr>
          </w:p>
        </w:tc>
        <w:tc>
          <w:tcPr>
            <w:tcW w:w="1840" w:type="dxa"/>
            <w:vAlign w:val="bottom"/>
          </w:tcPr>
          <w:p>
            <w:pPr>
              <w:jc w:val="center"/>
              <w:ind w:left="144"/>
              <w:spacing w:after="0"/>
              <w:rPr>
                <w:sz w:val="20"/>
                <w:szCs w:val="20"/>
                <w:color w:val="auto"/>
              </w:rPr>
            </w:pPr>
            <w:r>
              <w:rPr>
                <w:rFonts w:ascii="Arial" w:cs="Arial" w:eastAsia="Arial" w:hAnsi="Arial"/>
                <w:sz w:val="15"/>
                <w:szCs w:val="15"/>
                <w:b w:val="1"/>
                <w:bCs w:val="1"/>
                <w:color w:val="auto"/>
              </w:rPr>
              <w:t>Using Property</w:t>
            </w:r>
          </w:p>
        </w:tc>
        <w:tc>
          <w:tcPr>
            <w:tcW w:w="2400" w:type="dxa"/>
            <w:vAlign w:val="bottom"/>
            <w:gridSpan w:val="6"/>
          </w:tcPr>
          <w:p>
            <w:pPr>
              <w:ind w:left="260"/>
              <w:spacing w:after="0"/>
              <w:rPr>
                <w:sz w:val="20"/>
                <w:szCs w:val="20"/>
                <w:color w:val="auto"/>
              </w:rPr>
            </w:pPr>
            <w:r>
              <w:rPr>
                <w:rFonts w:ascii="Arial" w:cs="Arial" w:eastAsia="Arial" w:hAnsi="Arial"/>
                <w:sz w:val="15"/>
                <w:szCs w:val="15"/>
                <w:b w:val="1"/>
                <w:bCs w:val="1"/>
                <w:color w:val="auto"/>
              </w:rPr>
              <w:t>Owned   EchoStar   Party</w:t>
            </w:r>
          </w:p>
        </w:tc>
        <w:tc>
          <w:tcPr>
            <w:tcW w:w="0" w:type="dxa"/>
            <w:vAlign w:val="bottom"/>
          </w:tcPr>
          <w:p>
            <w:pPr>
              <w:spacing w:after="0"/>
              <w:rPr>
                <w:sz w:val="1"/>
                <w:szCs w:val="1"/>
                <w:color w:val="auto"/>
              </w:rPr>
            </w:pPr>
          </w:p>
        </w:tc>
      </w:tr>
      <w:tr>
        <w:trPr>
          <w:trHeight w:val="169"/>
        </w:trPr>
        <w:tc>
          <w:tcPr>
            <w:tcW w:w="44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Corporate headquarters, Englewood, Colorado (1)</w:t>
            </w:r>
          </w:p>
        </w:tc>
        <w:tc>
          <w:tcPr>
            <w:tcW w:w="1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ind w:left="144"/>
              <w:spacing w:after="0" w:line="169" w:lineRule="exact"/>
              <w:rPr>
                <w:sz w:val="20"/>
                <w:szCs w:val="20"/>
                <w:color w:val="auto"/>
              </w:rPr>
            </w:pPr>
            <w:r>
              <w:rPr>
                <w:rFonts w:ascii="Arial" w:cs="Arial" w:eastAsia="Arial" w:hAnsi="Arial"/>
                <w:sz w:val="15"/>
                <w:szCs w:val="15"/>
                <w:color w:val="auto"/>
              </w:rPr>
              <w:t>All</w:t>
            </w: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ind w:left="320"/>
              <w:spacing w:after="0" w:line="169" w:lineRule="exact"/>
              <w:rPr>
                <w:sz w:val="20"/>
                <w:szCs w:val="20"/>
                <w:color w:val="auto"/>
              </w:rPr>
            </w:pPr>
            <w:r>
              <w:rPr>
                <w:rFonts w:ascii="Arial" w:cs="Arial" w:eastAsia="Arial" w:hAnsi="Arial"/>
                <w:sz w:val="15"/>
                <w:szCs w:val="15"/>
                <w:color w:val="auto"/>
              </w:rPr>
              <w:t>X</w:t>
            </w:r>
          </w:p>
        </w:tc>
        <w:tc>
          <w:tcPr>
            <w:tcW w:w="1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General offices, Littleton, Colorado (1)</w:t>
            </w:r>
          </w:p>
        </w:tc>
        <w:tc>
          <w:tcPr>
            <w:tcW w:w="1840" w:type="dxa"/>
            <w:vAlign w:val="bottom"/>
          </w:tcPr>
          <w:p>
            <w:pPr>
              <w:jc w:val="center"/>
              <w:ind w:left="144"/>
              <w:spacing w:after="0"/>
              <w:rPr>
                <w:sz w:val="20"/>
                <w:szCs w:val="20"/>
                <w:color w:val="auto"/>
              </w:rPr>
            </w:pPr>
            <w:r>
              <w:rPr>
                <w:rFonts w:ascii="Arial" w:cs="Arial" w:eastAsia="Arial" w:hAnsi="Arial"/>
                <w:sz w:val="15"/>
                <w:szCs w:val="15"/>
                <w:color w:val="auto"/>
              </w:rPr>
              <w:t>Wireless</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45"/>
        </w:trPr>
        <w:tc>
          <w:tcPr>
            <w:tcW w:w="466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5"/>
                <w:szCs w:val="15"/>
                <w:color w:val="auto"/>
              </w:rPr>
              <w:t>Customer call center, warehouse, service, and remanufacturing</w:t>
            </w:r>
          </w:p>
        </w:tc>
        <w:tc>
          <w:tcPr>
            <w:tcW w:w="1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center, El Paso, Texas</w:t>
            </w:r>
          </w:p>
        </w:tc>
        <w:tc>
          <w:tcPr>
            <w:tcW w:w="1840" w:type="dxa"/>
            <w:vAlign w:val="bottom"/>
            <w:shd w:val="clear" w:color="auto" w:fill="CCEEFF"/>
          </w:tcPr>
          <w:p>
            <w:pPr>
              <w:jc w:val="center"/>
              <w:ind w:left="144"/>
              <w:spacing w:after="0"/>
              <w:rPr>
                <w:sz w:val="20"/>
                <w:szCs w:val="20"/>
                <w:color w:val="auto"/>
              </w:rPr>
            </w:pPr>
            <w:r>
              <w:rPr>
                <w:rFonts w:ascii="Arial" w:cs="Arial" w:eastAsia="Arial" w:hAnsi="Arial"/>
                <w:sz w:val="15"/>
                <w:szCs w:val="15"/>
                <w:color w:val="auto"/>
                <w:w w:val="99"/>
              </w:rPr>
              <w:t>Pay-TV</w:t>
            </w:r>
          </w:p>
        </w:tc>
        <w:tc>
          <w:tcPr>
            <w:tcW w:w="2400" w:type="dxa"/>
            <w:vAlign w:val="bottom"/>
            <w:gridSpan w:val="6"/>
            <w:shd w:val="clear" w:color="auto" w:fill="CCEEFF"/>
          </w:tcPr>
          <w:p>
            <w:pPr>
              <w:ind w:left="4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Data center, Cheyenne, Wyoming</w:t>
            </w:r>
          </w:p>
        </w:tc>
        <w:tc>
          <w:tcPr>
            <w:tcW w:w="1840" w:type="dxa"/>
            <w:vAlign w:val="bottom"/>
          </w:tcPr>
          <w:p>
            <w:pPr>
              <w:jc w:val="center"/>
              <w:ind w:left="144"/>
              <w:spacing w:after="0"/>
              <w:rPr>
                <w:sz w:val="20"/>
                <w:szCs w:val="20"/>
                <w:color w:val="auto"/>
              </w:rPr>
            </w:pPr>
            <w:r>
              <w:rPr>
                <w:rFonts w:ascii="Arial" w:cs="Arial" w:eastAsia="Arial" w:hAnsi="Arial"/>
                <w:sz w:val="15"/>
                <w:szCs w:val="15"/>
                <w:color w:val="auto"/>
              </w:rPr>
              <w:t>All</w:t>
            </w:r>
          </w:p>
        </w:tc>
        <w:tc>
          <w:tcPr>
            <w:tcW w:w="2400" w:type="dxa"/>
            <w:vAlign w:val="bottom"/>
            <w:gridSpan w:val="6"/>
          </w:tcPr>
          <w:p>
            <w:pPr>
              <w:ind w:left="4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Digital broadcast operations center, Cheyenne, Wyoming</w:t>
            </w:r>
          </w:p>
        </w:tc>
        <w:tc>
          <w:tcPr>
            <w:tcW w:w="1840" w:type="dxa"/>
            <w:vAlign w:val="bottom"/>
            <w:shd w:val="clear" w:color="auto" w:fill="CCEEFF"/>
          </w:tcPr>
          <w:p>
            <w:pPr>
              <w:jc w:val="center"/>
              <w:ind w:left="144"/>
              <w:spacing w:after="0"/>
              <w:rPr>
                <w:sz w:val="20"/>
                <w:szCs w:val="20"/>
                <w:color w:val="auto"/>
              </w:rPr>
            </w:pPr>
            <w:r>
              <w:rPr>
                <w:rFonts w:ascii="Arial" w:cs="Arial" w:eastAsia="Arial" w:hAnsi="Arial"/>
                <w:sz w:val="15"/>
                <w:szCs w:val="15"/>
                <w:color w:val="auto"/>
                <w:w w:val="99"/>
              </w:rPr>
              <w:t>Pay-TV</w:t>
            </w:r>
          </w:p>
        </w:tc>
        <w:tc>
          <w:tcPr>
            <w:tcW w:w="2400" w:type="dxa"/>
            <w:vAlign w:val="bottom"/>
            <w:gridSpan w:val="6"/>
            <w:shd w:val="clear" w:color="auto" w:fill="CCEEFF"/>
          </w:tcPr>
          <w:p>
            <w:pPr>
              <w:ind w:left="4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Digital broadcast operations center, Gilbert, Arizona</w:t>
            </w:r>
          </w:p>
        </w:tc>
        <w:tc>
          <w:tcPr>
            <w:tcW w:w="1840" w:type="dxa"/>
            <w:vAlign w:val="bottom"/>
          </w:tcPr>
          <w:p>
            <w:pPr>
              <w:jc w:val="center"/>
              <w:ind w:left="144"/>
              <w:spacing w:after="0"/>
              <w:rPr>
                <w:sz w:val="20"/>
                <w:szCs w:val="20"/>
                <w:color w:val="auto"/>
              </w:rPr>
            </w:pPr>
            <w:r>
              <w:rPr>
                <w:rFonts w:ascii="Arial" w:cs="Arial" w:eastAsia="Arial" w:hAnsi="Arial"/>
                <w:sz w:val="15"/>
                <w:szCs w:val="15"/>
                <w:color w:val="auto"/>
                <w:w w:val="99"/>
              </w:rPr>
              <w:t>Pay-TV</w:t>
            </w:r>
          </w:p>
        </w:tc>
        <w:tc>
          <w:tcPr>
            <w:tcW w:w="2400" w:type="dxa"/>
            <w:vAlign w:val="bottom"/>
            <w:gridSpan w:val="6"/>
          </w:tcPr>
          <w:p>
            <w:pPr>
              <w:ind w:left="4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Engineering offices and service center, Englewood, Colorado</w:t>
            </w:r>
          </w:p>
        </w:tc>
        <w:tc>
          <w:tcPr>
            <w:tcW w:w="1840" w:type="dxa"/>
            <w:vAlign w:val="bottom"/>
            <w:shd w:val="clear" w:color="auto" w:fill="CCEEFF"/>
          </w:tcPr>
          <w:p>
            <w:pPr>
              <w:jc w:val="center"/>
              <w:ind w:left="144"/>
              <w:spacing w:after="0"/>
              <w:rPr>
                <w:sz w:val="20"/>
                <w:szCs w:val="20"/>
                <w:color w:val="auto"/>
              </w:rPr>
            </w:pPr>
            <w:r>
              <w:rPr>
                <w:rFonts w:ascii="Arial" w:cs="Arial" w:eastAsia="Arial" w:hAnsi="Arial"/>
                <w:sz w:val="15"/>
                <w:szCs w:val="15"/>
                <w:color w:val="auto"/>
                <w:w w:val="99"/>
              </w:rPr>
              <w:t>Pay-TV</w:t>
            </w:r>
          </w:p>
        </w:tc>
        <w:tc>
          <w:tcPr>
            <w:tcW w:w="2400" w:type="dxa"/>
            <w:vAlign w:val="bottom"/>
            <w:gridSpan w:val="6"/>
            <w:shd w:val="clear" w:color="auto" w:fill="CCEEFF"/>
          </w:tcPr>
          <w:p>
            <w:pPr>
              <w:ind w:left="4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Warehouse, Denver, Colorado</w:t>
            </w:r>
          </w:p>
        </w:tc>
        <w:tc>
          <w:tcPr>
            <w:tcW w:w="1840" w:type="dxa"/>
            <w:vAlign w:val="bottom"/>
          </w:tcPr>
          <w:p>
            <w:pPr>
              <w:jc w:val="center"/>
              <w:ind w:left="144"/>
              <w:spacing w:after="0"/>
              <w:rPr>
                <w:sz w:val="20"/>
                <w:szCs w:val="20"/>
                <w:color w:val="auto"/>
              </w:rPr>
            </w:pPr>
            <w:r>
              <w:rPr>
                <w:rFonts w:ascii="Arial" w:cs="Arial" w:eastAsia="Arial" w:hAnsi="Arial"/>
                <w:sz w:val="15"/>
                <w:szCs w:val="15"/>
                <w:color w:val="auto"/>
                <w:w w:val="99"/>
              </w:rPr>
              <w:t>Pay-TV</w:t>
            </w:r>
          </w:p>
        </w:tc>
        <w:tc>
          <w:tcPr>
            <w:tcW w:w="2400" w:type="dxa"/>
            <w:vAlign w:val="bottom"/>
            <w:gridSpan w:val="6"/>
          </w:tcPr>
          <w:p>
            <w:pPr>
              <w:ind w:left="4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Warehouse and distribution center, Spartanburg, South Carolina</w:t>
            </w:r>
          </w:p>
        </w:tc>
        <w:tc>
          <w:tcPr>
            <w:tcW w:w="1840" w:type="dxa"/>
            <w:vAlign w:val="bottom"/>
            <w:shd w:val="clear" w:color="auto" w:fill="CCEEFF"/>
          </w:tcPr>
          <w:p>
            <w:pPr>
              <w:jc w:val="center"/>
              <w:ind w:left="144"/>
              <w:spacing w:after="0"/>
              <w:rPr>
                <w:sz w:val="20"/>
                <w:szCs w:val="20"/>
                <w:color w:val="auto"/>
              </w:rPr>
            </w:pPr>
            <w:r>
              <w:rPr>
                <w:rFonts w:ascii="Arial" w:cs="Arial" w:eastAsia="Arial" w:hAnsi="Arial"/>
                <w:sz w:val="15"/>
                <w:szCs w:val="15"/>
                <w:color w:val="auto"/>
              </w:rPr>
              <w:t>All</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Warehouse and distribution center, Denver, Colorado</w:t>
            </w:r>
          </w:p>
        </w:tc>
        <w:tc>
          <w:tcPr>
            <w:tcW w:w="1840" w:type="dxa"/>
            <w:vAlign w:val="bottom"/>
          </w:tcPr>
          <w:p>
            <w:pPr>
              <w:jc w:val="center"/>
              <w:ind w:left="144"/>
              <w:spacing w:after="0"/>
              <w:rPr>
                <w:sz w:val="20"/>
                <w:szCs w:val="20"/>
                <w:color w:val="auto"/>
              </w:rPr>
            </w:pPr>
            <w:r>
              <w:rPr>
                <w:rFonts w:ascii="Arial" w:cs="Arial" w:eastAsia="Arial" w:hAnsi="Arial"/>
                <w:sz w:val="15"/>
                <w:szCs w:val="15"/>
                <w:color w:val="auto"/>
              </w:rPr>
              <w:t>All</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Warehouse and distribution center, Atlanta, Georgia</w:t>
            </w:r>
          </w:p>
        </w:tc>
        <w:tc>
          <w:tcPr>
            <w:tcW w:w="1840" w:type="dxa"/>
            <w:vAlign w:val="bottom"/>
            <w:shd w:val="clear" w:color="auto" w:fill="CCEEFF"/>
          </w:tcPr>
          <w:p>
            <w:pPr>
              <w:jc w:val="center"/>
              <w:ind w:left="144"/>
              <w:spacing w:after="0"/>
              <w:rPr>
                <w:sz w:val="20"/>
                <w:szCs w:val="20"/>
                <w:color w:val="auto"/>
              </w:rPr>
            </w:pPr>
            <w:r>
              <w:rPr>
                <w:rFonts w:ascii="Arial" w:cs="Arial" w:eastAsia="Arial" w:hAnsi="Arial"/>
                <w:sz w:val="15"/>
                <w:szCs w:val="15"/>
                <w:color w:val="auto"/>
              </w:rPr>
              <w:t>All</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right="159" w:hanging="330"/>
        <w:spacing w:after="0" w:line="271"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Note 16 in the Notes to our Consolidated Financial Statements in this Annual Report on Form 10-K for further information on our Related Party Transactions.</w:t>
      </w:r>
    </w:p>
    <w:p>
      <w:pPr>
        <w:spacing w:after="0" w:line="154"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In addition to the principal properties listed above, we operate numerous facilities for, among other things, our in-home service operations, customer call centers and digital broadcast operations centers strategically located in regions throughout the United States. Furthermore, our Pay-TV segment owns or leases capacity on nine satellites, which are a major component of our DISH TV services. See Note 7 in the Notes to our Consolidated Financial Statements in this Annual Report on Form 10-K for further information.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98"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See Note 13 in the Notes to our Consolidated Financial Statements in this Annual Report on Form 10-K for information regarding certain legal proceedings in which we are involved.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720" w:right="359" w:hanging="673"/>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12, 2025, all 1,000 issued and outstanding shares of our common stock were held by EchoStar.</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is currently no established trading market for our common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NARRATIVE ANALYSIS OF RESULTS OF OPERATIONS</w:t>
      </w:r>
    </w:p>
    <w:p>
      <w:pPr>
        <w:spacing w:after="0" w:line="20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i w:val="1"/>
          <w:iCs w:val="1"/>
          <w:color w:val="auto"/>
        </w:rPr>
        <w:t>You should read the following management’s narrative analysis of our results of operations together with the audited consolidated financial statements and notes to our financial statements included elsewhere in this Annual Report on Form 10-K.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under the caption “Item 1A. Risk Factors” and elsewhere in this Annual Report on Form 10-K. Furthermore, such forward-looking statements speak only as of the date of this Annual Report on Form 10-K and we expressly disclaim any obligation to update any forward-looking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02429"/>
        </w:rPr>
        <w:t>DIRECTV Transaction</w:t>
      </w:r>
    </w:p>
    <w:p>
      <w:pPr>
        <w:spacing w:after="0" w:line="19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202429"/>
        </w:rPr>
        <w:t>On September 29, 2024, we and DTV entered into the Purchase Agreement. Pursuant to the terms and subject to the conditions set forth in the Purchase Agreement, DTV agreed to acquire from us all of the issued and outstanding equity interests of DISH DBS, which operates our Pay-TV business.</w:t>
      </w:r>
    </w:p>
    <w:p>
      <w:pPr>
        <w:spacing w:after="0" w:line="155" w:lineRule="exact"/>
        <w:rPr>
          <w:sz w:val="20"/>
          <w:szCs w:val="20"/>
          <w:color w:val="auto"/>
        </w:rPr>
      </w:pPr>
    </w:p>
    <w:p>
      <w:pPr>
        <w:ind w:left="60" w:right="59"/>
        <w:spacing w:after="0" w:line="275" w:lineRule="auto"/>
        <w:rPr>
          <w:sz w:val="20"/>
          <w:szCs w:val="20"/>
          <w:color w:val="auto"/>
        </w:rPr>
      </w:pPr>
      <w:r>
        <w:rPr>
          <w:rFonts w:ascii="Arial" w:cs="Arial" w:eastAsia="Arial" w:hAnsi="Arial"/>
          <w:sz w:val="18"/>
          <w:szCs w:val="18"/>
          <w:color w:val="auto"/>
        </w:rPr>
        <w:t>Following written notice from DTV received on November 20, 2024, DTV terminated the Purchase Agreement effective at 11:59 pm ET on November 22, 2024 pursuant to Section 7.01(a)(iv) of the Purchase Agreement because the DISH DBS Exchange Offers were not consummated by the Exchange Offer Settlement Date (as defined in the Purchase Agreement). No termination fee or other payment was due from either party to the other as a result of the termination of the Purchase Agreement.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and Transfer of Assets</w:t>
      </w:r>
    </w:p>
    <w:p>
      <w:pPr>
        <w:spacing w:after="0" w:line="196" w:lineRule="exact"/>
        <w:rPr>
          <w:sz w:val="20"/>
          <w:szCs w:val="20"/>
          <w:color w:val="auto"/>
        </w:rPr>
      </w:pPr>
    </w:p>
    <w:p>
      <w:pPr>
        <w:ind w:left="60" w:right="119"/>
        <w:spacing w:after="0"/>
        <w:rPr>
          <w:sz w:val="20"/>
          <w:szCs w:val="20"/>
          <w:color w:val="auto"/>
        </w:rPr>
      </w:pPr>
      <w:r>
        <w:rPr>
          <w:rFonts w:ascii="Arial" w:cs="Arial" w:eastAsia="Arial" w:hAnsi="Arial"/>
          <w:sz w:val="18"/>
          <w:szCs w:val="18"/>
          <w:i w:val="1"/>
          <w:iCs w:val="1"/>
          <w:color w:val="auto"/>
        </w:rPr>
        <w:t>Sale of Assets to EchoStar</w:t>
      </w:r>
      <w:r>
        <w:rPr>
          <w:rFonts w:ascii="Arial" w:cs="Arial" w:eastAsia="Arial" w:hAnsi="Arial"/>
          <w:sz w:val="18"/>
          <w:szCs w:val="18"/>
          <w:color w:val="auto"/>
        </w:rPr>
        <w:t>. On January 10, 2024, we sold certain assets and equity interests to EchoStar,</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included the sale of a financial asset (the “Sale of Assets to EchoStar”), for fair value of approximately $246 million. The difference between our net carrying value of the assets sold to their fair value was $138 million, of which $6 million, net of deferred tax, was recorded in “Additional paid-in capital” on our Consolidated Balance Sheets as of December 31, 2024 and a $129 million gain related to the financial asset was recorded in “Other, net” within “Other Income (Expense)” on our Consolidated Statements of Operations and Comprehensive Income (Loss) for the year ended December 31, 2024.</w:t>
      </w:r>
    </w:p>
    <w:p>
      <w:pPr>
        <w:spacing w:after="0" w:line="171"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i w:val="1"/>
          <w:iCs w:val="1"/>
          <w:color w:val="222222"/>
        </w:rPr>
        <w:t>Asset Transfer to EchoStar</w:t>
      </w:r>
      <w:r>
        <w:rPr>
          <w:rFonts w:ascii="Arial" w:cs="Arial" w:eastAsia="Arial" w:hAnsi="Arial"/>
          <w:sz w:val="18"/>
          <w:szCs w:val="18"/>
          <w:color w:val="222222"/>
        </w:rPr>
        <w:t>.</w:t>
      </w:r>
      <w:r>
        <w:rPr>
          <w:rFonts w:ascii="Arial" w:cs="Arial" w:eastAsia="Arial" w:hAnsi="Arial"/>
          <w:sz w:val="18"/>
          <w:szCs w:val="18"/>
          <w:i w:val="1"/>
          <w:iCs w:val="1"/>
          <w:color w:val="222222"/>
        </w:rPr>
        <w:t xml:space="preserve"> </w:t>
      </w:r>
      <w:r>
        <w:rPr>
          <w:rFonts w:ascii="Arial" w:cs="Arial" w:eastAsia="Arial" w:hAnsi="Arial"/>
          <w:sz w:val="18"/>
          <w:szCs w:val="18"/>
          <w:color w:val="000000"/>
        </w:rPr>
        <w:t>On January 10, 2024, we transferred our wholly-owned subsidiaries that hold</w:t>
      </w:r>
      <w:r>
        <w:rPr>
          <w:rFonts w:ascii="Arial" w:cs="Arial" w:eastAsia="Arial" w:hAnsi="Arial"/>
          <w:sz w:val="18"/>
          <w:szCs w:val="18"/>
          <w:i w:val="1"/>
          <w:iCs w:val="1"/>
          <w:color w:val="222222"/>
        </w:rPr>
        <w:t xml:space="preserve"> </w:t>
      </w:r>
      <w:r>
        <w:rPr>
          <w:rFonts w:ascii="Arial" w:cs="Arial" w:eastAsia="Arial" w:hAnsi="Arial"/>
          <w:sz w:val="18"/>
          <w:szCs w:val="18"/>
          <w:color w:val="000000"/>
        </w:rPr>
        <w:t>certain assets, including the EchoStar XXV satellite currently under construction, and our wireless spectrum licenses, including AWS-4, H-Block, CBRS (3550-3650 MHz), C-Band – Cheyenne (3.7-3.98 GHz), 12GHz (MVDDS), LMDS, 24 GHz, 28 GHz, 37GHz, 39GHz and 47GHz to EchoStar Wireless Holding L.L.C., a direct wholly-owned subsidiary of our parent, EchoStar (together with the “DISH 2021 Intercompany Loan 2026 Tranche” defined below, the “Asset Transfer to EchoStar”). In addition, DISH DBS, in its capacity as “Lender” under the terms of the Loan and Security Agreement related to the Intercompany Loan between DISH Network and DISH DBS, has consummated the assignment pursuant to such terms, without any modification or amendment thereto, of its receivable in respect to the 2026 Tranche of $4.7 billion (the “DISH 2021 Intercompany Loan 2026 Tranche”) to DBS Intercompany Receivable L.L.C. DBS Intercompany Receivable L.L.C. has subsequently assigned its rights as lender thereunder to EchoStar Intercompany Receivable Company L.L.C., our parent, EchoStar’s direct wholly-owned subsidiary, such that amounts owed in respect of the DISH 2021 Intercompany Loan 2026 Tranche will now be paid by us to EchoStar Intercompany Receivable L.L.C.</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The transferred amount equals our historical net carrying value of these assets, which was $12.003 billion with the offset recorded as a dividend in “Accumulated earnings (deficit)” on our Consolidated Balance Sheets as of December 31, 2024.</w:t>
      </w:r>
    </w:p>
    <w:p>
      <w:pPr>
        <w:spacing w:after="0" w:line="155" w:lineRule="exact"/>
        <w:rPr>
          <w:sz w:val="20"/>
          <w:szCs w:val="20"/>
          <w:color w:val="auto"/>
        </w:rPr>
      </w:pPr>
    </w:p>
    <w:p>
      <w:pPr>
        <w:jc w:val="both"/>
        <w:ind w:left="60" w:right="199"/>
        <w:spacing w:after="0" w:line="247" w:lineRule="auto"/>
        <w:rPr>
          <w:sz w:val="20"/>
          <w:szCs w:val="20"/>
          <w:color w:val="auto"/>
        </w:rPr>
      </w:pPr>
      <w:r>
        <w:rPr>
          <w:rFonts w:ascii="Arial" w:cs="Arial" w:eastAsia="Arial" w:hAnsi="Arial"/>
          <w:sz w:val="18"/>
          <w:szCs w:val="18"/>
          <w:i w:val="1"/>
          <w:iCs w:val="1"/>
          <w:color w:val="auto"/>
        </w:rPr>
        <w:t xml:space="preserve">Tax Associated with the </w:t>
      </w:r>
      <w:r>
        <w:rPr>
          <w:rFonts w:ascii="Arial" w:cs="Arial" w:eastAsia="Arial" w:hAnsi="Arial"/>
          <w:sz w:val="18"/>
          <w:szCs w:val="18"/>
          <w:i w:val="1"/>
          <w:iCs w:val="1"/>
          <w:color w:val="222222"/>
        </w:rPr>
        <w:t>Asset Transfer to EchoStar</w:t>
      </w:r>
      <w:r>
        <w:rPr>
          <w:rFonts w:ascii="Arial" w:cs="Arial" w:eastAsia="Arial" w:hAnsi="Arial"/>
          <w:sz w:val="18"/>
          <w:szCs w:val="18"/>
          <w:color w:val="auto"/>
        </w:rPr>
        <w:t>. During the year ended December 31, 2024, we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$3.775 billion in “Deferred tax liabilities, net” on our Consolidated Balance Sheets resulting from the step up in basis due to the difference in the fair value compared to the book value of the </w:t>
      </w:r>
      <w:r>
        <w:rPr>
          <w:rFonts w:ascii="Arial" w:cs="Arial" w:eastAsia="Arial" w:hAnsi="Arial"/>
          <w:sz w:val="18"/>
          <w:szCs w:val="18"/>
          <w:color w:val="222222"/>
        </w:rPr>
        <w:t>Asset Transfer to EchoStar</w:t>
      </w:r>
      <w:r>
        <w:rPr>
          <w:rFonts w:ascii="Arial" w:cs="Arial" w:eastAsia="Arial" w:hAnsi="Arial"/>
          <w:sz w:val="18"/>
          <w:szCs w:val="18"/>
          <w:color w:val="auto"/>
        </w:rPr>
        <w:t>, with the offset recorded in “Additional paid-in capital” on our Consolidated Balance Sheets.</w:t>
      </w:r>
    </w:p>
    <w:p>
      <w:pPr>
        <w:spacing w:after="0" w:line="16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i w:val="1"/>
          <w:iCs w:val="1"/>
          <w:color w:val="auto"/>
        </w:rPr>
        <w:t>700 MHz Spectrum Sale to EchoStar</w:t>
      </w:r>
      <w:r>
        <w:rPr>
          <w:rFonts w:ascii="Arial" w:cs="Arial" w:eastAsia="Arial" w:hAnsi="Arial"/>
          <w:sz w:val="18"/>
          <w:szCs w:val="18"/>
          <w:color w:val="auto"/>
        </w:rPr>
        <w:t>. On March 12, 2024, we sold our wholly-owned subsidiary which holds the</w:t>
      </w:r>
      <w:r>
        <w:rPr>
          <w:rFonts w:ascii="Arial" w:cs="Arial" w:eastAsia="Arial" w:hAnsi="Arial"/>
          <w:sz w:val="18"/>
          <w:szCs w:val="18"/>
          <w:i w:val="1"/>
          <w:iCs w:val="1"/>
          <w:color w:val="auto"/>
        </w:rPr>
        <w:t xml:space="preserve"> </w:t>
      </w:r>
      <w:r>
        <w:rPr>
          <w:rFonts w:ascii="Arial" w:cs="Arial" w:eastAsia="Arial" w:hAnsi="Arial"/>
          <w:sz w:val="18"/>
          <w:szCs w:val="18"/>
          <w:color w:val="auto"/>
        </w:rPr>
        <w:t>700 MHz spectrum to a wholly-owned subsidiary of our parent, EchoStar (the “700 MHz Spectrum Sale to EchoStar”), for fair value of approximately $1.037 billion. The difference between our net carrying value of the assets sold to their fair value of $115 million, net of deferred tax, was recorded in “Additional paid-in capital” on our Consolidated Balance Sheets as of December 31, 2024. The proceeds were used to pay the remaining balance of $951 million on our 2 3/8% Convertible Note which matured on March 15, 2024.</w:t>
      </w:r>
    </w:p>
    <w:p>
      <w:pPr>
        <w:spacing w:after="0" w:line="165"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 xml:space="preserve">The Sale of Assets to EchoStar, </w:t>
      </w:r>
      <w:r>
        <w:rPr>
          <w:rFonts w:ascii="Arial" w:cs="Arial" w:eastAsia="Arial" w:hAnsi="Arial"/>
          <w:sz w:val="18"/>
          <w:szCs w:val="18"/>
          <w:color w:val="222222"/>
        </w:rPr>
        <w:t>Asset Transfer to EchoStar and</w:t>
      </w:r>
      <w:r>
        <w:rPr>
          <w:rFonts w:ascii="Arial" w:cs="Arial" w:eastAsia="Arial" w:hAnsi="Arial"/>
          <w:sz w:val="18"/>
          <w:szCs w:val="18"/>
          <w:color w:val="auto"/>
        </w:rPr>
        <w:t xml:space="preserve"> 700 MHz Spectrum Sale to EchoStar together are referred to as (the “Sale and Transfer of Assets to EchoStar”).</w:t>
      </w:r>
    </w:p>
    <w:p>
      <w:pPr>
        <w:spacing w:after="0" w:line="14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i w:val="1"/>
          <w:iCs w:val="1"/>
          <w:color w:val="auto"/>
        </w:rPr>
        <w:t>Orbital II Transfer from EchoStar</w:t>
      </w:r>
      <w:r>
        <w:rPr>
          <w:rFonts w:ascii="Arial" w:cs="Arial" w:eastAsia="Arial" w:hAnsi="Arial"/>
          <w:sz w:val="18"/>
          <w:szCs w:val="18"/>
          <w:color w:val="auto"/>
        </w:rPr>
        <w:t>. On May 2, 2024, EchoStar transferred certain assets to us,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 satellite currently under construction. The transferred amount equals our historical net carrying value of these assets, which was $141 million with the offset recorded as a capital contribution in “Additional paid-in capital” on our Consolidated Balance Sheets as of December 31, 2024.</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We currently operate two primary business segments: (1) Pay-TV and (2) Wireless. Historically, we reported three primary business segments: (1) Pay-TV; (2) Retail Wireless and (3) 5G Network Deployment. See Note 14 in the Notes to our Consolidated Financial Statements in this Annual Report on Form 10-K for further information.</w:t>
      </w:r>
    </w:p>
    <w:p>
      <w:pPr>
        <w:spacing w:after="0" w:line="16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Our Pay-TV segment business strategy is to be the best provider of video services in the United States by providing products with the best technology, outstanding customer service and great value. We offer Pay-TV services under the DISH® brand and the SLING® brand. 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pacing w:after="0" w:line="171"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 xml:space="preserve">Our Wireless segment provides Wireless communication services and products. We currently offer our Wireless services for </w:t>
      </w:r>
      <w:r>
        <w:rPr>
          <w:rFonts w:ascii="Arial" w:cs="Arial" w:eastAsia="Arial" w:hAnsi="Arial"/>
          <w:sz w:val="18"/>
          <w:szCs w:val="18"/>
          <w:color w:val="0A0A0A"/>
        </w:rPr>
        <w:t>5G VoNR</w:t>
      </w:r>
      <w:r>
        <w:rPr>
          <w:rFonts w:ascii="Arial" w:cs="Arial" w:eastAsia="Arial" w:hAnsi="Arial"/>
          <w:sz w:val="18"/>
          <w:szCs w:val="18"/>
          <w:color w:val="auto"/>
        </w:rPr>
        <w:t xml:space="preserve"> to over 220 million Americans and for 5G broadband service to over 268 million Americans, as well as a competitive portfolio of wireless devices. We offer customers value by providing choice and flexibility in our Wireless services. We offer competitive consumer plans with no annual service contracts and device financing arrangements for certain qualified subscribers.</w:t>
      </w:r>
    </w:p>
    <w:p>
      <w:pPr>
        <w:spacing w:after="0" w:line="163"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Our Wireless segment business strategy is to expand our current target segments and profitably grow our Wireless subscriber base and commercialize and grow customer traffic on our 5G Network. We intend to grow our Wireless subscriber base by acquiring and retaining high quality subscribers with competitive offers, choice and outstanding customer service that better meet those subscribers’ needs and budget.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 xml:space="preserve">We are currently operating primarily as an MVNO as we continue our 5G Network Deployment and commercialize and grow customer traffic on our 5G Network. We are transitioning to an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VoNR</w:t>
      </w:r>
      <w:r>
        <w:rPr>
          <w:rFonts w:ascii="Arial" w:cs="Arial" w:eastAsia="Arial" w:hAnsi="Arial"/>
          <w:sz w:val="18"/>
          <w:szCs w:val="18"/>
          <w:color w:val="auto"/>
        </w:rPr>
        <w:t xml:space="preserve">. We currently offer a broad range of premium wireless devices on our 5G Network, including the Apple iPhone 15 and newer generation iPhones. We have deployed </w:t>
      </w:r>
      <w:r>
        <w:rPr>
          <w:rFonts w:ascii="Arial" w:cs="Arial" w:eastAsia="Arial" w:hAnsi="Arial"/>
          <w:sz w:val="18"/>
          <w:szCs w:val="18"/>
          <w:color w:val="0A0A0A"/>
        </w:rPr>
        <w:t>5G VoNR covering over 220 million</w:t>
      </w:r>
      <w:r>
        <w:rPr>
          <w:rFonts w:ascii="Arial" w:cs="Arial" w:eastAsia="Arial" w:hAnsi="Arial"/>
          <w:sz w:val="18"/>
          <w:szCs w:val="18"/>
          <w:color w:val="auto"/>
        </w:rPr>
        <w:t xml:space="preserve"> </w:t>
      </w:r>
      <w:r>
        <w:rPr>
          <w:rFonts w:ascii="Arial" w:cs="Arial" w:eastAsia="Arial" w:hAnsi="Arial"/>
          <w:sz w:val="18"/>
          <w:szCs w:val="18"/>
          <w:color w:val="0A0A0A"/>
        </w:rPr>
        <w:t xml:space="preserve">Americans. </w:t>
      </w:r>
      <w:r>
        <w:rPr>
          <w:rFonts w:ascii="Arial" w:cs="Arial" w:eastAsia="Arial" w:hAnsi="Arial"/>
          <w:sz w:val="18"/>
          <w:szCs w:val="18"/>
          <w:color w:val="000000"/>
        </w:rPr>
        <w:t>Within our MVNO operations, today we depend in part on T-Mobile and AT&amp;T to provide us with</w:t>
      </w:r>
      <w:r>
        <w:rPr>
          <w:rFonts w:ascii="Arial" w:cs="Arial" w:eastAsia="Arial" w:hAnsi="Arial"/>
          <w:sz w:val="18"/>
          <w:szCs w:val="18"/>
          <w:color w:val="0A0A0A"/>
        </w:rPr>
        <w:t xml:space="preserve"> </w:t>
      </w:r>
      <w:r>
        <w:rPr>
          <w:rFonts w:ascii="Arial" w:cs="Arial" w:eastAsia="Arial" w:hAnsi="Arial"/>
          <w:sz w:val="18"/>
          <w:szCs w:val="18"/>
          <w:color w:val="000000"/>
        </w:rPr>
        <w:t>network services under the MNSA and NSA, respectively.</w:t>
      </w:r>
    </w:p>
    <w:p>
      <w:pPr>
        <w:spacing w:after="0" w:line="167"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As part of the commercialization of our Wireless spectrum licenses through the completion of our 5G Network Deployment, we have committed to the FCC to deploy our 5G Network capable of serving increasingly larger portions of the U.S. population at different deadlines.</w:t>
      </w:r>
    </w:p>
    <w:p>
      <w:pPr>
        <w:spacing w:after="0" w:line="155" w:lineRule="exact"/>
        <w:rPr>
          <w:sz w:val="20"/>
          <w:szCs w:val="20"/>
          <w:color w:val="auto"/>
        </w:rPr>
      </w:pPr>
    </w:p>
    <w:p>
      <w:pPr>
        <w:ind w:left="60" w:right="179" w:hanging="12"/>
        <w:spacing w:after="0" w:line="244" w:lineRule="auto"/>
        <w:rPr>
          <w:sz w:val="20"/>
          <w:szCs w:val="20"/>
          <w:color w:val="auto"/>
        </w:rPr>
      </w:pPr>
      <w:r>
        <w:rPr>
          <w:rFonts w:ascii="Arial" w:cs="Arial" w:eastAsia="Arial" w:hAnsi="Arial"/>
          <w:sz w:val="18"/>
          <w:szCs w:val="18"/>
          <w:color w:val="auto"/>
        </w:rPr>
        <w:t>On September 29, 2023, the FCC confirmed we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w:t>
      </w:r>
    </w:p>
    <w:p>
      <w:pPr>
        <w:spacing w:after="0" w:line="16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0A0A0A"/>
        </w:rPr>
        <w:t xml:space="preserve">In September 2024, the FCC conditionally granted our requests to extend the 5G 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 January 10, 2025 filing to the</w:t>
      </w:r>
      <w:r>
        <w:rPr>
          <w:rFonts w:ascii="Arial" w:cs="Arial" w:eastAsia="Arial" w:hAnsi="Arial"/>
          <w:sz w:val="18"/>
          <w:szCs w:val="18"/>
          <w:color w:val="0A0A0A"/>
        </w:rPr>
        <w:t xml:space="preserve"> </w:t>
      </w:r>
      <w:r>
        <w:rPr>
          <w:rFonts w:ascii="Arial" w:cs="Arial" w:eastAsia="Arial" w:hAnsi="Arial"/>
          <w:sz w:val="18"/>
          <w:szCs w:val="18"/>
          <w:color w:val="222222"/>
        </w:rPr>
        <w:t>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w:t>
      </w:r>
      <w:r>
        <w:rPr>
          <w:rFonts w:ascii="Arial" w:cs="Arial" w:eastAsia="Arial" w:hAnsi="Arial"/>
          <w:sz w:val="18"/>
          <w:szCs w:val="18"/>
          <w:color w:val="222222"/>
        </w:rPr>
        <w:t xml:space="preserve"> </w:t>
      </w:r>
      <w:r>
        <w:rPr>
          <w:rFonts w:ascii="Arial" w:cs="Arial" w:eastAsia="Arial" w:hAnsi="Arial"/>
          <w:sz w:val="18"/>
          <w:szCs w:val="18"/>
          <w:color w:val="000000"/>
        </w:rPr>
        <w:t xml:space="preserve">2024. Thus, pursuant to the Extension 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See Note 13 in the Notes to our Consolidated Financial Statements in this Annual Report on Form 10-K </w:t>
      </w:r>
      <w:r>
        <w:rPr>
          <w:rFonts w:ascii="Arial" w:cs="Arial" w:eastAsia="Arial" w:hAnsi="Arial"/>
          <w:sz w:val="18"/>
          <w:szCs w:val="18"/>
          <w:color w:val="0A0A0A"/>
        </w:rPr>
        <w:t>for definitions and</w:t>
      </w:r>
      <w:r>
        <w:rPr>
          <w:rFonts w:ascii="Arial" w:cs="Arial" w:eastAsia="Arial" w:hAnsi="Arial"/>
          <w:sz w:val="18"/>
          <w:szCs w:val="18"/>
          <w:color w:val="000000"/>
        </w:rPr>
        <w:t xml:space="preserve"> </w:t>
      </w:r>
      <w:r>
        <w:rPr>
          <w:rFonts w:ascii="Arial" w:cs="Arial" w:eastAsia="Arial" w:hAnsi="Arial"/>
          <w:sz w:val="18"/>
          <w:szCs w:val="18"/>
          <w:color w:val="0A0A0A"/>
        </w:rPr>
        <w:t>further details.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We expect to fund our future working capital, capital expenditures, other investments and debt service requirements for the next twelve months from cash generated from operations, existing restricted and unrestricted cash, cash equivalents and marketable investment securities balances, contributions or intercompany loans from our parent, EchoStar, and cash generated through raising additional capital. We may need to make significant additional investments to, among other things, continue our 5G Network Deployment and further commercialize, build-out and integrate our Wireless spectrum licenses and related assets. The amount of capital required to fund our future working capital, capital expenditure and other investment needs varies and we may need to raise additional capital, depending on, among other things, the rate at which we complete our 5G Network Deployment, the potential purchase of additional wireless spectrum licenses and the rate at which we acquire new subscribers and the cost of subscriber acquisition and retention. Certain of our capital expenditures for 2025 are expected to be driven by the rate of our 5G Network Deployment as well as costs associated with subscriber premises equipment. These expenditures are necessary for our 5G Network Deployment as well as to operate and maintain our DISH TV services. Consequently, we consider certain of them to be non-discretionary.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capital expenditures vary depending on, among other things, the number of satellites leased or under</w:t>
      </w:r>
    </w:p>
    <w:p>
      <w:pPr>
        <w:spacing w:after="0" w:line="14" w:lineRule="exact"/>
        <w:rPr>
          <w:sz w:val="20"/>
          <w:szCs w:val="20"/>
          <w:color w:val="auto"/>
        </w:rPr>
      </w:pPr>
    </w:p>
    <w:p>
      <w:pPr>
        <w:ind w:left="60" w:right="99"/>
        <w:spacing w:after="0" w:line="226" w:lineRule="auto"/>
        <w:rPr>
          <w:sz w:val="20"/>
          <w:szCs w:val="20"/>
          <w:color w:val="auto"/>
        </w:rPr>
      </w:pPr>
      <w:r>
        <w:rPr>
          <w:rFonts w:ascii="Arial" w:cs="Arial" w:eastAsia="Arial" w:hAnsi="Arial"/>
          <w:sz w:val="18"/>
          <w:szCs w:val="18"/>
          <w:color w:val="auto"/>
        </w:rPr>
        <w:t>construction at any point in time and could increase materially as a result of increased competition, significant satellite failures, or economic weakness and uncertainty. Our DISH TV subscriber base has been declining and</w:t>
      </w:r>
    </w:p>
    <w:p>
      <w:pPr>
        <w:ind w:left="60"/>
        <w:spacing w:after="0" w:line="236" w:lineRule="auto"/>
        <w:rPr>
          <w:sz w:val="20"/>
          <w:szCs w:val="20"/>
          <w:color w:val="auto"/>
        </w:rPr>
      </w:pPr>
      <w:r>
        <w:rPr>
          <w:rFonts w:ascii="Arial" w:cs="Arial" w:eastAsia="Arial" w:hAnsi="Arial"/>
          <w:sz w:val="18"/>
          <w:szCs w:val="18"/>
          <w:color w:val="auto"/>
        </w:rPr>
        <w:t>there can be no assurance that our DISH TV subscriber base will not continue to decline and that the pace of</w:t>
      </w:r>
    </w:p>
    <w:p>
      <w:pPr>
        <w:spacing w:after="0" w:line="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such decline will not accelerate. In the event that our DISH TV subscriber base continues to decline, it will have a material adverse long-term effect on our cash flow.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have and expect to continue to incur expenditures in 2025 related to our 5G Network Deployment, including, but not limited to, capital expenditures associated with our 5G Network Deployment and the potential purchase of additional wireless spectrum licenses, including any potential Northstar Re-Auction Payment and SNR Re-Auction Payment for the AWS-3 licenses retained by the FCC. The amount of capital required will also depend on, among other things, our available liquidity, the growth of our Wireless segment and the levels of investment necessary to support potential strategic initiatives that may arise from time to time. These factors, including, but not limited to, a reduction in our available future cash flows as a result of our 5G Network Deployment, may require us to raise additional capital in the future, which may not be available on favorable terms or at all.</w:t>
      </w:r>
    </w:p>
    <w:p>
      <w:pPr>
        <w:spacing w:after="0" w:line="170"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Volatility in the financial markets has made it more difficult at times for issuers of high-yield indebtedness, such as us, to access capital markets at favorable terms or at all. These developments may have a significant effect on our cost of financing and our liquidity position.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96"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During 2023 and 2024, we experienced inflationary pressures in our commodity and labor costs resulting from the macroeconomic environment in the United States, which has significantly impacted our overall operating results.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Operational Liquidity</w:t>
      </w:r>
    </w:p>
    <w:p>
      <w:pPr>
        <w:spacing w:after="0" w:line="19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make general investments in property such as, among others, satellites, wireless devices, set-top boxes, information technology and facilities that support our Pay-TV and Wireless segments. We are also making significant additional investments and may partner with others to, among other things, continue our 5G Network Deployment and further commercialize, build-out and integrate our Wireless spectrum licenses and related assets. Moreover, since we are primarily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17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Wireless service margins are impacted by, among other things, our MNSA agreement with T-Mobile and our NSA agreement with AT&amp;T and the speed with which we are able to migrate Wireless subscribers onto our 5G Network. The third factor is the rate at which we acquire new Pay-TV and Wireless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119" w:hanging="6"/>
        <w:spacing w:after="0" w:line="253" w:lineRule="auto"/>
        <w:rPr>
          <w:sz w:val="20"/>
          <w:szCs w:val="20"/>
          <w:color w:val="auto"/>
        </w:rPr>
      </w:pPr>
      <w:r>
        <w:rPr>
          <w:rFonts w:ascii="Arial" w:cs="Arial" w:eastAsia="Arial" w:hAnsi="Arial"/>
          <w:sz w:val="17"/>
          <w:szCs w:val="17"/>
          <w:color w:val="auto"/>
        </w:rPr>
        <w:t>Finally, our future cash flow is impacted by, among other things, the rate at which we complete our 5G Network Deployment, incur litigation expense, make cash interest payments, and any cash flow from financing activities. We anticipate operating expenditures for our 5G Network Deployment to increase for 2025 as we continue to, among other things, deploy cell sites and communication towers to continue to commercialize our 5G Network. We expect our capital expenditures may decrease in the near term. However, as we prepare for our next build-out requirement deadlines, we expect our capital expenditures to increase as we approach these deadlines. As a result, our historical cash flow is not necessarily indicative of our future cash flows. As of December 31, 2024, as a result of, among other things, capital expenditures for our 5G Network Deployment, we experienced negative free cash flow. We expect that this trend will continue in 2025 and in future periods. In addition, declines in our Pay-TV and Wireless subscriber base and any decrease in subscriber-related margins negatively impact our cash flow, and there can be no assurance that our subscriber declines will not continue.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196"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Issuances and Maturity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11 3/4% Senior Secured Notes due November 15, 2027</w:t>
      </w:r>
    </w:p>
    <w:p>
      <w:pPr>
        <w:spacing w:after="0" w:line="196" w:lineRule="exact"/>
        <w:rPr>
          <w:sz w:val="20"/>
          <w:szCs w:val="20"/>
          <w:color w:val="auto"/>
        </w:rPr>
      </w:pPr>
    </w:p>
    <w:p>
      <w:pPr>
        <w:jc w:val="both"/>
        <w:ind w:left="60" w:right="239"/>
        <w:spacing w:after="0" w:line="275" w:lineRule="auto"/>
        <w:rPr>
          <w:sz w:val="20"/>
          <w:szCs w:val="20"/>
          <w:color w:val="auto"/>
        </w:rPr>
      </w:pPr>
      <w:r>
        <w:rPr>
          <w:rFonts w:ascii="Arial" w:cs="Arial" w:eastAsia="Arial" w:hAnsi="Arial"/>
          <w:sz w:val="17"/>
          <w:szCs w:val="17"/>
          <w:color w:val="auto"/>
        </w:rPr>
        <w:t>On November 15, 2022 and January 26, 2023, we issued $ 2.0 billion and $1.5 billion, respectively, aggregate principal amount of our 11 3/4% Senior Secured Notes due November 15, 2027. Interest accrues at an annual rate of 11 3/4% and is payable semi-annually in cash, in arrears on May 15 and November 15 of each year.</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New DISH DBS Financing</w:t>
      </w:r>
    </w:p>
    <w:p>
      <w:pPr>
        <w:spacing w:after="0" w:line="19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 xml:space="preserve">On September 29, 2024 (the “Financing Closing Date”), we and our subsidiary, DBS SubscriberCo, received $2.5 billion in financing from TPG Angelo Gordon and other co-lenders in the form of Term Loans and Mandatorily Redeemable Preferred Shares (each as defined below and together, the </w:t>
      </w:r>
      <w:r>
        <w:rPr>
          <w:rFonts w:ascii="Arial" w:cs="Arial" w:eastAsia="Arial" w:hAnsi="Arial"/>
          <w:sz w:val="18"/>
          <w:szCs w:val="18"/>
          <w:color w:val="222222"/>
        </w:rPr>
        <w:t>“New DISH DBS</w:t>
      </w:r>
      <w:r>
        <w:rPr>
          <w:rFonts w:ascii="Arial" w:cs="Arial" w:eastAsia="Arial" w:hAnsi="Arial"/>
          <w:sz w:val="18"/>
          <w:szCs w:val="18"/>
          <w:color w:val="auto"/>
        </w:rPr>
        <w:t xml:space="preserve"> </w:t>
      </w:r>
      <w:r>
        <w:rPr>
          <w:rFonts w:ascii="Arial" w:cs="Arial" w:eastAsia="Arial" w:hAnsi="Arial"/>
          <w:sz w:val="18"/>
          <w:szCs w:val="18"/>
          <w:color w:val="222222"/>
        </w:rPr>
        <w:t xml:space="preserve">Financing”). </w:t>
      </w:r>
      <w:r>
        <w:rPr>
          <w:rFonts w:ascii="Arial" w:cs="Arial" w:eastAsia="Arial" w:hAnsi="Arial"/>
          <w:sz w:val="18"/>
          <w:szCs w:val="18"/>
          <w:color w:val="000000"/>
        </w:rPr>
        <w:t>On the Financing Closing Date, DBS SubscriberCo, entered into an amended and restated limited</w:t>
      </w:r>
      <w:r>
        <w:rPr>
          <w:rFonts w:ascii="Arial" w:cs="Arial" w:eastAsia="Arial" w:hAnsi="Arial"/>
          <w:sz w:val="18"/>
          <w:szCs w:val="18"/>
          <w:color w:val="222222"/>
        </w:rPr>
        <w:t xml:space="preserve"> </w:t>
      </w:r>
      <w:r>
        <w:rPr>
          <w:rFonts w:ascii="Arial" w:cs="Arial" w:eastAsia="Arial" w:hAnsi="Arial"/>
          <w:sz w:val="18"/>
          <w:szCs w:val="18"/>
          <w:color w:val="000000"/>
        </w:rPr>
        <w:t>liability company agreement (the “SubscriberCo LLCA”), pursuant to which, among other things, DBS SubscriberCo issued to certain investors (the “Preferred Members”) redeemable preferred equity interests (the “Preferred Membership Interests”) with an aggregate liquidation preference of $200 million (the “Mandatorily Redeemable Preferred Shares”).</w:t>
      </w:r>
    </w:p>
    <w:p>
      <w:pPr>
        <w:spacing w:after="0" w:line="167" w:lineRule="exact"/>
        <w:rPr>
          <w:sz w:val="20"/>
          <w:szCs w:val="20"/>
          <w:color w:val="auto"/>
        </w:rPr>
      </w:pPr>
    </w:p>
    <w:p>
      <w:pPr>
        <w:ind w:left="60" w:right="139"/>
        <w:spacing w:after="0"/>
        <w:rPr>
          <w:sz w:val="20"/>
          <w:szCs w:val="20"/>
          <w:color w:val="auto"/>
        </w:rPr>
      </w:pPr>
      <w:r>
        <w:rPr>
          <w:rFonts w:ascii="Arial" w:cs="Arial" w:eastAsia="Arial" w:hAnsi="Arial"/>
          <w:sz w:val="18"/>
          <w:szCs w:val="18"/>
          <w:color w:val="222222"/>
        </w:rPr>
        <w:t xml:space="preserve">Approximately </w:t>
      </w:r>
      <w:r>
        <w:rPr>
          <w:rFonts w:ascii="Arial" w:cs="Arial" w:eastAsia="Arial" w:hAnsi="Arial"/>
          <w:sz w:val="18"/>
          <w:szCs w:val="18"/>
          <w:color w:val="000000"/>
        </w:rPr>
        <w:t>$2.047 billion in proceeds received from the New DISH DBS Financing were used for the</w:t>
      </w:r>
      <w:r>
        <w:rPr>
          <w:rFonts w:ascii="Arial" w:cs="Arial" w:eastAsia="Arial" w:hAnsi="Arial"/>
          <w:sz w:val="18"/>
          <w:szCs w:val="18"/>
          <w:color w:val="222222"/>
        </w:rPr>
        <w:t xml:space="preserve"> </w:t>
      </w:r>
      <w:r>
        <w:rPr>
          <w:rFonts w:ascii="Arial" w:cs="Arial" w:eastAsia="Arial" w:hAnsi="Arial"/>
          <w:sz w:val="18"/>
          <w:szCs w:val="18"/>
          <w:color w:val="000000"/>
        </w:rPr>
        <w:t>redemption of the principal balance and remaining interest outstanding on our 5 7/8% Senior Notes due November 15, 2024. The New DISH DBS Financing consists of the following: (i) initial term loans in an aggregate principal amount of $1.8 billion that mature on June 30, 2029 (the “Term Loan due 2029”), (ii) incremental term loans in an aggregate principal amount of $500 million that are payable in equal monthly installments which began in January 2025 and mature on September 30, 2025 (the “Term Loan due 2025”) and (iii) $200 million Mandatorily Redeemable Preferred Shares that mature on June 30, 2029.</w:t>
      </w:r>
    </w:p>
    <w:p>
      <w:pPr>
        <w:spacing w:after="0" w:line="171" w:lineRule="exact"/>
        <w:rPr>
          <w:sz w:val="20"/>
          <w:szCs w:val="20"/>
          <w:color w:val="auto"/>
        </w:rPr>
      </w:pPr>
    </w:p>
    <w:p>
      <w:pPr>
        <w:jc w:val="both"/>
        <w:ind w:left="60" w:right="119"/>
        <w:spacing w:after="0" w:line="247" w:lineRule="auto"/>
        <w:rPr>
          <w:sz w:val="20"/>
          <w:szCs w:val="20"/>
          <w:color w:val="auto"/>
        </w:rPr>
      </w:pPr>
      <w:r>
        <w:rPr>
          <w:rFonts w:ascii="Arial" w:cs="Arial" w:eastAsia="Arial" w:hAnsi="Arial"/>
          <w:sz w:val="18"/>
          <w:szCs w:val="18"/>
          <w:color w:val="auto"/>
        </w:rPr>
        <w:t>Interest on the Term Loans accrues and is payable monthly, generally in cash. The interest rate with respect to the Term Loan due 2029 is (i) from (and including) the Financing Closing Date and until (but excluding) the date that is twelve months thereafter, 10.75% per annum and (ii) from (and including) the date that is twelve months after the Financing Closing Date and until June 30, 2029, 11.25% per annum.</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interest rate with respect to the Term Loan due 2025 is 11.00% per annum. The Preferred Membership Interests have a preferential cumulative return that accumulates daily in arrears at a rate of: (a) from (and including) the Financing Closing Date and until (but excluding) the date that is 12 months thereafter, 13.25% per annum and (b) from (and including) the date that is 12 months after the Financing Closing Date and until June 30, 2029 (or the first business day thereafter), 13.75% per annum, payable in cash monthly and a liquidation preference equal to the issue price plus all accrued and unpaid dividends.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EchoStar 2024 Intercompany Loan</w:t>
      </w:r>
    </w:p>
    <w:p>
      <w:pPr>
        <w:spacing w:after="0" w:line="196" w:lineRule="exact"/>
        <w:rPr>
          <w:sz w:val="20"/>
          <w:szCs w:val="20"/>
          <w:color w:val="auto"/>
        </w:rPr>
      </w:pPr>
    </w:p>
    <w:p>
      <w:pPr>
        <w:ind w:left="60" w:right="99" w:hanging="12"/>
        <w:spacing w:after="0"/>
        <w:rPr>
          <w:sz w:val="20"/>
          <w:szCs w:val="20"/>
          <w:color w:val="auto"/>
        </w:rPr>
      </w:pPr>
      <w:r>
        <w:rPr>
          <w:rFonts w:ascii="Arial" w:cs="Arial" w:eastAsia="Arial" w:hAnsi="Arial"/>
          <w:sz w:val="18"/>
          <w:szCs w:val="18"/>
          <w:color w:val="auto"/>
        </w:rPr>
        <w:t>In November 2024, DISH Wireless L.L.C., our subsidiary, entered into an intercompany loan with EchoStar Financing L.L.C., a subsidiary of our parent, EchoStar, (the “EchoStar 2024 Intercompany Loan”) for a borrowing principal amount of up to $4.500 billion, with all borrowings at the sole discretion of our parent, EchoStar. The EchoStar 2024 Intercompany Loan matures on November 30, 2030. Interest accrues at an annual rate of 11.50% and is payable monthly. Interest payments are payable in kind. DISH Wireless L.L.C., at its option, may elect to repay the EchoStar 2024 Intercompany Loan amount outstanding prior to maturity in cash or assets at a redemption price equal to 100% of the principal amount. As of December 31, 2024, the total EchoStar 2024 Intercompany Loan amount outstanding plus interest paid in kind was $1.015 billion.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7/8% Senior Notes due 2022</w:t>
      </w:r>
    </w:p>
    <w:p>
      <w:pPr>
        <w:spacing w:after="0" w:line="196"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Our 5 7/8% Senior Notes due 2022 with an aggregate principal balance of $2.0 billion were repurchased or redeemed as of July 15, 2022, the instrument’s maturity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Senior Notes due 2023</w:t>
      </w:r>
    </w:p>
    <w:p>
      <w:pPr>
        <w:spacing w:after="0" w:line="196"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Our 5% Senior Notes due 2023 with an aggregate principal balance of $1.5 billion were repurchased or redeemed as of March 15, 2023, the instrument’s maturity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 3/8% Convertible Notes due 2024</w:t>
      </w:r>
    </w:p>
    <w:p>
      <w:pPr>
        <w:spacing w:after="0" w:line="19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Our 2 3/8% Convertible Notes due 2024 with an aggregate principal balance of $1.0 billion were repurchased or redeemed as of March 15, 2024, the instrument’s maturity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7/8% Senior Notes due 2024</w:t>
      </w:r>
    </w:p>
    <w:p>
      <w:pPr>
        <w:spacing w:after="0" w:line="196"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Our 5 7/8% Senior Notes due 2024 with an aggregate principal balance of $2.0 billion were repurchased or redeemed as of November 15, 2024, the instrument’s maturity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0% Convertible Notes due 2025</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 xml:space="preserve">On November 12, 2024, </w:t>
      </w:r>
      <w:r>
        <w:rPr>
          <w:rFonts w:ascii="Arial" w:cs="Arial" w:eastAsia="Arial" w:hAnsi="Arial"/>
          <w:sz w:val="18"/>
          <w:szCs w:val="18"/>
          <w:color w:val="222222"/>
        </w:rPr>
        <w:t>$1.819 billion aggregate principal amount of our</w:t>
      </w:r>
      <w:r>
        <w:rPr>
          <w:rFonts w:ascii="Arial" w:cs="Arial" w:eastAsia="Arial" w:hAnsi="Arial"/>
          <w:sz w:val="18"/>
          <w:szCs w:val="18"/>
          <w:color w:val="auto"/>
        </w:rPr>
        <w:t xml:space="preserve"> 0% Convertible Notes due 2025 were extinguished as a result of the consummation of the EchoStar Exchange Offers, as detailed and defined in Note 9 to the Notes to our Consolidated Financial Statements in this Annual Report on Form 10-K. </w:t>
      </w:r>
      <w:r>
        <w:rPr>
          <w:rFonts w:ascii="Arial" w:cs="Arial" w:eastAsia="Arial" w:hAnsi="Arial"/>
          <w:sz w:val="18"/>
          <w:szCs w:val="18"/>
          <w:color w:val="222222"/>
        </w:rPr>
        <w:t>A total of</w:t>
      </w:r>
      <w:r>
        <w:rPr>
          <w:rFonts w:ascii="Arial" w:cs="Arial" w:eastAsia="Arial" w:hAnsi="Arial"/>
          <w:sz w:val="18"/>
          <w:szCs w:val="18"/>
          <w:color w:val="auto"/>
        </w:rPr>
        <w:t xml:space="preserve"> </w:t>
      </w:r>
      <w:r>
        <w:rPr>
          <w:rFonts w:ascii="Arial" w:cs="Arial" w:eastAsia="Arial" w:hAnsi="Arial"/>
          <w:sz w:val="18"/>
          <w:szCs w:val="18"/>
          <w:color w:val="222222"/>
        </w:rPr>
        <w:t xml:space="preserve">$138 million aggregate principal amount of our </w:t>
      </w:r>
      <w:r>
        <w:rPr>
          <w:rFonts w:ascii="Arial" w:cs="Arial" w:eastAsia="Arial" w:hAnsi="Arial"/>
          <w:sz w:val="18"/>
          <w:szCs w:val="18"/>
          <w:color w:val="000000"/>
        </w:rPr>
        <w:t>0% Convertible Notes due 2025</w:t>
      </w:r>
      <w:r>
        <w:rPr>
          <w:rFonts w:ascii="Arial" w:cs="Arial" w:eastAsia="Arial" w:hAnsi="Arial"/>
          <w:sz w:val="18"/>
          <w:szCs w:val="18"/>
          <w:color w:val="222222"/>
        </w:rPr>
        <w:t xml:space="preserve"> remain outstanding.</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3/8% Convertible Notes due 2026</w:t>
      </w:r>
    </w:p>
    <w:p>
      <w:pPr>
        <w:spacing w:after="0" w:line="19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 xml:space="preserve">On November 12, 2024, </w:t>
      </w:r>
      <w:r>
        <w:rPr>
          <w:rFonts w:ascii="Arial" w:cs="Arial" w:eastAsia="Arial" w:hAnsi="Arial"/>
          <w:sz w:val="18"/>
          <w:szCs w:val="18"/>
          <w:color w:val="222222"/>
        </w:rPr>
        <w:t>$2.863 billion aggregate principal amount of our</w:t>
      </w:r>
      <w:r>
        <w:rPr>
          <w:rFonts w:ascii="Arial" w:cs="Arial" w:eastAsia="Arial" w:hAnsi="Arial"/>
          <w:sz w:val="18"/>
          <w:szCs w:val="18"/>
          <w:color w:val="auto"/>
        </w:rPr>
        <w:t xml:space="preserve"> 3 3/8% Convertible Notes due 2026 were extinguished as a result of the consummation of the EchoStar Exchange Offers, as detailed and defined in Note 9 to the Notes to our Consolidated Financial Statements in this Annual Report on Form 10-K. </w:t>
      </w:r>
      <w:r>
        <w:rPr>
          <w:rFonts w:ascii="Arial" w:cs="Arial" w:eastAsia="Arial" w:hAnsi="Arial"/>
          <w:sz w:val="18"/>
          <w:szCs w:val="18"/>
          <w:color w:val="222222"/>
        </w:rPr>
        <w:t>A total of</w:t>
      </w:r>
      <w:r>
        <w:rPr>
          <w:rFonts w:ascii="Arial" w:cs="Arial" w:eastAsia="Arial" w:hAnsi="Arial"/>
          <w:sz w:val="18"/>
          <w:szCs w:val="18"/>
          <w:color w:val="auto"/>
        </w:rPr>
        <w:t xml:space="preserve"> </w:t>
      </w:r>
      <w:r>
        <w:rPr>
          <w:rFonts w:ascii="Arial" w:cs="Arial" w:eastAsia="Arial" w:hAnsi="Arial"/>
          <w:sz w:val="18"/>
          <w:szCs w:val="18"/>
          <w:color w:val="222222"/>
        </w:rPr>
        <w:t xml:space="preserve">$45 million aggregate principal amount of our </w:t>
      </w:r>
      <w:r>
        <w:rPr>
          <w:rFonts w:ascii="Arial" w:cs="Arial" w:eastAsia="Arial" w:hAnsi="Arial"/>
          <w:sz w:val="18"/>
          <w:szCs w:val="18"/>
          <w:color w:val="000000"/>
        </w:rPr>
        <w:t>3 3/8% Convertible Notes due 2026</w:t>
      </w:r>
      <w:r>
        <w:rPr>
          <w:rFonts w:ascii="Arial" w:cs="Arial" w:eastAsia="Arial" w:hAnsi="Arial"/>
          <w:sz w:val="18"/>
          <w:szCs w:val="18"/>
          <w:color w:val="222222"/>
        </w:rPr>
        <w:t xml:space="preserve"> remain outstanding.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Covenants and Restrictions Related to our Long-Term Debt</w:t>
      </w:r>
    </w:p>
    <w:p>
      <w:pPr>
        <w:spacing w:after="0" w:line="196" w:lineRule="exact"/>
        <w:rPr>
          <w:sz w:val="20"/>
          <w:szCs w:val="20"/>
          <w:color w:val="auto"/>
        </w:rPr>
      </w:pPr>
    </w:p>
    <w:p>
      <w:pPr>
        <w:ind w:left="60" w:right="179"/>
        <w:spacing w:after="0" w:line="251" w:lineRule="auto"/>
        <w:rPr>
          <w:sz w:val="20"/>
          <w:szCs w:val="20"/>
          <w:color w:val="auto"/>
        </w:rPr>
      </w:pPr>
      <w:r>
        <w:rPr>
          <w:rFonts w:ascii="Arial" w:cs="Arial" w:eastAsia="Arial" w:hAnsi="Arial"/>
          <w:sz w:val="17"/>
          <w:szCs w:val="17"/>
          <w:color w:val="auto"/>
        </w:rPr>
        <w:t>We are subject to the covenants and restrictions set forth in the indentures related to our long-term debt. The indentures related to our outstanding senior notes issued by DISH DBS Corporation (“DISH DBS”) contain restrictive covenants that, among other things, impose limitations on the ability of DISH DBS and its restricted subsidiaries to: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senior secured notes contain restrictive covenants that, among other things, impose limitations on our ability and certain of our subsidiaries to: (i) incur additional indebtedness; (ii) enter into sale and leaseback transactions;</w:t>
      </w:r>
    </w:p>
    <w:p>
      <w:pPr>
        <w:spacing w:after="0" w:line="1" w:lineRule="exact"/>
        <w:rPr>
          <w:sz w:val="20"/>
          <w:szCs w:val="20"/>
          <w:color w:val="auto"/>
        </w:rPr>
      </w:pPr>
    </w:p>
    <w:p>
      <w:pPr>
        <w:ind w:left="60" w:right="59" w:hanging="10"/>
        <w:spacing w:after="0" w:line="236" w:lineRule="auto"/>
        <w:tabs>
          <w:tab w:leader="none" w:pos="3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 As of the date of filing of this Annual Report on Form 10-K, we and DISH DBS were in compliance with the covenants and restrictions related to our respective long-term debt.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6"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See Note 2 in the Notes to our Consolidated Financial Statements in this Annual Report on Form 10-K for further information.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98"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b w:val="1"/>
          <w:bCs w:val="1"/>
          <w:i w:val="1"/>
          <w:iCs w:val="1"/>
          <w:color w:val="auto"/>
        </w:rPr>
        <w:t>Service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revenue” consists principally of Pay-TV and Wireless subscriber revenue.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amounts included in “Service revenue” are not recurring on a monthly basis.</w:t>
      </w:r>
    </w:p>
    <w:p>
      <w:pPr>
        <w:spacing w:after="0" w:line="140"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b w:val="1"/>
          <w:bCs w:val="1"/>
          <w:i w:val="1"/>
          <w:iCs w:val="1"/>
          <w:color w:val="auto"/>
        </w:rPr>
        <w:t>Equipment sales and 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sales and other revenue” principally includes the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devices, the non-subsidized sales of Pay-TV equipment and the licensing of certain intellectual property.</w:t>
      </w:r>
    </w:p>
    <w:p>
      <w:pPr>
        <w:spacing w:after="0" w:line="155"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services” principally includes Pay-TV programming expenses and other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our Pay-TV segment and costs of Wireless services (including costs incurred under the MNSA and NSA). Beginning on January 1, 2024, “Cost of services” includes certain direct costs related to our 5G Network Deployment, including lease expense on communication towers, transport, cloud services and other costs as a significant portion of our 5G Network was placed into service.</w:t>
      </w:r>
    </w:p>
    <w:p>
      <w:pPr>
        <w:spacing w:after="0" w:line="163" w:lineRule="exact"/>
        <w:rPr>
          <w:sz w:val="20"/>
          <w:szCs w:val="20"/>
          <w:color w:val="auto"/>
        </w:rPr>
      </w:pPr>
    </w:p>
    <w:p>
      <w:pPr>
        <w:ind w:left="60" w:right="219"/>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principally includes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devices and other related items, as well as costs related to the non-subsidized sales of Pay-TV equipment. Costs are generally recognized as products are delivered to customers and the related revenue is recognized. In addition, prior to January 1, 2024, “Cost of sales – equipment and other” included certain direct costs related to our 5G Network Deployment, including lease expense on communication towers, transport, cloud services and other costs, which is now included in “Cost of services” on our Consolidated Statements of Operations and Comprehensive Income (Loss).</w:t>
      </w:r>
    </w:p>
    <w:p>
      <w:pPr>
        <w:spacing w:after="0" w:line="171"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b w:val="1"/>
          <w:bCs w:val="1"/>
          <w:i w:val="1"/>
          <w:iCs w:val="1"/>
          <w:color w:val="auto"/>
        </w:rPr>
        <w:t>Impairment of long-lived assets and goodwill</w:t>
      </w:r>
      <w:r>
        <w:rPr>
          <w:rFonts w:ascii="Arial" w:cs="Arial" w:eastAsia="Arial" w:hAnsi="Arial"/>
          <w:sz w:val="18"/>
          <w:szCs w:val="18"/>
          <w:color w:val="auto"/>
        </w:rPr>
        <w:t>. “Impairment of long-lived assets and goodwill”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losses related to our property and equipment, regulatory authorizations, goodwill and other intangible assets.</w:t>
      </w:r>
    </w:p>
    <w:p>
      <w:pPr>
        <w:spacing w:after="0" w:line="155"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6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gains and losses realized on the sale and/or conversion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and non-marketable investment securities and derivative instruments, impairment of marketable and non-marketable investment securities, unrealized gains and losses from changes in fair value of certain marketable and non-marketable investment securities and derivative instruments, foreign currency transaction gains and losses, debt extinguishment gains and losses, and equity in earnings and losses of our affiliates.</w:t>
      </w:r>
    </w:p>
    <w:p>
      <w:pPr>
        <w:spacing w:after="0" w:line="149"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(“OIBDA”). </w:t>
      </w:r>
      <w:r>
        <w:rPr>
          <w:rFonts w:ascii="Arial" w:cs="Arial" w:eastAsia="Arial" w:hAnsi="Arial"/>
          <w:sz w:val="18"/>
          <w:szCs w:val="18"/>
          <w:color w:val="auto"/>
        </w:rPr>
        <w:t>OIBDA is defined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plus “Depreciation and amortization.” This “non-GAAP measure” is reconciled to “Operating income (loss)” in our discussion of “Results of Operations” below.</w:t>
      </w:r>
    </w:p>
    <w:p>
      <w:pPr>
        <w:spacing w:after="0" w:line="155" w:lineRule="exact"/>
        <w:rPr>
          <w:sz w:val="20"/>
          <w:szCs w:val="20"/>
          <w:color w:val="auto"/>
        </w:rPr>
      </w:pPr>
    </w:p>
    <w:p>
      <w:pPr>
        <w:jc w:val="both"/>
        <w:ind w:left="60" w:right="139"/>
        <w:spacing w:after="0" w:line="244" w:lineRule="auto"/>
        <w:rPr>
          <w:sz w:val="20"/>
          <w:szCs w:val="20"/>
          <w:color w:val="auto"/>
        </w:rPr>
      </w:pPr>
      <w:r>
        <w:rPr>
          <w:rFonts w:ascii="Arial" w:cs="Arial" w:eastAsia="Arial" w:hAnsi="Arial"/>
          <w:sz w:val="18"/>
          <w:szCs w:val="18"/>
          <w:b w:val="1"/>
          <w:bCs w:val="1"/>
          <w:i w:val="1"/>
          <w:iCs w:val="1"/>
          <w:color w:val="auto"/>
        </w:rPr>
        <w:t xml:space="preserve">DISH TV subscribers. </w:t>
      </w:r>
      <w:r>
        <w:rPr>
          <w:rFonts w:ascii="Arial" w:cs="Arial" w:eastAsia="Arial" w:hAnsi="Arial"/>
          <w:sz w:val="18"/>
          <w:szCs w:val="18"/>
          <w:color w:val="auto"/>
        </w:rPr>
        <w:t>We include customers obtained through direct sales, independent third-party retailers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SLING TV subscribers. </w:t>
      </w:r>
      <w:r>
        <w:rPr>
          <w:rFonts w:ascii="Arial" w:cs="Arial" w:eastAsia="Arial" w:hAnsi="Arial"/>
          <w:sz w:val="18"/>
          <w:szCs w:val="18"/>
          <w:color w:val="auto"/>
        </w:rPr>
        <w:t>We include customers obtained through direct sales and third-party marketing</w:t>
      </w:r>
    </w:p>
    <w:p>
      <w:pPr>
        <w:spacing w:after="0" w:line="14" w:lineRule="exact"/>
        <w:rPr>
          <w:sz w:val="20"/>
          <w:szCs w:val="20"/>
          <w:color w:val="auto"/>
        </w:rPr>
      </w:pPr>
    </w:p>
    <w:p>
      <w:pPr>
        <w:ind w:left="60" w:right="379"/>
        <w:spacing w:after="0" w:line="226" w:lineRule="auto"/>
        <w:rPr>
          <w:sz w:val="20"/>
          <w:szCs w:val="20"/>
          <w:color w:val="auto"/>
        </w:rPr>
      </w:pPr>
      <w:r>
        <w:rPr>
          <w:rFonts w:ascii="Arial" w:cs="Arial" w:eastAsia="Arial" w:hAnsi="Arial"/>
          <w:sz w:val="18"/>
          <w:szCs w:val="18"/>
          <w:color w:val="auto"/>
        </w:rPr>
        <w:t>agreements in our SLING TV subscriber count. SLING TV subscriber additions are recorded net of disconnects. SLING TV customers receiving SLING TV Freestream service, or service for no charge, under</w:t>
      </w:r>
    </w:p>
    <w:p>
      <w:pPr>
        <w:spacing w:after="0" w:line="2" w:lineRule="exact"/>
        <w:rPr>
          <w:sz w:val="20"/>
          <w:szCs w:val="20"/>
          <w:color w:val="auto"/>
        </w:rPr>
      </w:pPr>
    </w:p>
    <w:p>
      <w:pPr>
        <w:ind w:left="60" w:right="459"/>
        <w:spacing w:after="0" w:line="250" w:lineRule="auto"/>
        <w:rPr>
          <w:sz w:val="20"/>
          <w:szCs w:val="20"/>
          <w:color w:val="auto"/>
        </w:rPr>
      </w:pPr>
      <w:r>
        <w:rPr>
          <w:rFonts w:ascii="Arial" w:cs="Arial" w:eastAsia="Arial" w:hAnsi="Arial"/>
          <w:sz w:val="18"/>
          <w:szCs w:val="18"/>
          <w:color w:val="auto"/>
        </w:rPr>
        <w:t>certain new subscriber promotions, are excluded from our SLING TV subscriber count. For customers who subscribe to multiple SLING TV packages, each customer is only counted as one SLING TV subscriber.</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 discussed</w:t>
      </w:r>
    </w:p>
    <w:p>
      <w:pPr>
        <w:spacing w:after="0" w:line="14" w:lineRule="exact"/>
        <w:rPr>
          <w:sz w:val="20"/>
          <w:szCs w:val="20"/>
          <w:color w:val="auto"/>
        </w:rPr>
      </w:pPr>
    </w:p>
    <w:p>
      <w:pPr>
        <w:ind w:left="60" w:right="859"/>
        <w:spacing w:after="0" w:line="237" w:lineRule="auto"/>
        <w:rPr>
          <w:sz w:val="20"/>
          <w:szCs w:val="20"/>
          <w:color w:val="auto"/>
        </w:rPr>
      </w:pPr>
      <w:r>
        <w:rPr>
          <w:rFonts w:ascii="Arial" w:cs="Arial" w:eastAsia="Arial" w:hAnsi="Arial"/>
          <w:sz w:val="18"/>
          <w:szCs w:val="18"/>
          <w:color w:val="auto"/>
        </w:rPr>
        <w:t>above. For customers who subscribe to both our DISH TV services and our SLING TV services, each subscription is counted as a separate Pay-TV subscriber.</w:t>
      </w:r>
    </w:p>
    <w:p>
      <w:pPr>
        <w:spacing w:after="0" w:line="181"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b w:val="1"/>
          <w:bCs w:val="1"/>
          <w:i w:val="1"/>
          <w:iCs w:val="1"/>
          <w:color w:val="auto"/>
        </w:rPr>
        <w:t xml:space="preserve">Pay-TV average monthly revenue per subscriber (“Pay-TV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172"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color w:val="auto"/>
        </w:rPr>
        <w:t xml:space="preserve">DISH TV average monthly subscriber churn rate (“DISH TV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47" w:lineRule="exact"/>
        <w:rPr>
          <w:sz w:val="20"/>
          <w:szCs w:val="20"/>
          <w:color w:val="auto"/>
        </w:rPr>
      </w:pPr>
    </w:p>
    <w:p>
      <w:pPr>
        <w:ind w:left="60" w:right="499"/>
        <w:spacing w:after="0" w:line="245"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Subscriber acquisition cost measures are commonly used by those evaluating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the pay-TV industry. We are not aware of any uniform standards for calculating the “average</w:t>
      </w:r>
    </w:p>
    <w:p>
      <w:pPr>
        <w:ind w:left="60" w:right="239"/>
        <w:spacing w:after="0"/>
        <w:rPr>
          <w:sz w:val="20"/>
          <w:szCs w:val="20"/>
          <w:color w:val="auto"/>
        </w:rPr>
      </w:pPr>
      <w:r>
        <w:rPr>
          <w:rFonts w:ascii="Arial" w:cs="Arial" w:eastAsia="Arial" w:hAnsi="Arial"/>
          <w:sz w:val="17"/>
          <w:szCs w:val="17"/>
          <w:color w:val="auto"/>
        </w:rPr>
        <w:t>subscriber acquisition costs per new DISH TV subscriber activation,” or DISH TV SAC, and we believe presentations of pay-TV SAC may not be calculated consistently by different companies in the same or similar</w:t>
      </w:r>
    </w:p>
    <w:p>
      <w:pPr>
        <w:ind w:left="60"/>
        <w:spacing w:after="0" w:line="235" w:lineRule="auto"/>
        <w:rPr>
          <w:sz w:val="20"/>
          <w:szCs w:val="20"/>
          <w:color w:val="auto"/>
        </w:rPr>
      </w:pPr>
      <w:r>
        <w:rPr>
          <w:rFonts w:ascii="Arial" w:cs="Arial" w:eastAsia="Arial" w:hAnsi="Arial"/>
          <w:sz w:val="18"/>
          <w:szCs w:val="18"/>
          <w:color w:val="auto"/>
        </w:rPr>
        <w:t>businesses. Our DISH TV SAC is calculated using all costs of acquiring DISH TV subscribers (e.g., subsidized</w:t>
      </w:r>
    </w:p>
    <w:p>
      <w:pPr>
        <w:ind w:left="60" w:right="179"/>
        <w:spacing w:after="0"/>
        <w:rPr>
          <w:sz w:val="20"/>
          <w:szCs w:val="20"/>
          <w:color w:val="auto"/>
        </w:rPr>
      </w:pPr>
      <w:r>
        <w:rPr>
          <w:rFonts w:ascii="Arial" w:cs="Arial" w:eastAsia="Arial" w:hAnsi="Arial"/>
          <w:sz w:val="17"/>
          <w:szCs w:val="17"/>
          <w:color w:val="auto"/>
        </w:rPr>
        <w:t>equipment, advertising, installation, commissions and direct sales, etc.) which are included in “Selling, general and administrative expenses,” plus capitalized payments made under certain sales incentive programs and the</w:t>
      </w:r>
    </w:p>
    <w:p>
      <w:pPr>
        <w:ind w:left="60"/>
        <w:spacing w:after="0" w:line="235" w:lineRule="auto"/>
        <w:rPr>
          <w:sz w:val="20"/>
          <w:szCs w:val="20"/>
          <w:color w:val="auto"/>
        </w:rPr>
      </w:pPr>
      <w:r>
        <w:rPr>
          <w:rFonts w:ascii="Arial" w:cs="Arial" w:eastAsia="Arial" w:hAnsi="Arial"/>
          <w:sz w:val="18"/>
          <w:szCs w:val="18"/>
          <w:color w:val="auto"/>
        </w:rPr>
        <w:t>value of equipment capitalized under our lease program for new DISH TV subscribers, divided by gross new</w:t>
      </w:r>
    </w:p>
    <w:p>
      <w:pPr>
        <w:ind w:left="60" w:right="139"/>
        <w:spacing w:after="0" w:line="237" w:lineRule="auto"/>
        <w:rPr>
          <w:sz w:val="20"/>
          <w:szCs w:val="20"/>
          <w:color w:val="auto"/>
        </w:rPr>
      </w:pPr>
      <w:r>
        <w:rPr>
          <w:rFonts w:ascii="Arial" w:cs="Arial" w:eastAsia="Arial" w:hAnsi="Arial"/>
          <w:sz w:val="18"/>
          <w:szCs w:val="18"/>
          <w:color w:val="auto"/>
        </w:rPr>
        <w:t>DISH TV subscriber activations. We include all new DISH TV subscribers in our calculation, including DISH TV subscribers added with little or no subscriber acquisition costs.</w:t>
      </w:r>
    </w:p>
    <w:p>
      <w:pPr>
        <w:spacing w:after="0" w:line="181" w:lineRule="exact"/>
        <w:rPr>
          <w:sz w:val="20"/>
          <w:szCs w:val="20"/>
          <w:color w:val="auto"/>
        </w:rPr>
      </w:pPr>
    </w:p>
    <w:p>
      <w:pPr>
        <w:jc w:val="both"/>
        <w:ind w:left="60" w:right="59" w:hanging="12"/>
        <w:spacing w:after="0" w:line="244" w:lineRule="auto"/>
        <w:rPr>
          <w:sz w:val="20"/>
          <w:szCs w:val="20"/>
          <w:color w:val="auto"/>
        </w:rPr>
      </w:pPr>
      <w:r>
        <w:rPr>
          <w:rFonts w:ascii="Arial" w:cs="Arial" w:eastAsia="Arial" w:hAnsi="Arial"/>
          <w:sz w:val="18"/>
          <w:szCs w:val="18"/>
          <w:b w:val="1"/>
          <w:bCs w:val="1"/>
          <w:i w:val="1"/>
          <w:iCs w:val="1"/>
          <w:color w:val="auto"/>
        </w:rPr>
        <w:t xml:space="preserve">Wireless subscribers. </w:t>
      </w:r>
      <w:r>
        <w:rPr>
          <w:rFonts w:ascii="Arial" w:cs="Arial" w:eastAsia="Arial" w:hAnsi="Arial"/>
          <w:sz w:val="18"/>
          <w:szCs w:val="18"/>
          <w:color w:val="auto"/>
        </w:rPr>
        <w:t>We include prepaid and postpaid customers obtained through direct sales,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retailers and other independent third-party distribution relationships in our Wireless subscriber count. Our Wireless subscriber count includes all Government subsidized subscribers discussed below. Our gross new Wireless subscriber activations exclude all Government subsidized subscribers as we record these subscribers net of disconnects, as discussed below.</w:t>
      </w:r>
    </w:p>
    <w:p>
      <w:pPr>
        <w:spacing w:after="0" w:line="165" w:lineRule="exact"/>
        <w:rPr>
          <w:sz w:val="20"/>
          <w:szCs w:val="20"/>
          <w:color w:val="auto"/>
        </w:rPr>
      </w:pPr>
    </w:p>
    <w:p>
      <w:pPr>
        <w:ind w:left="60" w:right="99" w:hanging="12"/>
        <w:spacing w:after="0" w:line="238" w:lineRule="auto"/>
        <w:rPr>
          <w:sz w:val="20"/>
          <w:szCs w:val="20"/>
          <w:color w:val="auto"/>
        </w:rPr>
      </w:pPr>
      <w:r>
        <w:rPr>
          <w:rFonts w:ascii="Arial" w:cs="Arial" w:eastAsia="Arial" w:hAnsi="Arial"/>
          <w:sz w:val="18"/>
          <w:szCs w:val="18"/>
          <w:b w:val="1"/>
          <w:bCs w:val="1"/>
          <w:i w:val="1"/>
          <w:iCs w:val="1"/>
          <w:color w:val="auto"/>
        </w:rPr>
        <w:t xml:space="preserve">Government subsidized wireless subscribers and other wireless subscribers (“Government subsidized subscribers”). </w:t>
      </w:r>
      <w:r>
        <w:rPr>
          <w:rFonts w:ascii="Arial" w:cs="Arial" w:eastAsia="Arial" w:hAnsi="Arial"/>
          <w:sz w:val="18"/>
          <w:szCs w:val="18"/>
          <w:color w:val="auto"/>
        </w:rPr>
        <w:t>Our Government subsidized subscribers have different subscriber economics than our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subscribers, including a significantly higher churn rate and lower subscriber acquisition costs. Therefore, our Government subsidized subscriber additions are recorded net of disconnects. Our Government subsidized subscriber count includes Wireless subscribers that participate in government subsidized programs, including the ACP program and Lifeline program, defined below, and other subscribers acquired under the Gen Mobile brand. The Affordable Connectivity Program (“ACP”) was a federal program offering broadband services and devices discounts to help low-income individuals that meet certain eligibility criteria. The ACP program funding concluded on June 1, 2024. The Lifeline Program is a federal program offering broadband services discounts to help low-income individuals that meet certain eligibility criteria. Certain states also offer a separate Lifeline program.</w:t>
      </w:r>
    </w:p>
    <w:p>
      <w:pPr>
        <w:spacing w:after="0" w:line="170"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b w:val="1"/>
          <w:bCs w:val="1"/>
          <w:i w:val="1"/>
          <w:iCs w:val="1"/>
          <w:color w:val="auto"/>
        </w:rPr>
        <w:t xml:space="preserve">Wireless average monthly revenue per subscriber (“Wireless ARPU”).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ARPU and believe presentations of ARPU may not be calculated consistently by other companies in the same or similar businesses. We calculate average monthly revenue per Wireless subscriber, or Wireless ARPU, by dividing average monthly Wireless subscriber revenue included in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w:t>
      </w:r>
    </w:p>
    <w:p>
      <w:pPr>
        <w:spacing w:after="0" w:line="4" w:lineRule="exact"/>
        <w:rPr>
          <w:sz w:val="20"/>
          <w:szCs w:val="20"/>
          <w:color w:val="auto"/>
        </w:rPr>
      </w:pPr>
    </w:p>
    <w:p>
      <w:pPr>
        <w:ind w:left="60" w:right="259"/>
        <w:spacing w:after="0" w:line="250" w:lineRule="auto"/>
        <w:rPr>
          <w:sz w:val="20"/>
          <w:szCs w:val="20"/>
          <w:color w:val="auto"/>
        </w:rPr>
      </w:pPr>
      <w:r>
        <w:rPr>
          <w:rFonts w:ascii="Arial" w:cs="Arial" w:eastAsia="Arial" w:hAnsi="Arial"/>
          <w:sz w:val="18"/>
          <w:szCs w:val="18"/>
          <w:color w:val="auto"/>
        </w:rPr>
        <w:t>each month is calculated by adding the beginning and ending Wireless subscribers for the month and dividing by two.</w:t>
      </w:r>
    </w:p>
    <w:p>
      <w:pPr>
        <w:spacing w:after="0" w:line="158" w:lineRule="exact"/>
        <w:rPr>
          <w:sz w:val="20"/>
          <w:szCs w:val="20"/>
          <w:color w:val="auto"/>
        </w:rPr>
      </w:pPr>
    </w:p>
    <w:p>
      <w:pPr>
        <w:ind w:left="60" w:right="119" w:hanging="12"/>
        <w:spacing w:after="0" w:line="254" w:lineRule="auto"/>
        <w:rPr>
          <w:sz w:val="20"/>
          <w:szCs w:val="20"/>
          <w:color w:val="auto"/>
        </w:rPr>
      </w:pPr>
      <w:r>
        <w:rPr>
          <w:rFonts w:ascii="Arial" w:cs="Arial" w:eastAsia="Arial" w:hAnsi="Arial"/>
          <w:sz w:val="17"/>
          <w:szCs w:val="17"/>
          <w:b w:val="1"/>
          <w:bCs w:val="1"/>
          <w:i w:val="1"/>
          <w:iCs w:val="1"/>
          <w:color w:val="auto"/>
        </w:rPr>
        <w:t xml:space="preserve">Wireless average monthly subscriber churn rate (“Wireless churn rate”).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Government subsidized subscriber additions are recorded net of disconnects and therefore excluded from our calculation of our Wireless churn rate.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Segments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198"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We currently operate two primary business segments: (1) Pay-TV and (2) Wireless. Revenue and operating income (loss) by segment are shown in the table below:</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2024 Compared to the Year Ended December 31, 2023.</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For the Years Ended December 31,</w:t>
            </w:r>
          </w:p>
        </w:tc>
        <w:tc>
          <w:tcPr>
            <w:tcW w:w="260" w:type="dxa"/>
            <w:vAlign w:val="bottom"/>
          </w:tcPr>
          <w:p>
            <w:pPr>
              <w:spacing w:after="0"/>
              <w:rPr>
                <w:sz w:val="18"/>
                <w:szCs w:val="18"/>
                <w:color w:val="auto"/>
              </w:rPr>
            </w:pPr>
          </w:p>
        </w:tc>
        <w:tc>
          <w:tcPr>
            <w:tcW w:w="1300" w:type="dxa"/>
            <w:vAlign w:val="bottom"/>
            <w:gridSpan w:val="4"/>
          </w:tcPr>
          <w:p>
            <w:pPr>
              <w:ind w:left="500"/>
              <w:spacing w:after="0"/>
              <w:rPr>
                <w:sz w:val="20"/>
                <w:szCs w:val="20"/>
                <w:color w:val="auto"/>
              </w:rPr>
            </w:pPr>
            <w:r>
              <w:rPr>
                <w:rFonts w:ascii="Arial" w:cs="Arial" w:eastAsia="Arial" w:hAnsi="Arial"/>
                <w:sz w:val="16"/>
                <w:szCs w:val="16"/>
                <w:b w:val="1"/>
                <w:bCs w:val="1"/>
                <w:color w:val="auto"/>
              </w:rPr>
              <w:t>Variance</w:t>
            </w:r>
          </w:p>
        </w:tc>
        <w:tc>
          <w:tcPr>
            <w:tcW w:w="600" w:type="dxa"/>
            <w:vAlign w:val="bottom"/>
          </w:tcPr>
          <w:p>
            <w:pPr>
              <w:spacing w:after="0"/>
              <w:rPr>
                <w:sz w:val="18"/>
                <w:szCs w:val="18"/>
                <w:color w:val="auto"/>
              </w:rPr>
            </w:pPr>
          </w:p>
        </w:tc>
      </w:tr>
      <w:tr>
        <w:trPr>
          <w:trHeight w:val="189"/>
        </w:trPr>
        <w:tc>
          <w:tcPr>
            <w:tcW w:w="3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Amount</w:t>
            </w:r>
          </w:p>
        </w:tc>
        <w:tc>
          <w:tcPr>
            <w:tcW w:w="6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r>
      <w:tr>
        <w:trPr>
          <w:trHeight w:val="169"/>
        </w:trPr>
        <w:tc>
          <w:tcPr>
            <w:tcW w:w="3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Borders>
              <w:top w:val="single" w:sz="8" w:color="auto"/>
            </w:tcBorders>
            <w:gridSpan w:val="2"/>
          </w:tcPr>
          <w:p>
            <w:pPr>
              <w:jc w:val="right"/>
              <w:ind w:right="499"/>
              <w:spacing w:after="0" w:line="169"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6"/>
                <w:szCs w:val="16"/>
                <w:color w:val="auto"/>
              </w:rPr>
              <w:t>Pay-TV</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10,688,204</w:t>
            </w:r>
          </w:p>
        </w:tc>
        <w:tc>
          <w:tcPr>
            <w:tcW w:w="200" w:type="dxa"/>
            <w:vAlign w:val="bottom"/>
          </w:tcPr>
          <w:p>
            <w:pPr>
              <w:spacing w:after="0"/>
              <w:rPr>
                <w:sz w:val="16"/>
                <w:szCs w:val="16"/>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11,571,159</w:t>
            </w:r>
          </w:p>
        </w:tc>
        <w:tc>
          <w:tcPr>
            <w:tcW w:w="4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(882,955)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Wireless</w:t>
            </w: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3,606,177</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3,732,160</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(125,983)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314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(1,723)</w:t>
            </w:r>
          </w:p>
        </w:tc>
        <w:tc>
          <w:tcPr>
            <w:tcW w:w="38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(8,231)</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6,508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79.1</w:t>
            </w:r>
          </w:p>
        </w:tc>
      </w:tr>
      <w:tr>
        <w:trPr>
          <w:trHeight w:val="183"/>
        </w:trPr>
        <w:tc>
          <w:tcPr>
            <w:tcW w:w="31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14,292,658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15,295,088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(1,002,430)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w:t>
            </w:r>
          </w:p>
        </w:tc>
      </w:tr>
      <w:tr>
        <w:trPr>
          <w:trHeight w:val="20"/>
        </w:trPr>
        <w:tc>
          <w:tcPr>
            <w:tcW w:w="3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0"/>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6"/>
                <w:szCs w:val="16"/>
                <w:color w:val="auto"/>
              </w:rPr>
              <w:t>Pay-TV</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2,648,134</w:t>
            </w:r>
          </w:p>
        </w:tc>
        <w:tc>
          <w:tcPr>
            <w:tcW w:w="200" w:type="dxa"/>
            <w:vAlign w:val="bottom"/>
          </w:tcPr>
          <w:p>
            <w:pPr>
              <w:spacing w:after="0"/>
              <w:rPr>
                <w:sz w:val="16"/>
                <w:szCs w:val="16"/>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2,699,810</w:t>
            </w:r>
          </w:p>
        </w:tc>
        <w:tc>
          <w:tcPr>
            <w:tcW w:w="4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(51,676)</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Wireless</w:t>
            </w:r>
          </w:p>
        </w:tc>
        <w:tc>
          <w:tcPr>
            <w:tcW w:w="2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(2,827,759)</w:t>
            </w: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(2,524,553)</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(303,206)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183"/>
        </w:trPr>
        <w:tc>
          <w:tcPr>
            <w:tcW w:w="31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280" w:type="dxa"/>
            <w:vAlign w:val="bottom"/>
            <w:tcBorders>
              <w:top w:val="single" w:sz="8" w:color="auto"/>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(179,625)</w:t>
            </w:r>
          </w:p>
        </w:tc>
        <w:tc>
          <w:tcPr>
            <w:tcW w:w="2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175,257</w:t>
            </w:r>
          </w:p>
        </w:tc>
        <w:tc>
          <w:tcPr>
            <w:tcW w:w="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(354,882)</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3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98"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$ 14.293 billion for the year ended December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$1.002 billion or 6.6% compared to the same period in 2023. The net decrease primarily resulted from the decrease in revenue from our Pay-TV and Wireless segments.</w:t>
      </w:r>
    </w:p>
    <w:p>
      <w:pPr>
        <w:spacing w:after="0" w:line="155"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loss totaled $180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2024, compared to income of $175 million during the same period in 2023. The net decrease primarily resulted from an increase in operating loss from our Wireless segment and to a lesser extent a decrease in operating income from our Pay-TV segment.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2023 Compared to the Year Ended December 31, 2022.</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the Years Ended December 31,</w:t>
            </w:r>
          </w:p>
        </w:tc>
        <w:tc>
          <w:tcPr>
            <w:tcW w:w="220" w:type="dxa"/>
            <w:vAlign w:val="bottom"/>
          </w:tcPr>
          <w:p>
            <w:pPr>
              <w:spacing w:after="0"/>
              <w:rPr>
                <w:sz w:val="18"/>
                <w:szCs w:val="18"/>
                <w:color w:val="auto"/>
              </w:rPr>
            </w:pPr>
          </w:p>
        </w:tc>
        <w:tc>
          <w:tcPr>
            <w:tcW w:w="1360" w:type="dxa"/>
            <w:vAlign w:val="bottom"/>
            <w:gridSpan w:val="4"/>
          </w:tcPr>
          <w:p>
            <w:pPr>
              <w:ind w:left="580"/>
              <w:spacing w:after="0"/>
              <w:rPr>
                <w:sz w:val="20"/>
                <w:szCs w:val="20"/>
                <w:color w:val="auto"/>
              </w:rPr>
            </w:pPr>
            <w:r>
              <w:rPr>
                <w:rFonts w:ascii="Arial" w:cs="Arial" w:eastAsia="Arial" w:hAnsi="Arial"/>
                <w:sz w:val="16"/>
                <w:szCs w:val="16"/>
                <w:b w:val="1"/>
                <w:bCs w:val="1"/>
                <w:color w:val="auto"/>
              </w:rPr>
              <w:t>Variance</w:t>
            </w:r>
          </w:p>
        </w:tc>
        <w:tc>
          <w:tcPr>
            <w:tcW w:w="660" w:type="dxa"/>
            <w:vAlign w:val="bottom"/>
          </w:tcPr>
          <w:p>
            <w:pPr>
              <w:spacing w:after="0"/>
              <w:rPr>
                <w:sz w:val="18"/>
                <w:szCs w:val="18"/>
                <w:color w:val="auto"/>
              </w:rPr>
            </w:pPr>
          </w:p>
        </w:tc>
      </w:tr>
      <w:tr>
        <w:trPr>
          <w:trHeight w:val="189"/>
        </w:trPr>
        <w:tc>
          <w:tcPr>
            <w:tcW w:w="29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Amount</w:t>
            </w:r>
          </w:p>
        </w:tc>
        <w:tc>
          <w:tcPr>
            <w:tcW w:w="6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r>
      <w:tr>
        <w:trPr>
          <w:trHeight w:val="169"/>
        </w:trPr>
        <w:tc>
          <w:tcPr>
            <w:tcW w:w="29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419"/>
              <w:spacing w:after="0" w:line="169"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9"/>
        </w:trPr>
        <w:tc>
          <w:tcPr>
            <w:tcW w:w="2980" w:type="dxa"/>
            <w:vAlign w:val="bottom"/>
          </w:tcPr>
          <w:p>
            <w:pPr>
              <w:ind w:left="20"/>
              <w:spacing w:after="0"/>
              <w:rPr>
                <w:sz w:val="20"/>
                <w:szCs w:val="20"/>
                <w:color w:val="auto"/>
              </w:rPr>
            </w:pPr>
            <w:r>
              <w:rPr>
                <w:rFonts w:ascii="Arial" w:cs="Arial" w:eastAsia="Arial" w:hAnsi="Arial"/>
                <w:sz w:val="16"/>
                <w:szCs w:val="16"/>
                <w:color w:val="auto"/>
              </w:rPr>
              <w:t>Pay-TV</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11,571,159</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12,505,392</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(934,233)</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8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Wireless</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3,732,160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4,180,018</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(447,858)</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189"/>
        </w:trPr>
        <w:tc>
          <w:tcPr>
            <w:tcW w:w="298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(8,231)</w:t>
            </w:r>
          </w:p>
        </w:tc>
        <w:tc>
          <w:tcPr>
            <w:tcW w:w="100" w:type="dxa"/>
            <w:vAlign w:val="bottom"/>
          </w:tcPr>
          <w:p>
            <w:pPr>
              <w:spacing w:after="0"/>
              <w:rPr>
                <w:sz w:val="16"/>
                <w:szCs w:val="16"/>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(6,003)</w:t>
            </w:r>
          </w:p>
        </w:tc>
        <w:tc>
          <w:tcPr>
            <w:tcW w:w="220" w:type="dxa"/>
            <w:vAlign w:val="bottom"/>
          </w:tcPr>
          <w:p>
            <w:pPr>
              <w:spacing w:after="0"/>
              <w:rPr>
                <w:sz w:val="16"/>
                <w:szCs w:val="16"/>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(2,228)</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183"/>
        </w:trPr>
        <w:tc>
          <w:tcPr>
            <w:tcW w:w="298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6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15,295,088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16,679,407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(1,384,319)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w:t>
            </w:r>
          </w:p>
        </w:tc>
      </w:tr>
      <w:tr>
        <w:trPr>
          <w:trHeight w:val="20"/>
        </w:trPr>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0"/>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9"/>
        </w:trPr>
        <w:tc>
          <w:tcPr>
            <w:tcW w:w="2980" w:type="dxa"/>
            <w:vAlign w:val="bottom"/>
          </w:tcPr>
          <w:p>
            <w:pPr>
              <w:ind w:left="20"/>
              <w:spacing w:after="0"/>
              <w:rPr>
                <w:sz w:val="20"/>
                <w:szCs w:val="20"/>
                <w:color w:val="auto"/>
              </w:rPr>
            </w:pPr>
            <w:r>
              <w:rPr>
                <w:rFonts w:ascii="Arial" w:cs="Arial" w:eastAsia="Arial" w:hAnsi="Arial"/>
                <w:sz w:val="16"/>
                <w:szCs w:val="16"/>
                <w:color w:val="auto"/>
              </w:rPr>
              <w:t>Pay-TV</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2,699,810</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2,933,898</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(234,088)</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8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Wireless</w:t>
            </w:r>
          </w:p>
        </w:tc>
        <w:tc>
          <w:tcPr>
            <w:tcW w:w="26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(2,524,553)</w:t>
            </w:r>
          </w:p>
        </w:tc>
        <w:tc>
          <w:tcPr>
            <w:tcW w:w="1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(888,232)</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(1,636,321)</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9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175,257</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2,045,666</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(1,870,409)</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(91.4)</w:t>
            </w:r>
          </w:p>
        </w:tc>
      </w:tr>
      <w:tr>
        <w:trPr>
          <w:trHeight w:val="20"/>
        </w:trPr>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98"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$ 15.295 billion for the year ended December 31, 2023,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$1.384 billion or 8.3% compared to the same period in 2022. The net decrease primarily resulted from the decrease in revenue from our Pay-TV and Wireless segments.</w:t>
      </w:r>
    </w:p>
    <w:p>
      <w:pPr>
        <w:spacing w:after="0" w:line="155" w:lineRule="exact"/>
        <w:rPr>
          <w:sz w:val="20"/>
          <w:szCs w:val="20"/>
          <w:color w:val="auto"/>
        </w:rPr>
      </w:pPr>
    </w:p>
    <w:p>
      <w:pPr>
        <w:ind w:left="60" w:right="79"/>
        <w:spacing w:after="0"/>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income totaled $175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2023, a decrease of $1.870 billion or 91.4% compared to the same period in 2022. The net decrease primarily resulted from an increase in operating loss from our Wireless segment and to a lesser extent a decrease in operating income from our Pay-TV segment. The year ended December 31, 2023 was adversely impacted by impairments of goodwill of: (1) $ 219 million from our Wireless segment and (2) $6 million from our Pay-TV segment. See Note 2 in the Notes to our Consolidated Financial Statements in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Segment</w:t>
      </w:r>
    </w:p>
    <w:p>
      <w:pPr>
        <w:spacing w:after="0" w:line="266"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We offer Pay-TV services under the DISH brand and the SLING brand. As of December 31, 2024, we had 7.778 million Pay-TV subscribers in the United States, including 5.686 million DISH TV subscribers and 2.092 million SLING TV subscribers.</w:t>
      </w:r>
    </w:p>
    <w:p>
      <w:pPr>
        <w:spacing w:after="0" w:line="15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in our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70"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5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6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w:t>
      </w:r>
    </w:p>
    <w:p>
      <w:pPr>
        <w:spacing w:after="0" w:line="17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63"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and elsewhere in our public filings. These transactions may affect us adversely by, among other things, making it more difficult for us to obtain access to certain programming networks on nondiscriminatory and fair terms, or at all.</w:t>
      </w:r>
    </w:p>
    <w:p>
      <w:pPr>
        <w:spacing w:after="0" w:line="171"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Programming</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6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163"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auto"/>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w:t>
      </w:r>
    </w:p>
    <w:p>
      <w:pPr>
        <w:spacing w:after="0" w:line="155"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22222"/>
        </w:rPr>
        <w:t>Adaptive Bitrate Streaming Patents</w:t>
      </w:r>
    </w:p>
    <w:p>
      <w:pPr>
        <w:spacing w:after="0" w:line="22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22222"/>
        </w:rPr>
        <w:t>T</w:t>
      </w:r>
      <w:r>
        <w:rPr>
          <w:rFonts w:ascii="Arial" w:cs="Arial" w:eastAsia="Arial" w:hAnsi="Arial"/>
          <w:sz w:val="18"/>
          <w:szCs w:val="18"/>
          <w:color w:val="000000"/>
        </w:rPr>
        <w:t>hrough our subsidiaries, we hold dozens of issued United States and foreign patents that relate to Adaptive</w:t>
      </w:r>
      <w:r>
        <w:rPr>
          <w:rFonts w:ascii="Arial" w:cs="Arial" w:eastAsia="Arial" w:hAnsi="Arial"/>
          <w:sz w:val="18"/>
          <w:szCs w:val="18"/>
          <w:color w:val="222222"/>
        </w:rPr>
        <w:t xml:space="preserve"> </w:t>
      </w:r>
      <w:r>
        <w:rPr>
          <w:rFonts w:ascii="Arial" w:cs="Arial" w:eastAsia="Arial" w:hAnsi="Arial"/>
          <w:sz w:val="18"/>
          <w:szCs w:val="18"/>
          <w:color w:val="000000"/>
        </w:rPr>
        <w:t>Bitrate Streaming. On September 9, 2022, the chief administrative law judge at the United States International Trade Commission (“ITC”) issued an Initial Determination holding that the video streaming in certain Peloton, NordicTrack and Mirror exercise equipment infringes four of those patents, and recommended that the ITC prevent the importation of the infringing products. On March 8, 2023, the ITC issued its Final Determination, which affirmed the Initial Determination for three of the four patents in all material aspects, and issued the recommended exclusion and cease and desist orders, which will become effective after a Presidential review period. On February 9, 2023, we entered into a confidential license agreement covering Mirror exercise equipment that resolves our litigation involving those products. On May 1, 2023, we entered into a $75 million license agreement covering Peloton exercise equipment that resolves our litigation involving those products. During the year ended December 31, 2023, we recorded the $75 million license agreement in “Equipment sales and other revenue” on our Consolidated Statements of Operations and Comprehensive Income (Loss). On March 6, 2024, we entered into a license agreement covering NordicTrack exercise equipment that resolves our litigation involving those products and received the initial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Pay-TV Segment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2024 Compared to the Year Ended December 31, 2023.</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vMerge w:val="restart"/>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6"/>
                <w:szCs w:val="16"/>
                <w:b w:val="1"/>
                <w:bCs w:val="1"/>
                <w:color w:val="auto"/>
              </w:rPr>
              <w:t>For the Years Ended December 31,</w:t>
            </w:r>
          </w:p>
        </w:tc>
        <w:tc>
          <w:tcPr>
            <w:tcW w:w="100" w:type="dxa"/>
            <w:vAlign w:val="bottom"/>
          </w:tcPr>
          <w:p>
            <w:pPr>
              <w:spacing w:after="0"/>
              <w:rPr>
                <w:sz w:val="18"/>
                <w:szCs w:val="18"/>
                <w:color w:val="auto"/>
              </w:rPr>
            </w:pPr>
          </w:p>
        </w:tc>
        <w:tc>
          <w:tcPr>
            <w:tcW w:w="1020" w:type="dxa"/>
            <w:vAlign w:val="bottom"/>
            <w:gridSpan w:val="3"/>
          </w:tcPr>
          <w:p>
            <w:pPr>
              <w:ind w:left="340"/>
              <w:spacing w:after="0"/>
              <w:rPr>
                <w:sz w:val="20"/>
                <w:szCs w:val="20"/>
                <w:color w:val="auto"/>
              </w:rPr>
            </w:pPr>
            <w:r>
              <w:rPr>
                <w:rFonts w:ascii="Arial" w:cs="Arial" w:eastAsia="Arial" w:hAnsi="Arial"/>
                <w:sz w:val="16"/>
                <w:szCs w:val="16"/>
                <w:b w:val="1"/>
                <w:bCs w:val="1"/>
                <w:color w:val="auto"/>
                <w:w w:val="98"/>
              </w:rPr>
              <w:t>Variance</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60" w:type="dxa"/>
            <w:vAlign w:val="bottom"/>
            <w:gridSpan w:val="3"/>
          </w:tcPr>
          <w:p>
            <w:pPr>
              <w:jc w:val="right"/>
              <w:ind w:right="219"/>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10,613,653</w:t>
            </w:r>
          </w:p>
        </w:tc>
        <w:tc>
          <w:tcPr>
            <w:tcW w:w="2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11,385,961</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(772,308)</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74,551</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185,198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(110,647)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10,688,204</w:t>
            </w: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11,571,159</w:t>
            </w:r>
          </w:p>
        </w:tc>
        <w:tc>
          <w:tcPr>
            <w:tcW w:w="2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(882,955)</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gridSpan w:val="2"/>
          </w:tcPr>
          <w:p>
            <w:pPr>
              <w:jc w:val="right"/>
              <w:ind w:right="60"/>
              <w:spacing w:after="0" w:line="183"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6,546,506</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6,977,628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(431,122)</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61.7 %</w:t>
            </w:r>
          </w:p>
        </w:tc>
        <w:tc>
          <w:tcPr>
            <w:tcW w:w="2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61.3 %</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80,271</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91,164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(10,893)</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1,075,962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1,414,808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(338,846)</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10.1 %</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12.2 %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337,331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381,292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(43,961)</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 of long-lived assets and goodwill</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(6,457)</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8,040,070</w:t>
            </w: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8,871,349</w:t>
            </w:r>
          </w:p>
        </w:tc>
        <w:tc>
          <w:tcPr>
            <w:tcW w:w="2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(831,279)</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gridSpan w:val="2"/>
          </w:tcPr>
          <w:p>
            <w:pPr>
              <w:jc w:val="right"/>
              <w:ind w:right="60"/>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2,648,134</w:t>
            </w:r>
          </w:p>
        </w:tc>
        <w:tc>
          <w:tcPr>
            <w:tcW w:w="24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2,699,810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(51,676)</w:t>
            </w: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69"/>
        </w:trPr>
        <w:tc>
          <w:tcPr>
            <w:tcW w:w="4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7.778</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(0.748)</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5.686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6.471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(0.785)</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220" w:type="dxa"/>
            <w:vAlign w:val="bottom"/>
          </w:tcPr>
          <w:p>
            <w:pPr>
              <w:spacing w:after="0"/>
              <w:rPr>
                <w:sz w:val="16"/>
                <w:szCs w:val="16"/>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(0.748)</w:t>
            </w:r>
          </w:p>
        </w:tc>
        <w:tc>
          <w:tcPr>
            <w:tcW w:w="2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0.476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(0.785)</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(0.945)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0.037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(0.279)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0.316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ARPU</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108.90</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0.282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0.464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(0.182)</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churn rate</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color w:val="auto"/>
              </w:rPr>
              <w:t>%</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xml:space="preserve">1.69 </w:t>
            </w:r>
            <w:r>
              <w:rPr>
                <w:rFonts w:ascii="Arial" w:cs="Arial" w:eastAsia="Arial" w:hAnsi="Arial"/>
                <w:sz w:val="16"/>
                <w:szCs w:val="16"/>
                <w:b w:val="1"/>
                <w:bCs w:val="1"/>
                <w:color w:val="auto"/>
              </w:rPr>
              <w:t>%</w:t>
            </w:r>
          </w:p>
        </w:tc>
        <w:tc>
          <w:tcPr>
            <w:tcW w:w="100" w:type="dxa"/>
            <w:vAlign w:val="bottom"/>
            <w:shd w:val="clear" w:color="auto" w:fill="CCEEFF"/>
          </w:tcPr>
          <w:p>
            <w:pPr>
              <w:spacing w:after="0"/>
              <w:rPr>
                <w:sz w:val="16"/>
                <w:szCs w:val="16"/>
                <w:color w:val="auto"/>
              </w:rPr>
            </w:pPr>
          </w:p>
        </w:tc>
        <w:tc>
          <w:tcPr>
            <w:tcW w:w="15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(0.23)</w:t>
            </w:r>
            <w:r>
              <w:rPr>
                <w:rFonts w:ascii="Arial" w:cs="Arial" w:eastAsia="Arial" w:hAnsi="Arial"/>
                <w:sz w:val="16"/>
                <w:szCs w:val="16"/>
                <w:b w:val="1"/>
                <w:bCs w:val="1"/>
                <w:color w:val="auto"/>
              </w:rPr>
              <w:t>%</w:t>
            </w:r>
            <w:r>
              <w:rPr>
                <w:rFonts w:ascii="Arial" w:cs="Arial" w:eastAsia="Arial" w:hAnsi="Arial"/>
                <w:sz w:val="16"/>
                <w:szCs w:val="16"/>
                <w:color w:val="auto"/>
              </w:rPr>
              <w:t xml:space="preserve">  (13.6)</w:t>
            </w: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DISH TV SAC</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999</w:t>
            </w:r>
          </w:p>
        </w:tc>
        <w:tc>
          <w:tcPr>
            <w:tcW w:w="2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1,118</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172,309</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242,736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(70,427)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5"/>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2,985,465</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3,081,102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(95,637)</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299" w:hanging="330"/>
        <w:spacing w:after="0" w:line="250"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the years ended December 31, 2024 and 2023 of $74 million and $105 million, respectively.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219"/>
        <w:spacing w:after="0" w:line="251" w:lineRule="auto"/>
        <w:rPr>
          <w:sz w:val="20"/>
          <w:szCs w:val="20"/>
          <w:color w:val="auto"/>
        </w:rPr>
      </w:pPr>
      <w:r>
        <w:rPr>
          <w:rFonts w:ascii="Arial" w:cs="Arial" w:eastAsia="Arial" w:hAnsi="Arial"/>
          <w:sz w:val="17"/>
          <w:szCs w:val="17"/>
          <w:b w:val="1"/>
          <w:bCs w:val="1"/>
          <w:i w:val="1"/>
          <w:iCs w:val="1"/>
          <w:color w:val="auto"/>
        </w:rPr>
        <w:t>DISH TV subscribers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lost approximately 785,000 net DISH TV subscribers during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2024 compared to the loss of approximately 945,000 net DISH TV subscribers during the same</w:t>
      </w:r>
    </w:p>
    <w:p>
      <w:pPr>
        <w:spacing w:after="0" w:line="1"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color w:val="auto"/>
        </w:rPr>
        <w:t>period in 2023. This decrease in net DISH TV subscriber losses primarily resulted from a lower DISH TV churn rate, partially offset by lower gross new DISH TV subscriber activations.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SLING TV subscribers. </w:t>
      </w:r>
      <w:r>
        <w:rPr>
          <w:rFonts w:ascii="Arial" w:cs="Arial" w:eastAsia="Arial" w:hAnsi="Arial"/>
          <w:sz w:val="18"/>
          <w:szCs w:val="18"/>
          <w:color w:val="auto"/>
        </w:rPr>
        <w:t>We added approximately 37,000 net SLING TV subscribers during the year ended</w:t>
      </w:r>
    </w:p>
    <w:p>
      <w:pPr>
        <w:spacing w:after="0" w:line="14" w:lineRule="exact"/>
        <w:rPr>
          <w:sz w:val="20"/>
          <w:szCs w:val="20"/>
          <w:color w:val="auto"/>
        </w:rPr>
      </w:pPr>
    </w:p>
    <w:p>
      <w:pPr>
        <w:ind w:left="60" w:right="119"/>
        <w:spacing w:after="0"/>
        <w:rPr>
          <w:sz w:val="20"/>
          <w:szCs w:val="20"/>
          <w:color w:val="auto"/>
        </w:rPr>
      </w:pPr>
      <w:r>
        <w:rPr>
          <w:rFonts w:ascii="Arial" w:cs="Arial" w:eastAsia="Arial" w:hAnsi="Arial"/>
          <w:sz w:val="17"/>
          <w:szCs w:val="17"/>
          <w:color w:val="auto"/>
        </w:rPr>
        <w:t>December 31, 2024 compared to the loss of approximately 279,000 net SLING TV subscribers during the same period in 2023. The change in net SLING TV subscribers was primarily related to lower SLING TV subscriber</w:t>
      </w:r>
    </w:p>
    <w:p>
      <w:pPr>
        <w:ind w:left="60"/>
        <w:spacing w:after="0" w:line="235" w:lineRule="auto"/>
        <w:rPr>
          <w:sz w:val="20"/>
          <w:szCs w:val="20"/>
          <w:color w:val="auto"/>
        </w:rPr>
      </w:pPr>
      <w:r>
        <w:rPr>
          <w:rFonts w:ascii="Arial" w:cs="Arial" w:eastAsia="Arial" w:hAnsi="Arial"/>
          <w:sz w:val="18"/>
          <w:szCs w:val="18"/>
          <w:color w:val="auto"/>
        </w:rPr>
        <w:t>disconnects in 2024 due to our emphasis on acquiring higher quality subscribers, partially offset by lower</w:t>
      </w:r>
    </w:p>
    <w:p>
      <w:pPr>
        <w:ind w:left="60" w:right="159"/>
        <w:spacing w:after="0"/>
        <w:rPr>
          <w:sz w:val="20"/>
          <w:szCs w:val="20"/>
          <w:color w:val="auto"/>
        </w:rPr>
      </w:pPr>
      <w:r>
        <w:rPr>
          <w:rFonts w:ascii="Arial" w:cs="Arial" w:eastAsia="Arial" w:hAnsi="Arial"/>
          <w:sz w:val="17"/>
          <w:szCs w:val="17"/>
          <w:color w:val="auto"/>
        </w:rPr>
        <w:t>SLING TV subscriber activations. We continue to experience increased competition, including competition from other subscription video on-demand and live-linear OTT service providers, many of which are providers of our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content and offer football and other seasonal sports programming direct to subscribers on an a la carte basis.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b w:val="1"/>
          <w:bCs w:val="1"/>
          <w:i w:val="1"/>
          <w:iCs w:val="1"/>
          <w:color w:val="auto"/>
        </w:rPr>
        <w:t xml:space="preserve">DISH TV subscribers, gross. </w:t>
      </w:r>
      <w:r>
        <w:rPr>
          <w:rFonts w:ascii="Arial" w:cs="Arial" w:eastAsia="Arial" w:hAnsi="Arial"/>
          <w:sz w:val="18"/>
          <w:szCs w:val="18"/>
          <w:color w:val="auto"/>
        </w:rPr>
        <w:t>During the year ended December 31, 2024, we activated approximately 282,000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new DISH TV subscribers compared to approximately 464,000 gross new DISH TV subscribers during the same period in 2023, a decrease of 39.2%.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b w:val="1"/>
          <w:bCs w:val="1"/>
          <w:i w:val="1"/>
          <w:iCs w:val="1"/>
          <w:color w:val="auto"/>
        </w:rPr>
        <w:t>DISH TV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DISH TV churn rate for the year ended December 31, 2024 was 1.46%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1.69% for the same period in 2023. Our DISH TV churn rate for the year ended December 31, 2024 was positively impacted by our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 In addition, our DISH TV churn rate for the year ended December 31, 2023 was briefly elevated due to a cybersecurity incident in the first quarter of 2023.</w:t>
      </w:r>
    </w:p>
    <w:p>
      <w:pPr>
        <w:spacing w:after="0" w:line="17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1"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167"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$ 10.614 billion for the year ended December 31,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$ 772 million or 6.8% compared to the same period in 2023. The decrease in “Service revenue” compared to the same period in 2023 was primarily related to lower average Pay-TV subscriber base, partially offset by an increase in Pay-TV ARPU, discussed below.</w:t>
      </w:r>
    </w:p>
    <w:p>
      <w:pPr>
        <w:spacing w:after="0" w:line="16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$75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2024, a decrease of $111 million or 59.7% compared to the same period in 2023. The decrease in “Equipment sales and other revenue” compared to the same period in 2023 was primarily related to a non-recurring $ 75 million license of our Adaptive Bitrate Streaming patents to Peloton covering certain Peloton products that resolves our litigation involving those products during the second quarter of 2023</w:t>
      </w:r>
      <w:r>
        <w:rPr>
          <w:rFonts w:ascii="Arial" w:cs="Arial" w:eastAsia="Arial" w:hAnsi="Arial"/>
          <w:sz w:val="18"/>
          <w:szCs w:val="18"/>
          <w:color w:val="222222"/>
        </w:rPr>
        <w:t>.</w:t>
      </w:r>
    </w:p>
    <w:p>
      <w:pPr>
        <w:spacing w:after="0" w:line="163"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$108.90 during the year ended December 31, 2024 versus $104.56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2023. The $4.34 or 4.2% increase in Pay-TV ARPU was primarily attributable to DISH TV and SLING TV programming price increases and higher Pay-TV ad sales revenue. The DISH TV and SLING TV programming package price increases were effective in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totaled $ 6.547 billion during the year ended December 31, 2024,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decrease of $ 431 million or 6.2% compared to the same period in 2023. The decrease in “Cost of services” was primarily attributable to a lower average Pay-TV subscriber base and lower variable and retention costs per subscriber due to, among other things, operational efficiencies, partially offset by higher programming costs per subscriber. Programming costs per subscriber increased during the year ended December 31, 2024 due to rate increases in certain of our programming contracts, including the renewal of certain contracts at higher rates, particularly for local broadcast channels. Variable and retention costs per subscriber during the year ended December 31, 2023 were negatively impacted by </w:t>
      </w:r>
      <w:r>
        <w:rPr>
          <w:rFonts w:ascii="Arial" w:cs="Arial" w:eastAsia="Arial" w:hAnsi="Arial"/>
          <w:sz w:val="17"/>
          <w:szCs w:val="17"/>
          <w:color w:val="222222"/>
        </w:rPr>
        <w:t>approximately $30 million in cybersecurity-related expenses</w:t>
      </w:r>
      <w:r>
        <w:rPr>
          <w:rFonts w:ascii="Arial" w:cs="Arial" w:eastAsia="Arial" w:hAnsi="Arial"/>
          <w:sz w:val="17"/>
          <w:szCs w:val="17"/>
          <w:color w:val="auto"/>
        </w:rPr>
        <w:t xml:space="preserve"> to remediate a </w:t>
      </w:r>
      <w:r>
        <w:rPr>
          <w:rFonts w:ascii="Arial" w:cs="Arial" w:eastAsia="Arial" w:hAnsi="Arial"/>
          <w:sz w:val="17"/>
          <w:szCs w:val="17"/>
          <w:color w:val="222222"/>
        </w:rPr>
        <w:t>cybersecurity</w:t>
      </w:r>
      <w:r>
        <w:rPr>
          <w:rFonts w:ascii="Arial" w:cs="Arial" w:eastAsia="Arial" w:hAnsi="Arial"/>
          <w:sz w:val="17"/>
          <w:szCs w:val="17"/>
          <w:color w:val="auto"/>
        </w:rPr>
        <w:t xml:space="preserve"> incident and provide additional customer support. “Cost of services” represented 61.7% and 61.3% of “Service revenue” during the years ended December 31, 2024 and 2023, respectively.</w:t>
      </w:r>
    </w:p>
    <w:p>
      <w:pPr>
        <w:spacing w:after="0" w:line="159"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5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$1.076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during the year ended December 31, 2024, a $339 million or 23.9% decrease compared to the same period in 2023. This change was primarily driven by a decrease in subscriber acquisition costs resulting from lower marketing expenditures and lower gross new DISH TV subscriber activations and a decrease in personnel costs.</w:t>
      </w:r>
    </w:p>
    <w:p>
      <w:pPr>
        <w:spacing w:after="0" w:line="163"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$337 million during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2024, a $44 million or 11.5% decrease compared to the same period in 2023. This change was primarily driven by a decrease in depreciation expense from equipment leased to new and existing DISH TV subscribers, the expiration of our Nimiq 5 finance lease in September 2024, and the EchoStar XI satellite which became fully depreciated during the second quarter of 2023.</w:t>
      </w:r>
    </w:p>
    <w:p>
      <w:pPr>
        <w:spacing w:after="0" w:line="163"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b w:val="1"/>
          <w:bCs w:val="1"/>
          <w:i w:val="1"/>
          <w:iCs w:val="1"/>
          <w:color w:val="auto"/>
        </w:rPr>
        <w:t xml:space="preserve">Impairment of long-lived assets and goodwill. </w:t>
      </w:r>
      <w:r>
        <w:rPr>
          <w:rFonts w:ascii="Arial" w:cs="Arial" w:eastAsia="Arial" w:hAnsi="Arial"/>
          <w:sz w:val="18"/>
          <w:szCs w:val="18"/>
          <w:i w:val="1"/>
          <w:iCs w:val="1"/>
          <w:color w:val="auto"/>
        </w:rPr>
        <w:t>“</w:t>
      </w:r>
      <w:r>
        <w:rPr>
          <w:rFonts w:ascii="Arial" w:cs="Arial" w:eastAsia="Arial" w:hAnsi="Arial"/>
          <w:sz w:val="18"/>
          <w:szCs w:val="18"/>
          <w:color w:val="auto"/>
        </w:rPr>
        <w:t>Impairment of long-lived assets and goodwill” totaled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2023. This impairment represents a noncash impairment charge for goodwill. See Note 2 to the Notes to our Consolidated Financial Statements in this Annual Report on Form 10-K for further information.</w:t>
      </w:r>
    </w:p>
    <w:p>
      <w:pPr>
        <w:spacing w:after="0" w:line="16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$ 999 during the year ended December 31, 2024 compared to $ 1,118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2023, a decrease of $119 or 10.6%. This change was primarily attributable to a decrease in advertising costs per subscriber and a higher percentage of remanufactured receivers being activated on new subscriber accounts, partially offset by higher commission costs due to our emphasis on acquiring higher quality subscribers.</w:t>
      </w:r>
    </w:p>
    <w:p>
      <w:pPr>
        <w:spacing w:after="0" w:line="16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During the years ended December 31, 2024 and 2023, the amount of equipment capitalized under our lease program for new DISH TV subscribers totaled $26 million and $54 million, respectively. This decrease in capital expenditures primarily resulted from a decrease in gross new DISH TV subscriber activations and a higher percentage of remanufactured receivers being activated on new subscriber accounts.</w:t>
      </w:r>
    </w:p>
    <w:p>
      <w:pPr>
        <w:spacing w:after="0" w:line="16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63"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Our “DISH TV SAC” may materially increase in the future to the extent that we, among other things, transition to newer technologies, introduce more aggressive promotions or provide greater equipment subsidies.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2023 Compared to the Year Ended December 31, 2022.</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vMerge w:val="restart"/>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6"/>
                <w:szCs w:val="16"/>
                <w:b w:val="1"/>
                <w:bCs w:val="1"/>
                <w:color w:val="auto"/>
              </w:rPr>
              <w:t>For the Years Ended December 31,</w:t>
            </w:r>
          </w:p>
        </w:tc>
        <w:tc>
          <w:tcPr>
            <w:tcW w:w="100" w:type="dxa"/>
            <w:vAlign w:val="bottom"/>
          </w:tcPr>
          <w:p>
            <w:pPr>
              <w:spacing w:after="0"/>
              <w:rPr>
                <w:sz w:val="18"/>
                <w:szCs w:val="18"/>
                <w:color w:val="auto"/>
              </w:rPr>
            </w:pPr>
          </w:p>
        </w:tc>
        <w:tc>
          <w:tcPr>
            <w:tcW w:w="1020" w:type="dxa"/>
            <w:vAlign w:val="bottom"/>
            <w:gridSpan w:val="3"/>
          </w:tcPr>
          <w:p>
            <w:pPr>
              <w:ind w:left="340"/>
              <w:spacing w:after="0"/>
              <w:rPr>
                <w:sz w:val="20"/>
                <w:szCs w:val="20"/>
                <w:color w:val="auto"/>
              </w:rPr>
            </w:pPr>
            <w:r>
              <w:rPr>
                <w:rFonts w:ascii="Arial" w:cs="Arial" w:eastAsia="Arial" w:hAnsi="Arial"/>
                <w:sz w:val="16"/>
                <w:szCs w:val="16"/>
                <w:b w:val="1"/>
                <w:bCs w:val="1"/>
                <w:color w:val="auto"/>
                <w:w w:val="98"/>
              </w:rPr>
              <w:t>Variance</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gridSpan w:val="3"/>
          </w:tcPr>
          <w:p>
            <w:pPr>
              <w:jc w:val="right"/>
              <w:ind w:right="219"/>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11,385,961</w:t>
            </w:r>
          </w:p>
        </w:tc>
        <w:tc>
          <w:tcPr>
            <w:tcW w:w="2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12,360,601</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(974,640)</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185,198</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144,791</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40,407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11,571,159</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12,505,392</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(934,233)</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gridSpan w:val="2"/>
          </w:tcPr>
          <w:p>
            <w:pPr>
              <w:jc w:val="right"/>
              <w:ind w:right="60"/>
              <w:spacing w:after="0" w:line="18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6,977,628</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7,423,427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(445,799)</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61.3 %</w:t>
            </w:r>
          </w:p>
        </w:tc>
        <w:tc>
          <w:tcPr>
            <w:tcW w:w="2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60.1 %</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91,164</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97,315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(6,151)</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1,414,808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1,622,281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(207,473)</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12.2 %</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13.0 %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381,292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428,471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(47,179)</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 of long-lived assets and goodwill</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6,457</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8,871,349</w:t>
            </w: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9,571,494</w:t>
            </w:r>
          </w:p>
        </w:tc>
        <w:tc>
          <w:tcPr>
            <w:tcW w:w="2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(700,145)</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gridSpan w:val="2"/>
          </w:tcPr>
          <w:p>
            <w:pPr>
              <w:jc w:val="right"/>
              <w:ind w:right="60"/>
              <w:spacing w:after="0" w:line="183"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2,699,810</w:t>
            </w:r>
          </w:p>
        </w:tc>
        <w:tc>
          <w:tcPr>
            <w:tcW w:w="24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2,933,898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(234,088)</w:t>
            </w: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69"/>
        </w:trPr>
        <w:tc>
          <w:tcPr>
            <w:tcW w:w="4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8.526</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(1.224)</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6.471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7.416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(0.945)</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(0.279)</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240" w:type="dxa"/>
            <w:vAlign w:val="bottom"/>
          </w:tcPr>
          <w:p>
            <w:pPr>
              <w:spacing w:after="0"/>
              <w:rPr>
                <w:sz w:val="16"/>
                <w:szCs w:val="16"/>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color w:val="auto"/>
              </w:rPr>
              <w:t>(1.224)</w:t>
            </w:r>
          </w:p>
        </w:tc>
        <w:tc>
          <w:tcPr>
            <w:tcW w:w="2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(0.957)</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(0.267)</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(0.945)</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(0.805)</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(0.140)</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240" w:type="dxa"/>
            <w:vAlign w:val="bottom"/>
          </w:tcPr>
          <w:p>
            <w:pPr>
              <w:spacing w:after="0"/>
              <w:rPr>
                <w:sz w:val="16"/>
                <w:szCs w:val="16"/>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color w:val="auto"/>
              </w:rPr>
              <w:t>(0.279)</w:t>
            </w:r>
          </w:p>
        </w:tc>
        <w:tc>
          <w:tcPr>
            <w:tcW w:w="2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(0.152)</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(0.127)</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ARPU</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104.56</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0.464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0.634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(0.170)</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churn rate</w:t>
            </w: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xml:space="preserve">1.69 </w:t>
            </w:r>
            <w:r>
              <w:rPr>
                <w:rFonts w:ascii="Arial" w:cs="Arial" w:eastAsia="Arial" w:hAnsi="Arial"/>
                <w:sz w:val="16"/>
                <w:szCs w:val="16"/>
                <w:b w:val="1"/>
                <w:bCs w:val="1"/>
                <w:color w:val="auto"/>
              </w:rPr>
              <w:t>%</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xml:space="preserve">0.15 </w:t>
            </w: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DISH TV SAC</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1,118</w:t>
            </w:r>
          </w:p>
        </w:tc>
        <w:tc>
          <w:tcPr>
            <w:tcW w:w="2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1,044</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242,736</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131,093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111,643</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3,081,102</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3,362,369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(281,267)</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-15875</wp:posOffset>
            </wp:positionV>
            <wp:extent cx="564896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spacing w:after="0" w:line="125" w:lineRule="exact"/>
        <w:rPr>
          <w:sz w:val="20"/>
          <w:szCs w:val="20"/>
          <w:color w:val="auto"/>
        </w:rPr>
      </w:pPr>
    </w:p>
    <w:p>
      <w:pPr>
        <w:ind w:left="380" w:hanging="330"/>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299" w:hanging="330"/>
        <w:spacing w:after="0" w:line="250"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the years ended December 31, 2023 and 2022 of $105 million and zero, respectively.</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219"/>
        <w:spacing w:after="0" w:line="251" w:lineRule="auto"/>
        <w:rPr>
          <w:sz w:val="20"/>
          <w:szCs w:val="20"/>
          <w:color w:val="auto"/>
        </w:rPr>
      </w:pPr>
      <w:r>
        <w:rPr>
          <w:rFonts w:ascii="Arial" w:cs="Arial" w:eastAsia="Arial" w:hAnsi="Arial"/>
          <w:sz w:val="17"/>
          <w:szCs w:val="17"/>
          <w:b w:val="1"/>
          <w:bCs w:val="1"/>
          <w:i w:val="1"/>
          <w:iCs w:val="1"/>
          <w:color w:val="auto"/>
        </w:rPr>
        <w:t>DISH TV subscribers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lost approximately 945,000 net DISH TV subscribers during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2023 compared to the loss of approximately 805,000 net DISH TV subscribers during the same</w:t>
      </w:r>
    </w:p>
    <w:p>
      <w:pPr>
        <w:spacing w:after="0" w:line="1" w:lineRule="exact"/>
        <w:rPr>
          <w:sz w:val="20"/>
          <w:szCs w:val="20"/>
          <w:color w:val="auto"/>
        </w:rPr>
      </w:pPr>
    </w:p>
    <w:p>
      <w:pPr>
        <w:ind w:left="60" w:right="259"/>
        <w:spacing w:after="0" w:line="250" w:lineRule="auto"/>
        <w:rPr>
          <w:sz w:val="20"/>
          <w:szCs w:val="20"/>
          <w:color w:val="auto"/>
        </w:rPr>
      </w:pPr>
      <w:r>
        <w:rPr>
          <w:rFonts w:ascii="Arial" w:cs="Arial" w:eastAsia="Arial" w:hAnsi="Arial"/>
          <w:sz w:val="18"/>
          <w:szCs w:val="18"/>
          <w:color w:val="auto"/>
        </w:rPr>
        <w:t>period in 2022. This increase in net DISH TV subscriber losses primarily resulted from lower gross new DISH TV subscriber activations and a higher DISH TV churn rate.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SLING TV subscribers. </w:t>
      </w:r>
      <w:r>
        <w:rPr>
          <w:rFonts w:ascii="Arial" w:cs="Arial" w:eastAsia="Arial" w:hAnsi="Arial"/>
          <w:sz w:val="18"/>
          <w:szCs w:val="18"/>
          <w:color w:val="auto"/>
        </w:rPr>
        <w:t>We lost approximately 279,000 net SLING TV subscribers during the year ended</w:t>
      </w:r>
    </w:p>
    <w:p>
      <w:pPr>
        <w:spacing w:after="0" w:line="14" w:lineRule="exact"/>
        <w:rPr>
          <w:sz w:val="20"/>
          <w:szCs w:val="20"/>
          <w:color w:val="auto"/>
        </w:rPr>
      </w:pPr>
    </w:p>
    <w:p>
      <w:pPr>
        <w:ind w:left="60" w:right="119"/>
        <w:spacing w:after="0"/>
        <w:rPr>
          <w:sz w:val="20"/>
          <w:szCs w:val="20"/>
          <w:color w:val="auto"/>
        </w:rPr>
      </w:pPr>
      <w:r>
        <w:rPr>
          <w:rFonts w:ascii="Arial" w:cs="Arial" w:eastAsia="Arial" w:hAnsi="Arial"/>
          <w:sz w:val="17"/>
          <w:szCs w:val="17"/>
          <w:color w:val="auto"/>
        </w:rPr>
        <w:t>December 31, 2023 compared to the loss of approximately 152,000 net SLING TV subscribers during the same period in 2022. The increase in net SLING TV subscriber losses were primarily related to lower SLING TV</w:t>
      </w:r>
    </w:p>
    <w:p>
      <w:pPr>
        <w:ind w:left="60"/>
        <w:spacing w:after="0" w:line="235" w:lineRule="auto"/>
        <w:rPr>
          <w:sz w:val="20"/>
          <w:szCs w:val="20"/>
          <w:color w:val="auto"/>
        </w:rPr>
      </w:pPr>
      <w:r>
        <w:rPr>
          <w:rFonts w:ascii="Arial" w:cs="Arial" w:eastAsia="Arial" w:hAnsi="Arial"/>
          <w:sz w:val="18"/>
          <w:szCs w:val="18"/>
          <w:color w:val="auto"/>
        </w:rPr>
        <w:t>subscriber activations, partially offset by lower SLING TV subscriber disconnects in 2023. We continue to</w:t>
      </w:r>
    </w:p>
    <w:p>
      <w:pPr>
        <w:ind w:left="60" w:right="239"/>
        <w:spacing w:after="0"/>
        <w:rPr>
          <w:sz w:val="20"/>
          <w:szCs w:val="20"/>
          <w:color w:val="auto"/>
        </w:rPr>
      </w:pPr>
      <w:r>
        <w:rPr>
          <w:rFonts w:ascii="Arial" w:cs="Arial" w:eastAsia="Arial" w:hAnsi="Arial"/>
          <w:sz w:val="17"/>
          <w:szCs w:val="17"/>
          <w:color w:val="auto"/>
        </w:rPr>
        <w:t>experience increased competition, including competition from other subscription video on-demand and live-linear OTT service providers, many of which are providers of our content and offer football and other seasonal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sports programming direct to subscribers on an a la carte basis.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b w:val="1"/>
          <w:bCs w:val="1"/>
          <w:i w:val="1"/>
          <w:iCs w:val="1"/>
          <w:color w:val="auto"/>
        </w:rPr>
        <w:t xml:space="preserve">DISH TV subscribers, gross. </w:t>
      </w:r>
      <w:r>
        <w:rPr>
          <w:rFonts w:ascii="Arial" w:cs="Arial" w:eastAsia="Arial" w:hAnsi="Arial"/>
          <w:sz w:val="18"/>
          <w:szCs w:val="18"/>
          <w:color w:val="auto"/>
        </w:rPr>
        <w:t>During the year ended December 31, 2023, we activated approximately 464,000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new DISH TV subscribers compared to approximately 634,000 gross new DISH TV subscribers during the same period in 2022, a decrease of 26.8%. This decrease in our gross new DISH TV subscriber activations was primarily related to the lack of demand, shifting consumer behavior, and lower marketing expenditures,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b w:val="1"/>
          <w:bCs w:val="1"/>
          <w:i w:val="1"/>
          <w:iCs w:val="1"/>
          <w:color w:val="auto"/>
        </w:rPr>
        <w:t>DISH TV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DISH TV churn rate for the year ended December 31, 2023 was 1.69%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1.54% for the same period in 2022. Our DISH TV churn rate for the year ended December 31, 2023 was briefly elevated due to the cybersecurity incident.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continues to be positively impacted by our emphasis on acquiring and retaining higher quality subscribers.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66"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$ 11.386 billion for the year ended December 31, 2023,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$ 975 million or 7.9% compared to the same period in 2022. The decrease in “Service revenue” compared to the same period in 2022 was primarily related to a lower average Pay-TV subscriber base, partially offset by an increase in Pay-TV ARPU, discussed below.</w:t>
      </w:r>
    </w:p>
    <w:p>
      <w:pPr>
        <w:spacing w:after="0" w:line="16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$ 185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2023, an increase of $40 million or 27.9% compared to the same period in 2022. The increase in “Equipment sales and other revenue” compared to the same period in 2022 was primarily related to a non-recurring $ 75 million license of our Adaptive Bitrate Streaming patents to Peloton covering certain Peloton products that resolves our litigation involving those products, partially offset by a decrease in equipment sales revenue.</w:t>
      </w:r>
    </w:p>
    <w:p>
      <w:pPr>
        <w:spacing w:after="0" w:line="16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$104.56 during the year ended December 31, 2023 versus $101.20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2022. The $3.36 or 3.3% increase in Pay-TV ARPU was primarily attributable to DISH TV and SLING TV programming price increases. The DISH TV and SLING TV programming package price increases were effective in the fourth quarter of 2022 and 2023.</w:t>
      </w:r>
    </w:p>
    <w:p>
      <w:pPr>
        <w:spacing w:after="0" w:line="16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$ 6.978 billion during the year ended December 31, 2023,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$ 446 million or 6.0% compared to the same period in 2022. The decrease in “Cost of services” was primarily attributable to a lower average Pay-TV subscriber base, partially offset by higher programming costs per subscriber and higher variable and retention costs per subscriber. Programming costs per subscriber increased during the year ended December 31, 2023 due to rate increases in certain of our programming contracts, including the renewal of certain contracts at higher rates, particularly for local broadcast channels. In addition, variable and retention costs per subscriber increased during the year ended December 31, 2023 due to, among other things, approximately $30 million in cybersecurity-related expenses to remediate the incident and provide additional customer support. “Cost of services” represented 61.3% and 60.1% of “Service revenue” during the years ended December 31, 2023 and 2022, respectively.</w:t>
      </w:r>
    </w:p>
    <w:p>
      <w:pPr>
        <w:spacing w:after="0" w:line="16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$1.415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during the year ended December 31, 2023, a $207 million or 12.8% decrease compared to the same period in 2022. This change was primarily driven by a decrease in subscriber acquisition costs resulting from lower marketing expenditures and lower gross new DISH TV subscriber activations, and a decrease in personnel costs, partially offset by Merger related costs.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99"/>
        <w:spacing w:after="0" w:line="266"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totaled $381 million during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2023, a $47 million or 11.0% decrease compared to the same period in 2022. This change was primarily driven by a decrease in depreciation expense from equipment leased to new and existing DISH TV subscribers and the EchoStar XI satellite which became fully depreciated during the second quarter of 2023.</w:t>
      </w:r>
    </w:p>
    <w:p>
      <w:pPr>
        <w:spacing w:after="0" w:line="14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b w:val="1"/>
          <w:bCs w:val="1"/>
          <w:i w:val="1"/>
          <w:iCs w:val="1"/>
          <w:color w:val="auto"/>
        </w:rPr>
        <w:t xml:space="preserve">Impairment of long-lived assets and goodwill. </w:t>
      </w:r>
      <w:r>
        <w:rPr>
          <w:rFonts w:ascii="Arial" w:cs="Arial" w:eastAsia="Arial" w:hAnsi="Arial"/>
          <w:sz w:val="18"/>
          <w:szCs w:val="18"/>
          <w:i w:val="1"/>
          <w:iCs w:val="1"/>
          <w:color w:val="auto"/>
        </w:rPr>
        <w:t>“</w:t>
      </w:r>
      <w:r>
        <w:rPr>
          <w:rFonts w:ascii="Arial" w:cs="Arial" w:eastAsia="Arial" w:hAnsi="Arial"/>
          <w:sz w:val="18"/>
          <w:szCs w:val="18"/>
          <w:color w:val="auto"/>
        </w:rPr>
        <w:t>Impairment of long-lived assets and goodwill” totaled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2023. This impairment represents a noncash impairment charge for goodwill. See Note 2 to the Notes to our Consolidated Financial Statements in this Annual Report on Form 10-K for further information.</w:t>
      </w:r>
    </w:p>
    <w:p>
      <w:pPr>
        <w:spacing w:after="0" w:line="160" w:lineRule="exact"/>
        <w:rPr>
          <w:sz w:val="20"/>
          <w:szCs w:val="20"/>
          <w:color w:val="auto"/>
        </w:rPr>
      </w:pPr>
    </w:p>
    <w:p>
      <w:pPr>
        <w:jc w:val="both"/>
        <w:ind w:left="60" w:right="519"/>
        <w:spacing w:after="0" w:line="244"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$1,118 during the year ended December 31, 2023 compared to $1,044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2022, an increase of $74 or 7.1%. This change was primarily attributable to an increase in advertising costs per subscriber, higher installation costs due to an increase in labor and other installation costs, and a lower percentage of remanufactured receivers being activated on new subscriber accounts.</w:t>
      </w:r>
    </w:p>
    <w:p>
      <w:pPr>
        <w:spacing w:after="0" w:line="163"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During the years ended December 31, 2023 and 2022, the amount of equipment capitalized under our lease program for new DISH TV subscribers totaled $54 million and $55 million, respectively.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Wireless Segment</w:t>
      </w:r>
    </w:p>
    <w:p>
      <w:pPr>
        <w:spacing w:after="0" w:line="198"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Our Wireless segment business strategy is to expand our current target segments and profitably grow our Wireless subscriber base and commercialize and grow customer traffic on our 5G Network. We intend to grow our Wireless subscriber base by acquiring and retaining high quality subscribers with competitive offers, choice and outstanding customer service that better meet those subscribers’ needs and budget.</w:t>
      </w:r>
    </w:p>
    <w:p>
      <w:pPr>
        <w:spacing w:after="0" w:line="16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 xml:space="preserve">Our Wireless segment provides Wireless communication services and products. We currently offer our Wireless services for </w:t>
      </w:r>
      <w:r>
        <w:rPr>
          <w:rFonts w:ascii="Arial" w:cs="Arial" w:eastAsia="Arial" w:hAnsi="Arial"/>
          <w:sz w:val="18"/>
          <w:szCs w:val="18"/>
          <w:color w:val="0A0A0A"/>
        </w:rPr>
        <w:t>5G VoNR</w:t>
      </w:r>
      <w:r>
        <w:rPr>
          <w:rFonts w:ascii="Arial" w:cs="Arial" w:eastAsia="Arial" w:hAnsi="Arial"/>
          <w:sz w:val="18"/>
          <w:szCs w:val="18"/>
          <w:color w:val="auto"/>
        </w:rPr>
        <w:t xml:space="preserve"> to over 220 million Americans and for 5G broadband service to over 268 million Americans, as well as a competitive portfolio of wireless devices.</w:t>
      </w:r>
    </w:p>
    <w:p>
      <w:pPr>
        <w:spacing w:after="0" w:line="155" w:lineRule="exact"/>
        <w:rPr>
          <w:sz w:val="20"/>
          <w:szCs w:val="20"/>
          <w:color w:val="auto"/>
        </w:rPr>
      </w:pPr>
    </w:p>
    <w:p>
      <w:pPr>
        <w:ind w:left="60" w:right="159" w:hanging="7"/>
        <w:spacing w:after="0" w:line="247" w:lineRule="auto"/>
        <w:rPr>
          <w:sz w:val="20"/>
          <w:szCs w:val="20"/>
          <w:color w:val="auto"/>
        </w:rPr>
      </w:pPr>
      <w:r>
        <w:rPr>
          <w:rFonts w:ascii="Arial" w:cs="Arial" w:eastAsia="Arial" w:hAnsi="Arial"/>
          <w:sz w:val="18"/>
          <w:szCs w:val="18"/>
          <w:color w:val="auto"/>
        </w:rPr>
        <w:t>We offer nationwide Wireless services to subscribers primarily under our Boost Mobile and Gen Mobile brands. Prepaid Wireless subscribers generally pay in advance for monthly access to wireless talk, text and data services. Postpaid Wireless subscribers are qualified to pay after receiving wireless talk, text and data services and may also qualify for certain device financing arrangements.</w:t>
      </w:r>
    </w:p>
    <w:p>
      <w:pPr>
        <w:spacing w:after="0" w:line="160"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i w:val="1"/>
          <w:iCs w:val="1"/>
          <w:color w:val="auto"/>
        </w:rPr>
        <w:t>Boost Mobile postpaid</w:t>
      </w:r>
      <w:r>
        <w:rPr>
          <w:rFonts w:ascii="Arial" w:cs="Arial" w:eastAsia="Arial" w:hAnsi="Arial"/>
          <w:sz w:val="18"/>
          <w:szCs w:val="18"/>
          <w:color w:val="auto"/>
        </w:rPr>
        <w:t>. During 2023, we launched our nationwide expansion of our Boost Mobile postpaid</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service. At the end of the third quarter of 2023, we began offering premium wireless devices, including Apple products. We currently offer a broad range of premium wireless devices on our 5G Network, including the Apple iPhone 15 and newer generation iPhones.</w:t>
      </w:r>
    </w:p>
    <w:p>
      <w:pPr>
        <w:spacing w:after="0" w:line="16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 xml:space="preserve">We are currently operating primarily as an MVNO as we continue our 5G Network Deployment and commercialize and grow customer traffic on our 5G Network. We are transitioning to an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VoNR</w:t>
      </w:r>
      <w:r>
        <w:rPr>
          <w:rFonts w:ascii="Arial" w:cs="Arial" w:eastAsia="Arial" w:hAnsi="Arial"/>
          <w:sz w:val="18"/>
          <w:szCs w:val="18"/>
          <w:color w:val="auto"/>
        </w:rPr>
        <w:t xml:space="preserve">. We have deployed </w:t>
      </w:r>
      <w:r>
        <w:rPr>
          <w:rFonts w:ascii="Arial" w:cs="Arial" w:eastAsia="Arial" w:hAnsi="Arial"/>
          <w:sz w:val="18"/>
          <w:szCs w:val="18"/>
          <w:color w:val="0A0A0A"/>
        </w:rPr>
        <w:t>5G VoNR covering over 220 million Americans.</w:t>
      </w:r>
      <w:r>
        <w:rPr>
          <w:rFonts w:ascii="Arial" w:cs="Arial" w:eastAsia="Arial" w:hAnsi="Arial"/>
          <w:sz w:val="18"/>
          <w:szCs w:val="18"/>
          <w:color w:val="auto"/>
        </w:rPr>
        <w:t xml:space="preserve"> Within our MVNO operations, today we depend in part on T-Mobile and AT&amp;T to provide us with network services under the MNSA and NSA, respectively. As of December 31, 2024, we had 6.995 million Wireless subscribers.</w:t>
      </w:r>
    </w:p>
    <w:p>
      <w:pPr>
        <w:spacing w:after="0" w:line="171"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Currently, we offer Wireless subscribers competitive consumer plans with no annual service contracts and monthly service plans including high-speed data and unlimited talk and text. We also offer a variety of value-added services, including, but not limited to, device payment and protection plans and device financing arrangements for certain qualified subscribers.</w:t>
      </w:r>
    </w:p>
    <w:p>
      <w:pPr>
        <w:spacing w:after="0" w:line="160"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During the second half of 2022, we began the process of migrating subscribers off the Transition Services Agreement (“TSA”) with T-Mobile, including the billing systems, and onto our own billing and operational support systems. The migration of subscribers to our new billing and operational support systems accelerated during the fourth quarter of 2022 and continued in the first and second quarters of 2023. The migration of subscribers during the first and second quarters of 2023 negatively impacted our Wireless churn rate and our results of operations. During the second quarter of 2023, we completed the migration of subscribers off the TSA with T-Mobile and onto our own billing and operational support systems.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ACP Subscribers. </w:t>
      </w:r>
      <w:r>
        <w:rPr>
          <w:rFonts w:ascii="Arial" w:cs="Arial" w:eastAsia="Arial" w:hAnsi="Arial"/>
          <w:sz w:val="18"/>
          <w:szCs w:val="18"/>
          <w:color w:val="auto"/>
        </w:rPr>
        <w:t>A portion of our Wireless subscriber base and revenue was comprised of subscribers who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received benefits under the ACP program. Households enrolled in the ACP program continued to receive the</w:t>
      </w:r>
    </w:p>
    <w:p>
      <w:pPr>
        <w:ind w:left="60"/>
        <w:spacing w:after="0" w:line="234" w:lineRule="auto"/>
        <w:rPr>
          <w:sz w:val="20"/>
          <w:szCs w:val="20"/>
          <w:color w:val="auto"/>
        </w:rPr>
      </w:pPr>
      <w:r>
        <w:rPr>
          <w:rFonts w:ascii="Arial" w:cs="Arial" w:eastAsia="Arial" w:hAnsi="Arial"/>
          <w:sz w:val="18"/>
          <w:szCs w:val="18"/>
          <w:color w:val="auto"/>
        </w:rPr>
        <w:t>benefit on their service through April 2024. In May 2024, households received a partial benefit and on</w:t>
      </w:r>
    </w:p>
    <w:p>
      <w:pPr>
        <w:ind w:left="60"/>
        <w:spacing w:after="0" w:line="235" w:lineRule="auto"/>
        <w:rPr>
          <w:sz w:val="20"/>
          <w:szCs w:val="20"/>
          <w:color w:val="auto"/>
        </w:rPr>
      </w:pPr>
      <w:r>
        <w:rPr>
          <w:rFonts w:ascii="Arial" w:cs="Arial" w:eastAsia="Arial" w:hAnsi="Arial"/>
          <w:sz w:val="18"/>
          <w:szCs w:val="18"/>
          <w:color w:val="auto"/>
        </w:rPr>
        <w:t>June 1, 2024 the ACP program funding concluded and households no longer received their benefit. Although</w:t>
      </w:r>
    </w:p>
    <w:p>
      <w:pPr>
        <w:ind w:left="60"/>
        <w:spacing w:after="0" w:line="235" w:lineRule="auto"/>
        <w:rPr>
          <w:sz w:val="20"/>
          <w:szCs w:val="20"/>
          <w:color w:val="auto"/>
        </w:rPr>
      </w:pPr>
      <w:r>
        <w:rPr>
          <w:rFonts w:ascii="Arial" w:cs="Arial" w:eastAsia="Arial" w:hAnsi="Arial"/>
          <w:sz w:val="18"/>
          <w:szCs w:val="18"/>
          <w:color w:val="auto"/>
        </w:rPr>
        <w:t>we implemented plans to retain and/or migrate these subscribers to lower priced service plans, these</w:t>
      </w:r>
    </w:p>
    <w:p>
      <w:pPr>
        <w:ind w:left="60"/>
        <w:spacing w:after="0" w:line="235" w:lineRule="auto"/>
        <w:rPr>
          <w:sz w:val="20"/>
          <w:szCs w:val="20"/>
          <w:color w:val="auto"/>
        </w:rPr>
      </w:pPr>
      <w:r>
        <w:rPr>
          <w:rFonts w:ascii="Arial" w:cs="Arial" w:eastAsia="Arial" w:hAnsi="Arial"/>
          <w:sz w:val="18"/>
          <w:szCs w:val="18"/>
          <w:color w:val="auto"/>
        </w:rPr>
        <w:t>subscribers began deactivating in the second and third quarters of 2024. As of September 30, 2024, we had</w:t>
      </w:r>
    </w:p>
    <w:p>
      <w:pPr>
        <w:ind w:left="60"/>
        <w:spacing w:after="0" w:line="235" w:lineRule="auto"/>
        <w:rPr>
          <w:sz w:val="20"/>
          <w:szCs w:val="20"/>
          <w:color w:val="auto"/>
        </w:rPr>
      </w:pPr>
      <w:r>
        <w:rPr>
          <w:rFonts w:ascii="Arial" w:cs="Arial" w:eastAsia="Arial" w:hAnsi="Arial"/>
          <w:sz w:val="18"/>
          <w:szCs w:val="18"/>
          <w:color w:val="auto"/>
        </w:rPr>
        <w:t>approximately 33,000 Wireless ACP subscribers, the majority of which migrated to other service plans in the</w:t>
      </w:r>
    </w:p>
    <w:p>
      <w:pPr>
        <w:ind w:left="60"/>
        <w:spacing w:after="0"/>
        <w:rPr>
          <w:sz w:val="20"/>
          <w:szCs w:val="20"/>
          <w:color w:val="auto"/>
        </w:rPr>
      </w:pPr>
      <w:r>
        <w:rPr>
          <w:rFonts w:ascii="Arial" w:cs="Arial" w:eastAsia="Arial" w:hAnsi="Arial"/>
          <w:sz w:val="18"/>
          <w:szCs w:val="18"/>
          <w:color w:val="auto"/>
        </w:rPr>
        <w:t>fourth quarter of 2024. As of December 31, 2024, we have no Wireless ACP subscribers.</w:t>
      </w:r>
    </w:p>
    <w:p>
      <w:pPr>
        <w:spacing w:after="0" w:line="180" w:lineRule="exact"/>
        <w:rPr>
          <w:sz w:val="20"/>
          <w:szCs w:val="20"/>
          <w:color w:val="auto"/>
        </w:rPr>
      </w:pPr>
    </w:p>
    <w:p>
      <w:pPr>
        <w:ind w:left="60" w:right="379" w:hanging="12"/>
        <w:spacing w:after="0" w:line="271" w:lineRule="auto"/>
        <w:rPr>
          <w:sz w:val="20"/>
          <w:szCs w:val="20"/>
          <w:color w:val="auto"/>
        </w:rPr>
      </w:pPr>
      <w:r>
        <w:rPr>
          <w:rFonts w:ascii="Arial" w:cs="Arial" w:eastAsia="Arial" w:hAnsi="Arial"/>
          <w:sz w:val="18"/>
          <w:szCs w:val="18"/>
          <w:color w:val="auto"/>
        </w:rPr>
        <w:t>Generally, ACP subscribers have lower Wireless ARPU than other Wireless subscribers and as a result, any loss of ACP subscribers had a nominal impact on pre-tax net income.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 xml:space="preserve">We initially invested a total of over $30 billion in Wireless spectrum licenses, and a portion of these licenses were included in the Sale and Transfer of Assets to EchoStar. We currently have $24 billion of investments related to Wireless spectrum licenses, which does not include $7 billion of capitalized interest related to the carrying value of such licenses. See Note 1, Note 2 and Note 13 in the Notes to our Consolidated Financial Statements in this Annual Report on Form 10-K for further information. We continue to commercialize our Wireless spectrum licenses through </w:t>
      </w:r>
      <w:r>
        <w:rPr>
          <w:rFonts w:ascii="Arial" w:cs="Arial" w:eastAsia="Arial" w:hAnsi="Arial"/>
          <w:sz w:val="18"/>
          <w:szCs w:val="18"/>
          <w:color w:val="222222"/>
        </w:rPr>
        <w:t>the completion of</w:t>
      </w:r>
      <w:r>
        <w:rPr>
          <w:rFonts w:ascii="Arial" w:cs="Arial" w:eastAsia="Arial" w:hAnsi="Arial"/>
          <w:sz w:val="18"/>
          <w:szCs w:val="18"/>
          <w:color w:val="auto"/>
        </w:rPr>
        <w:t xml:space="preserve"> our 5G Network Deployment. We have committed to the FCC to deploy our 5G Network capable of serving increasingly larger portions of the U.S. population at different deadlines.</w:t>
      </w:r>
    </w:p>
    <w:p>
      <w:pPr>
        <w:spacing w:after="0" w:line="167"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We may need to raise additional capital in the future</w:t>
      </w:r>
      <w:r>
        <w:rPr>
          <w:rFonts w:ascii="Arial" w:cs="Arial" w:eastAsia="Arial" w:hAnsi="Arial"/>
          <w:sz w:val="18"/>
          <w:szCs w:val="18"/>
          <w:color w:val="222222"/>
        </w:rPr>
        <w:t>,</w:t>
      </w:r>
      <w:r>
        <w:rPr>
          <w:rFonts w:ascii="Arial" w:cs="Arial" w:eastAsia="Arial" w:hAnsi="Arial"/>
          <w:sz w:val="18"/>
          <w:szCs w:val="18"/>
          <w:color w:val="auto"/>
        </w:rPr>
        <w:t xml:space="preserv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13 in the Notes to our Consolidated Financial Statements in this Annual Report on Form 10-K for further information.</w:t>
      </w:r>
    </w:p>
    <w:p>
      <w:pPr>
        <w:spacing w:after="0" w:line="171"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On September 29, 2023, the FCC confirmed we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currently have the largest commercial deployment of 5G</w:t>
      </w:r>
      <w:r>
        <w:rPr>
          <w:rFonts w:ascii="Arial" w:cs="Arial" w:eastAsia="Arial" w:hAnsi="Arial"/>
          <w:sz w:val="18"/>
          <w:szCs w:val="18"/>
          <w:color w:val="auto"/>
        </w:rPr>
        <w:t xml:space="preserve"> </w:t>
      </w:r>
      <w:r>
        <w:rPr>
          <w:rFonts w:ascii="Arial" w:cs="Arial" w:eastAsia="Arial" w:hAnsi="Arial"/>
          <w:sz w:val="18"/>
          <w:szCs w:val="18"/>
          <w:color w:val="0A0A0A"/>
        </w:rPr>
        <w:t xml:space="preserve">VoNR in the world covering over 220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covering over 268 million Amer</w:t>
      </w:r>
      <w:r>
        <w:rPr>
          <w:rFonts w:ascii="Arial" w:cs="Arial" w:eastAsia="Arial" w:hAnsi="Arial"/>
          <w:sz w:val="18"/>
          <w:szCs w:val="18"/>
          <w:color w:val="000000"/>
        </w:rPr>
        <w:t>icans.</w:t>
      </w:r>
    </w:p>
    <w:p>
      <w:pPr>
        <w:spacing w:after="0" w:line="167"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0A0A0A"/>
        </w:rPr>
        <w:t xml:space="preserve">In September 2024, the FCC conditionally granted our requests to extend the 5G 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 January 10, 2025 filing to the</w:t>
      </w:r>
      <w:r>
        <w:rPr>
          <w:rFonts w:ascii="Arial" w:cs="Arial" w:eastAsia="Arial" w:hAnsi="Arial"/>
          <w:sz w:val="18"/>
          <w:szCs w:val="18"/>
          <w:color w:val="0A0A0A"/>
        </w:rPr>
        <w:t xml:space="preserve"> </w:t>
      </w:r>
      <w:r>
        <w:rPr>
          <w:rFonts w:ascii="Arial" w:cs="Arial" w:eastAsia="Arial" w:hAnsi="Arial"/>
          <w:sz w:val="18"/>
          <w:szCs w:val="18"/>
          <w:color w:val="222222"/>
        </w:rPr>
        <w:t>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w:t>
      </w:r>
      <w:r>
        <w:rPr>
          <w:rFonts w:ascii="Arial" w:cs="Arial" w:eastAsia="Arial" w:hAnsi="Arial"/>
          <w:sz w:val="18"/>
          <w:szCs w:val="18"/>
          <w:color w:val="222222"/>
        </w:rPr>
        <w:t xml:space="preserve"> </w:t>
      </w:r>
      <w:r>
        <w:rPr>
          <w:rFonts w:ascii="Arial" w:cs="Arial" w:eastAsia="Arial" w:hAnsi="Arial"/>
          <w:sz w:val="18"/>
          <w:szCs w:val="18"/>
          <w:color w:val="000000"/>
        </w:rPr>
        <w:t xml:space="preserve">2024. Thus, pursuant to the Extension 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See Note 13 in the Notes to our Consolidated Financial Statements in this Annual Report on Form 10-K </w:t>
      </w:r>
      <w:r>
        <w:rPr>
          <w:rFonts w:ascii="Arial" w:cs="Arial" w:eastAsia="Arial" w:hAnsi="Arial"/>
          <w:sz w:val="18"/>
          <w:szCs w:val="18"/>
          <w:color w:val="0A0A0A"/>
        </w:rPr>
        <w:t>for definitions and</w:t>
      </w:r>
      <w:r>
        <w:rPr>
          <w:rFonts w:ascii="Arial" w:cs="Arial" w:eastAsia="Arial" w:hAnsi="Arial"/>
          <w:sz w:val="18"/>
          <w:szCs w:val="18"/>
          <w:color w:val="000000"/>
        </w:rPr>
        <w:t xml:space="preserve"> </w:t>
      </w:r>
      <w:r>
        <w:rPr>
          <w:rFonts w:ascii="Arial" w:cs="Arial" w:eastAsia="Arial" w:hAnsi="Arial"/>
          <w:sz w:val="18"/>
          <w:szCs w:val="18"/>
          <w:color w:val="0A0A0A"/>
        </w:rPr>
        <w:t>further details.</w:t>
      </w:r>
    </w:p>
    <w:p>
      <w:pPr>
        <w:spacing w:after="0" w:line="16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79"/>
        <w:spacing w:after="0"/>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Wireless communication services is a mature market with moderate year over year organic</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Competitors 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spacing w:after="0" w:line="167" w:lineRule="exact"/>
        <w:rPr>
          <w:sz w:val="20"/>
          <w:szCs w:val="20"/>
          <w:color w:val="auto"/>
        </w:rPr>
      </w:pPr>
    </w:p>
    <w:p>
      <w:pPr>
        <w:ind w:left="60" w:right="139" w:hanging="7"/>
        <w:spacing w:after="0" w:line="247" w:lineRule="auto"/>
        <w:rPr>
          <w:sz w:val="20"/>
          <w:szCs w:val="20"/>
          <w:color w:val="auto"/>
        </w:rPr>
      </w:pPr>
      <w:r>
        <w:rPr>
          <w:rFonts w:ascii="Arial" w:cs="Arial" w:eastAsia="Arial" w:hAnsi="Arial"/>
          <w:sz w:val="18"/>
          <w:szCs w:val="18"/>
          <w:color w:val="auto"/>
        </w:rPr>
        <w:t>Additional primary competitors to our Wireless segment include, but are not limited to, Metro PCS (owned by T-Mobile), Cricket Wireless (owned by AT&amp;T), Visible (owned by Verizon), Tracfone Wireless (owned by Verizon), Total Wireless (owned by Verizon) and other MVNOs such as Consumer Cellular, Mint Mobile (owned by T-Mobile), Spectrum Mobile and Xfinity Mobile.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–Wireless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2024 Compared to the Year Ended December 31, 2023.</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For the Years Ended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tcPr>
          <w:p>
            <w:pPr>
              <w:spacing w:after="0"/>
              <w:rPr>
                <w:sz w:val="18"/>
                <w:szCs w:val="18"/>
                <w:color w:val="auto"/>
              </w:rPr>
            </w:pPr>
          </w:p>
        </w:tc>
        <w:tc>
          <w:tcPr>
            <w:tcW w:w="2420" w:type="dxa"/>
            <w:vAlign w:val="bottom"/>
            <w:gridSpan w:val="6"/>
          </w:tcPr>
          <w:p>
            <w:pPr>
              <w:jc w:val="right"/>
              <w:ind w:right="88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Arial" w:cs="Arial" w:eastAsia="Arial" w:hAnsi="Arial"/>
                <w:sz w:val="16"/>
                <w:szCs w:val="16"/>
                <w:b w:val="1"/>
                <w:bCs w:val="1"/>
                <w:color w:val="auto"/>
              </w:rPr>
              <w:t>Variance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2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5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4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3,156,760</w:t>
            </w:r>
          </w:p>
        </w:tc>
        <w:tc>
          <w:tcPr>
            <w:tcW w:w="16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3,337,240</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(180,480)</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449,417</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394,920</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54,497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3,606,177</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3,732,160</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(125,983)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 (1)</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3,095,790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2,012,333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1,083,457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0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98.1 %</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60.3 %</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 (2)</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1,250,656</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2,110,706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(860,050)</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952,617</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1,114,485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(161,868)</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26.4 %</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29.9 %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1,134,873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800,629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334,244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 of long-lived assets and goodwill</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218,560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(218,560)</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6,433,936</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6,256,713</w:t>
            </w:r>
          </w:p>
        </w:tc>
        <w:tc>
          <w:tcPr>
            <w:tcW w:w="1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177,223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(2,827,759)</w:t>
            </w: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(2,524,553)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(303,206)</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70"/>
        </w:trPr>
        <w:tc>
          <w:tcPr>
            <w:tcW w:w="4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subscribers, as of period end (in millions) **</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6.995</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(0.383)</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(0.223)</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(0.304)</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(0.617)</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Wireless ARPU</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36.57</w:t>
            </w:r>
          </w:p>
        </w:tc>
        <w:tc>
          <w:tcPr>
            <w:tcW w:w="16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36.15</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0.42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churn rate</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xml:space="preserve">3.00 </w:t>
            </w:r>
            <w:r>
              <w:rPr>
                <w:rFonts w:ascii="Arial" w:cs="Arial" w:eastAsia="Arial" w:hAnsi="Arial"/>
                <w:sz w:val="16"/>
                <w:szCs w:val="16"/>
                <w:b w:val="1"/>
                <w:bCs w:val="1"/>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(1.17)</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1,113,823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2,586,151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(1,472,328)</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(1,692,886)</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(1,723,924)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right="139" w:hanging="330"/>
        <w:spacing w:after="0" w:line="241"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Excluding the impact of the Operational Presentation Change, defined below, which totaled $977 million for the year ended December 31, 2023, “Cost of services” for the year ended December 31, 2024 increased $106 million compared to the same period in 2023.</w:t>
      </w:r>
    </w:p>
    <w:p>
      <w:pPr>
        <w:spacing w:after="0" w:line="1" w:lineRule="exact"/>
        <w:rPr>
          <w:rFonts w:ascii="Arial" w:cs="Arial" w:eastAsia="Arial" w:hAnsi="Arial"/>
          <w:sz w:val="18"/>
          <w:szCs w:val="18"/>
          <w:color w:val="auto"/>
        </w:rPr>
      </w:pPr>
    </w:p>
    <w:p>
      <w:pPr>
        <w:ind w:left="380" w:right="139" w:hanging="330"/>
        <w:spacing w:after="0" w:line="23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Excluding the impact of the Operational Presentation Change, defined below, which totaled $977 million for the year ended December 31, 2023, “Cost of sales – equipment and other” for the year ended December 31, 2024 increased $117 million compared to the same period in 2023.</w:t>
      </w:r>
    </w:p>
    <w:p>
      <w:pPr>
        <w:ind w:left="380" w:hanging="330"/>
        <w:spacing w:after="0" w:line="237"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Percentage is not meaningful.</w:t>
      </w:r>
    </w:p>
    <w:p>
      <w:pPr>
        <w:ind w:left="380" w:right="299" w:hanging="330"/>
        <w:spacing w:after="0" w:line="234"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fourth quarter of 2024, we removed approximately 79,000 subscribers from our period end Wireless subscriber count representing Wireless subscribers whose economic interests were sold during the year ended December 31, 2024 and these subscribers will migrate off our network beginning in the second quarter of 2025. This removal had no impact on any other reported subscriber metrics, other than our period end Wireless subscriber count.</w:t>
      </w:r>
    </w:p>
    <w:p>
      <w:pPr>
        <w:spacing w:after="0" w:line="3" w:lineRule="exact"/>
        <w:rPr>
          <w:rFonts w:ascii="Arial" w:cs="Arial" w:eastAsia="Arial" w:hAnsi="Arial"/>
          <w:sz w:val="18"/>
          <w:szCs w:val="18"/>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Government subsidized subscribers.</w:t>
      </w:r>
    </w:p>
    <w:p>
      <w:pPr>
        <w:spacing w:after="0" w:line="180"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b w:val="1"/>
          <w:bCs w:val="1"/>
          <w:i w:val="1"/>
          <w:iCs w:val="1"/>
          <w:color w:val="auto"/>
        </w:rPr>
        <w:t xml:space="preserve">Wireless subscribers. </w:t>
      </w:r>
      <w:r>
        <w:rPr>
          <w:rFonts w:ascii="Arial" w:cs="Arial" w:eastAsia="Arial" w:hAnsi="Arial"/>
          <w:sz w:val="18"/>
          <w:szCs w:val="18"/>
          <w:color w:val="auto"/>
        </w:rPr>
        <w:t>We lost approximately 304,000 net Wireless subscribers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2024 compared to the loss of approximately 617,000 net Wireless subscribers during the same period in 2023. This decrease in net Wireless subscriber losses primarily resulted from a lower Wireless churn rate, partially offset by lower gross new Wireless subscriber activations for the year ended December 31, 2024 compared to the same period in 2023. In addition, we had net losses of Government subsidized subscribers during the year ended December 31, 2024 compared to net additions in the same period in 2023, primarily due to the ACP program funding concluding on June 1, 2024. See “Wireless Segment – ACP Subscribers” for further information. Excluding the impact of net losses of Government subsidized subscribers, we added approximately 170,000 net Wireless subscribers during the year ended December 31, 2024.</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239"/>
        <w:spacing w:after="0" w:line="241" w:lineRule="auto"/>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2024, we activated approximately 2.520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gross new Wireless subscribers compared to approximately 2.743 million gross new Wireless subscribers during the same period in 2023, a decrease of 8.1%. Our gross new Wireless subscribers for</w:t>
      </w:r>
    </w:p>
    <w:p>
      <w:pPr>
        <w:spacing w:after="0" w:line="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year ended December 31, 2024 was negatively impacted by our emphasis on acquiring and retaining higher quality subscribers and increased competitive pressures, including aggressive competitor marketing, discounted service plans and deeper wireless device subsidies.</w:t>
      </w:r>
    </w:p>
    <w:p>
      <w:pPr>
        <w:spacing w:after="0" w:line="16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color w:val="auto"/>
        </w:rPr>
        <w:t xml:space="preserve">Wireless churn rate. </w:t>
      </w:r>
      <w:r>
        <w:rPr>
          <w:rFonts w:ascii="Arial" w:cs="Arial" w:eastAsia="Arial" w:hAnsi="Arial"/>
          <w:sz w:val="18"/>
          <w:szCs w:val="18"/>
          <w:color w:val="auto"/>
        </w:rPr>
        <w:t>Our Wireless churn rate for the year ended December 31, 2024 was 3.00%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4.17% for the same period in 2023. Our Wireless churn rate for the year ended December 31, 2024 was positively impacted by our emphasis on acquiring and retaining higher quality subscribers, partially offset by competitive pressures, including deeper wireless device subsidies. In addition, our Wireless churn rate for the year ended December 31, 2023 was negatively impacted by migrating subscribers off the TSA with T-Mobile and onto our new billing and operational support systems.</w:t>
      </w:r>
    </w:p>
    <w:p>
      <w:pPr>
        <w:spacing w:after="0" w:line="165"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$ 3.157 billion for the year ended December 31,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$ 180 million or 5.4% compared to the same period in 2023. The decrease in “Service revenue” compared to the same period in 2023 was primarily related to a lower average Wireless subscriber base, partially offset by an increase in Wireless ARPU, discussed below.</w:t>
      </w:r>
    </w:p>
    <w:p>
      <w:pPr>
        <w:spacing w:after="0" w:line="16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$36.57 during the year ended December 31, 2024 versus $ 36.15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2023. The $0.42 or 1.2% increase in Wireless ARPU was primarily attributable to a shift in subscriber plan mix to higher priced service plans and increased sales of value added services. This increase was partially offset by providing ACP subscribers discounted or free services as a result of the conclusion of the ACP program funding.</w:t>
      </w:r>
    </w:p>
    <w:p>
      <w:pPr>
        <w:spacing w:after="0" w:line="16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$ 449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December 31, 2024, an increase of $54 million or 13.8% compared to the same period in 2023. The increase in “Equipment sales and other revenue” compared to the same period in 2023 was primarily related to wireless devices with </w:t>
      </w:r>
      <w:r>
        <w:rPr>
          <w:rFonts w:ascii="Arial" w:cs="Arial" w:eastAsia="Arial" w:hAnsi="Arial"/>
          <w:sz w:val="18"/>
          <w:szCs w:val="18"/>
          <w:color w:val="222222"/>
        </w:rPr>
        <w:t>h</w:t>
      </w:r>
      <w:r>
        <w:rPr>
          <w:rFonts w:ascii="Arial" w:cs="Arial" w:eastAsia="Arial" w:hAnsi="Arial"/>
          <w:sz w:val="18"/>
          <w:szCs w:val="18"/>
          <w:color w:val="auto"/>
        </w:rPr>
        <w:t xml:space="preserve">igher revenue per unit shipped due to unit mix, partially offset </w:t>
      </w:r>
      <w:r>
        <w:rPr>
          <w:rFonts w:ascii="Arial" w:cs="Arial" w:eastAsia="Arial" w:hAnsi="Arial"/>
          <w:sz w:val="18"/>
          <w:szCs w:val="18"/>
          <w:color w:val="222222"/>
        </w:rPr>
        <w:t>by</w:t>
      </w:r>
      <w:r>
        <w:rPr>
          <w:rFonts w:ascii="Arial" w:cs="Arial" w:eastAsia="Arial" w:hAnsi="Arial"/>
          <w:sz w:val="18"/>
          <w:szCs w:val="18"/>
          <w:color w:val="auto"/>
        </w:rPr>
        <w:t xml:space="preserve"> a decrease in units shipped and higher promotional subsidies. During the year ended December 31, 2024, we shipped a</w:t>
      </w:r>
    </w:p>
    <w:p>
      <w:pPr>
        <w:spacing w:after="0" w:line="4" w:lineRule="exact"/>
        <w:rPr>
          <w:sz w:val="20"/>
          <w:szCs w:val="20"/>
          <w:color w:val="auto"/>
        </w:rPr>
      </w:pPr>
    </w:p>
    <w:p>
      <w:pPr>
        <w:ind w:left="60" w:right="439"/>
        <w:spacing w:after="0" w:line="250" w:lineRule="auto"/>
        <w:rPr>
          <w:sz w:val="20"/>
          <w:szCs w:val="20"/>
          <w:color w:val="auto"/>
        </w:rPr>
      </w:pPr>
      <w:r>
        <w:rPr>
          <w:rFonts w:ascii="Arial" w:cs="Arial" w:eastAsia="Arial" w:hAnsi="Arial"/>
          <w:sz w:val="18"/>
          <w:szCs w:val="18"/>
          <w:color w:val="auto"/>
        </w:rPr>
        <w:t>higher percentage of devices that are compatible with our 5G Network and other devices that have a higher revenue per unit. In addition, this increase was partially offset by lower leased spectrum revenue.</w:t>
      </w:r>
    </w:p>
    <w:p>
      <w:pPr>
        <w:spacing w:after="0" w:line="15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$ 3.096 billion for the year ended December 31, 2024,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$1.083 billion compared to the same period in 2023. Beginning on January 1, 2024, “Cost of services” includes certain direct costs related to our 5G Network Deployment, including lease expense on communication towers, transport, cloud services and other costs which were previously reported in “Cost of sales – equipment and other” (the “Operational Presentation Change”), which totaled $977 million for the year ended December 31, 2023, as a significant portion of our 5G Network was placed into service. Excluding the impact of the Operational Presentation Change, “Cost of services” for the year ended December 31, 2024 increased $106 million compared to the same period in 2023. This change primarily resulted from an increase in lease expense on communication towers, transport and other related costs. In addition, beginning on January 1, 2024, as a significant portion of our 5G Network was placed into service, “Cost of services” includes certain personal costs which were previously reported in “Selling, general and administrative expenses.”</w:t>
      </w:r>
    </w:p>
    <w:p>
      <w:pPr>
        <w:spacing w:after="0" w:line="172"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These increases were partially offset by a lower average Wireless subscriber base, lower network services costs per subscriber and operational efficiencies, partially offset by higher monthly dealer incentive costs. In the third quarter of 2023, we realigned our commission structure with current business objectives to acquire higher quality, long-term subscribers, which resulted in higher monthly dealer incentive costs. The year ended December 31, 2023 was negatively impacted by the migration of subscribers off the TSA with T-Mobile and onto our new billing and operational support systems. We incurred duplicative costs related to our TSA with T-Mobile and our own billing and operational support systems as we migrated subscribers off the TSA with T-Mobile.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$1.251 billion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2024, a decrease of $860 million compared to the same period in 2023. Excluding the impact of the Operational Presentation Change, “Cost of sales – equipment and other” for the year ended December 31, 2024 increased $117 million compared to the same period in 2023. This increase primarily resulted from wireless devices with higher costs per unit shipped due to unit mix, partially offset by a decrease in units shipped and higher vendor rebates. During the year ended December 31, 2024, we shipped a higher percentage of devices that are compatible with our 5G Network and other devices that have a higher cost per unit.</w:t>
      </w:r>
    </w:p>
    <w:p>
      <w:pPr>
        <w:spacing w:after="0" w:line="16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$953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year ended December 31, 2024, a $162 million or 14.5% decrease compared to the same period in 2023. This decrease was primarily driven by lower sales commissions and a decrease in costs to support the Wireless segment, partially offset by higher marketing expenditures. In the third quarter of 2023, we realigned our commission structure with current business objectives to acquire higher quality, long-term subscribers, which resulted in lower sales commissions. In addition, beginning on January 1, 2024, as a significant portion of our 5G Network was placed into service, “Cost of services” includes certain personal costs which were previously reported in “Selling, general and administrative expenses” partially driving this decrease. Furthermore, the year ended December 31, 2023 was negatively impacted by costs of migrating subscribers off the TSA with T-Mobile and onto our new billing and operational support systems.</w:t>
      </w:r>
    </w:p>
    <w:p>
      <w:pPr>
        <w:spacing w:after="0" w:line="166" w:lineRule="exact"/>
        <w:rPr>
          <w:sz w:val="20"/>
          <w:szCs w:val="20"/>
          <w:color w:val="auto"/>
        </w:rPr>
      </w:pPr>
    </w:p>
    <w:p>
      <w:pPr>
        <w:ind w:left="60" w:right="239"/>
        <w:spacing w:after="0"/>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$1.135 billion during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2024, a $334 million or 41.7% increase compared to the same period in 2023. 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 This increase was partially offset by a decrease in amortization expense from subscriber relationships related to the Boost Mobile acquisition in 2020, which became fully amortized during the second quarter of 2024.</w:t>
      </w:r>
    </w:p>
    <w:p>
      <w:pPr>
        <w:spacing w:after="0" w:line="171"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b w:val="1"/>
          <w:bCs w:val="1"/>
          <w:i w:val="1"/>
          <w:iCs w:val="1"/>
          <w:color w:val="auto"/>
        </w:rPr>
        <w:t xml:space="preserve">Impairment of long-lived assets and goodwill. </w:t>
      </w:r>
      <w:r>
        <w:rPr>
          <w:rFonts w:ascii="Arial" w:cs="Arial" w:eastAsia="Arial" w:hAnsi="Arial"/>
          <w:sz w:val="18"/>
          <w:szCs w:val="18"/>
          <w:color w:val="auto"/>
        </w:rPr>
        <w:t>“Impairment of long-lived assets and goodwill” totaled $219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2023. This impairment represents a noncash impairment charge for goodwill. See Note 2 to the Notes to our Consolidated Financial Statements in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2023 Compared to the Year Ended December 31, 2022.</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For the Years Ended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Pr>
          <w:p>
            <w:pPr>
              <w:spacing w:after="0"/>
              <w:rPr>
                <w:sz w:val="18"/>
                <w:szCs w:val="18"/>
                <w:color w:val="auto"/>
              </w:rPr>
            </w:pPr>
          </w:p>
        </w:tc>
        <w:tc>
          <w:tcPr>
            <w:tcW w:w="2600" w:type="dxa"/>
            <w:vAlign w:val="bottom"/>
            <w:gridSpan w:val="6"/>
          </w:tcPr>
          <w:p>
            <w:pPr>
              <w:jc w:val="right"/>
              <w:ind w:right="100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260" w:type="dxa"/>
            <w:vAlign w:val="bottom"/>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5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2"/>
        </w:trPr>
        <w:tc>
          <w:tcPr>
            <w:tcW w:w="3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3,337,240</w:t>
            </w:r>
          </w:p>
        </w:tc>
        <w:tc>
          <w:tcPr>
            <w:tcW w:w="200" w:type="dxa"/>
            <w:vAlign w:val="bottom"/>
          </w:tcPr>
          <w:p>
            <w:pPr>
              <w:spacing w:after="0"/>
              <w:rPr>
                <w:sz w:val="16"/>
                <w:szCs w:val="16"/>
                <w:color w:val="auto"/>
              </w:rPr>
            </w:pPr>
          </w:p>
        </w:tc>
        <w:tc>
          <w:tcPr>
            <w:tcW w:w="3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3,653,909</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(316,669)</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394,920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526,109</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(131,189)</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83"/>
        </w:trPr>
        <w:tc>
          <w:tcPr>
            <w:tcW w:w="41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3,732,160</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4,180,018</w:t>
            </w:r>
          </w:p>
        </w:tc>
        <w:tc>
          <w:tcPr>
            <w:tcW w:w="2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(447,858)</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2,012,333</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2,135,073</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(122,740)</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9"/>
        </w:trPr>
        <w:tc>
          <w:tcPr>
            <w:tcW w:w="416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60.3 %</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58.4 %</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2,110,706</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1,715,276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395,430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1,114,485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929,299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185,186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29.9 %</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22.2 %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800,629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288,602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512,027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 of long-lived assets and goodwill</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218,560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218,560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6,256,713</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5,068,250</w:t>
            </w:r>
          </w:p>
        </w:tc>
        <w:tc>
          <w:tcPr>
            <w:tcW w:w="2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1,188,463</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(2,524,553)</w:t>
            </w:r>
          </w:p>
        </w:tc>
        <w:tc>
          <w:tcPr>
            <w:tcW w:w="3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(888,232)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(1,636,321)</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9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subscribers, as of period end (in millions) **</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7.378</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7.983</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(0.605)</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3.418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(0.675)</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Wireless subscriber additions (losses), net (in millions)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(0.617)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(0.576)</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(0.041)</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Wireless ARPU</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36.15</w:t>
            </w:r>
          </w:p>
        </w:tc>
        <w:tc>
          <w:tcPr>
            <w:tcW w:w="200" w:type="dxa"/>
            <w:vAlign w:val="bottom"/>
          </w:tcPr>
          <w:p>
            <w:pPr>
              <w:spacing w:after="0"/>
              <w:rPr>
                <w:sz w:val="16"/>
                <w:szCs w:val="16"/>
                <w:color w:val="auto"/>
              </w:rPr>
            </w:pPr>
          </w:p>
        </w:tc>
        <w:tc>
          <w:tcPr>
            <w:tcW w:w="3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37.72</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(1.57)</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churn rate</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b w:val="1"/>
                <w:bCs w:val="1"/>
                <w:color w:val="auto"/>
              </w:rPr>
              <w: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xml:space="preserve">4.46 </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(0.29)</w:t>
            </w:r>
            <w:r>
              <w:rPr>
                <w:rFonts w:ascii="Arial" w:cs="Arial" w:eastAsia="Arial" w:hAnsi="Arial"/>
                <w:sz w:val="16"/>
                <w:szCs w:val="16"/>
                <w:b w:val="1"/>
                <w:bCs w:val="1"/>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2,586,151</w:t>
            </w:r>
          </w:p>
        </w:tc>
        <w:tc>
          <w:tcPr>
            <w:tcW w:w="200" w:type="dxa"/>
            <w:vAlign w:val="bottom"/>
          </w:tcPr>
          <w:p>
            <w:pPr>
              <w:spacing w:after="0"/>
              <w:rPr>
                <w:sz w:val="16"/>
                <w:szCs w:val="16"/>
                <w:color w:val="auto"/>
              </w:rPr>
            </w:pPr>
          </w:p>
        </w:tc>
        <w:tc>
          <w:tcPr>
            <w:tcW w:w="3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2,596,209</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(10,058)</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(1,723,924)</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(599,630)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(1,124,294)</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80" w:hanging="330"/>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119" w:hanging="330"/>
        <w:spacing w:after="0" w:line="234"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second quarter of 2022, we removed approximately 126,000 subscribers from our ending Wireless subscriber count representing Wireless subscribers who did not migrate off the CDMA network prior to the shutdown. The effect of the removal of the 126,000 Wireless subscribers was excluded from the calculation of our net Wireless subscriber additions/losses and Wireless churn rate. In addition, during the third quarter of 2022, approximately 139,000 Boost affiliate subscribers were transferred to us and are included in our ending Wireless subscriber count and excluded from our gross new Wireless subscriber activations.</w:t>
      </w:r>
    </w:p>
    <w:p>
      <w:pPr>
        <w:spacing w:after="0" w:line="4" w:lineRule="exact"/>
        <w:rPr>
          <w:rFonts w:ascii="Arial" w:cs="Arial" w:eastAsia="Arial" w:hAnsi="Arial"/>
          <w:sz w:val="18"/>
          <w:szCs w:val="18"/>
          <w:color w:val="auto"/>
        </w:rPr>
      </w:pPr>
    </w:p>
    <w:p>
      <w:pPr>
        <w:ind w:left="380" w:hanging="330"/>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Government subsidized subscribers.</w:t>
      </w:r>
    </w:p>
    <w:p>
      <w:pPr>
        <w:spacing w:after="0" w:line="18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617,000 net Wireless subscribers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2023 compared to the loss of approximately 576,000 net Wireless subscribers during the same period in 2022. This increase in net Wireless subscriber losses primarily resulted from lower gross new Wireless subscriber activations, partially offset by an increase in net Government subsidized subscriber additions and a lower Wireless churn rate.</w:t>
      </w:r>
    </w:p>
    <w:p>
      <w:pPr>
        <w:spacing w:after="0" w:line="163" w:lineRule="exact"/>
        <w:rPr>
          <w:sz w:val="20"/>
          <w:szCs w:val="20"/>
          <w:color w:val="auto"/>
        </w:rPr>
      </w:pPr>
    </w:p>
    <w:p>
      <w:pPr>
        <w:ind w:left="60" w:right="79"/>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2023, we activated approximately 2.743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gross new Wireless subscribers compared to approximately 3.418 million gross new Wireless subscribers during the same period in 2022, a decrease of 19.7%. This decrease in our gross new Wireless subscriber activations was primarily related to increased competitive pressures, including aggressive competitor marketing, discounted service plans and deeper wireless device subsidies. In addition, our gross new Wireless subscribers for the year ended December 31, 2023 was negatively impacted by our emphasis on acquiring and retaining higher quality subscribers.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79"/>
        <w:spacing w:after="0"/>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year ended December 31, 2023 was 4.17%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4.46% for the same period in 2022. Our Wireless churn rate for the year ended December 31, 2023 was positively impacted by our emphasis on acquiring and retaining higher quality subscribers, partially offset by competitive pressures, including deeper wireless device subsidies. In addition, our Wireless churn rate for</w:t>
      </w:r>
    </w:p>
    <w:p>
      <w:pPr>
        <w:ind w:left="60" w:right="79"/>
        <w:spacing w:after="0" w:line="242" w:lineRule="auto"/>
        <w:rPr>
          <w:sz w:val="20"/>
          <w:szCs w:val="20"/>
          <w:color w:val="auto"/>
        </w:rPr>
      </w:pPr>
      <w:r>
        <w:rPr>
          <w:rFonts w:ascii="Arial" w:cs="Arial" w:eastAsia="Arial" w:hAnsi="Arial"/>
          <w:sz w:val="18"/>
          <w:szCs w:val="18"/>
          <w:color w:val="auto"/>
        </w:rPr>
        <w:t>the year ended December 31, 2023 was negatively impacted by migrating subscribers off the TSA with T-Mobile and onto our new billing and operational support systems. Furthermore, our Wireless churn rate for the year ended December 31, 2022 was negatively impacted by the shutdown of the CDMA Network.</w:t>
      </w:r>
    </w:p>
    <w:p>
      <w:pPr>
        <w:spacing w:after="0" w:line="166" w:lineRule="exact"/>
        <w:rPr>
          <w:sz w:val="20"/>
          <w:szCs w:val="20"/>
          <w:color w:val="auto"/>
        </w:rPr>
      </w:pPr>
    </w:p>
    <w:p>
      <w:pPr>
        <w:jc w:val="both"/>
        <w:ind w:left="60" w:right="19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$3.337 billion for the year ended December 31, 2023,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$ 317 million or 8.7% compared to the same period in 2022. The decrease in “Service revenue” compared to the same period in 2022 was primarily related to a lower average Wireless subscriber base and a decrease in Wireless ARPU, discussed below.</w:t>
      </w:r>
    </w:p>
    <w:p>
      <w:pPr>
        <w:spacing w:after="0" w:line="160"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$36.15 during the year ended December 31, 2023 versus $37.72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2022. The $1.57 or 4.2% decrease in Wireless ARPU was primarily attributable to, among other things, a shift in subscriber plan mix to lower priced service plans.</w:t>
      </w:r>
    </w:p>
    <w:p>
      <w:pPr>
        <w:spacing w:after="0" w:line="155"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b w:val="1"/>
          <w:bCs w:val="1"/>
          <w:i w:val="1"/>
          <w:iCs w:val="1"/>
          <w:color w:val="auto"/>
        </w:rPr>
        <w:t xml:space="preserve">Equipment sales and other revenue. </w:t>
      </w:r>
      <w:r>
        <w:rPr>
          <w:rFonts w:ascii="Arial" w:cs="Arial" w:eastAsia="Arial" w:hAnsi="Arial"/>
          <w:sz w:val="17"/>
          <w:szCs w:val="17"/>
          <w:color w:val="auto"/>
        </w:rPr>
        <w:t>“Equipment sales and other revenue” totaled $395 million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2023, a decrease of $131 million or 24.9% compared to the same period in 2022. The decrease in “Equipment sales and other revenue” compared to the same period in 2022 was primarily related to a decrease in wireless device units shipped and higher promotional subsidies, partially offset by higher revenue per unit shipped due to unit mix. During the year ended December 31, 2023, we shipped a higher percentage of devices that are compatible with our 5G Network and other devices that have a higher revenue per unit.</w:t>
      </w:r>
    </w:p>
    <w:p>
      <w:pPr>
        <w:spacing w:after="0" w:line="152"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$2.012 billion for the year ended December 31, 2023,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$123 million or 5.7% compared to the same period in 2022. The decrease in “Cost of services” was primarily attributable to a lower average Wireless subscriber base, partially offset by higher monthly dealer incentive costs. During the year ended December 31, 2023, we realigned our commission structure with current business objectives to acquire higher quality, long-term subscribers, which resulted in elevated costs during the transition period.</w:t>
      </w:r>
    </w:p>
    <w:p>
      <w:pPr>
        <w:spacing w:after="0" w:line="16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$2.111 billion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2023, an increase of $395 million or 23.1% compared to the same period in 2022. The change in “Cost of sales – equipment and other” compared to the same period in 2022 was related to an increase in lease expense on communication towers, transport, cloud services, and other related costs. In addition, this increase resulted from wireless devices with higher costs per unit shipped due to unit mix, partially offset by a decrease in units shipped. During the year ended December 31, 2023, we shipped a</w:t>
      </w:r>
    </w:p>
    <w:p>
      <w:pPr>
        <w:spacing w:after="0" w:line="1" w:lineRule="exact"/>
        <w:rPr>
          <w:sz w:val="20"/>
          <w:szCs w:val="20"/>
          <w:color w:val="auto"/>
        </w:rPr>
      </w:pPr>
    </w:p>
    <w:p>
      <w:pPr>
        <w:ind w:left="60" w:right="439"/>
        <w:spacing w:after="0" w:line="250" w:lineRule="auto"/>
        <w:rPr>
          <w:sz w:val="20"/>
          <w:szCs w:val="20"/>
          <w:color w:val="auto"/>
        </w:rPr>
      </w:pPr>
      <w:r>
        <w:rPr>
          <w:rFonts w:ascii="Arial" w:cs="Arial" w:eastAsia="Arial" w:hAnsi="Arial"/>
          <w:sz w:val="18"/>
          <w:szCs w:val="18"/>
          <w:color w:val="auto"/>
        </w:rPr>
        <w:t>higher percentage of devices that are compatible with our 5G Network and other devices that have a higher cost per unit.</w:t>
      </w:r>
    </w:p>
    <w:p>
      <w:pPr>
        <w:spacing w:after="0" w:line="158" w:lineRule="exact"/>
        <w:rPr>
          <w:sz w:val="20"/>
          <w:szCs w:val="20"/>
          <w:color w:val="auto"/>
        </w:rPr>
      </w:pPr>
    </w:p>
    <w:p>
      <w:pPr>
        <w:ind w:left="60" w:right="59"/>
        <w:spacing w:after="0"/>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$1.114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during the year ended December 31, 2023, a $185 million or 19.9% increase compared to the same period in 2022. This change was primarily driven by higher marketing expenditures mainly related to the third quarter of 2023 nationwide expansion of our Boost postpaid wireless service and offering of the iPhone 15 on our 5G Network and increases in costs to support the Wireless segment. The year ended December 31, 2022 was negatively impacted by costs related to the development of our own billing and operational support systems as we prepared to migrate subscribers off the TSA with T-Mobile.</w:t>
      </w:r>
    </w:p>
    <w:p>
      <w:pPr>
        <w:spacing w:after="0" w:line="171"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$ 801 million during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2023, a $ 512 million increase compared to the same period in 2022. 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b w:val="1"/>
          <w:bCs w:val="1"/>
          <w:i w:val="1"/>
          <w:iCs w:val="1"/>
          <w:color w:val="auto"/>
        </w:rPr>
        <w:t xml:space="preserve">Impairment of long-lived assets and goodwill. </w:t>
      </w:r>
      <w:r>
        <w:rPr>
          <w:rFonts w:ascii="Arial" w:cs="Arial" w:eastAsia="Arial" w:hAnsi="Arial"/>
          <w:sz w:val="18"/>
          <w:szCs w:val="18"/>
          <w:i w:val="1"/>
          <w:iCs w:val="1"/>
          <w:color w:val="auto"/>
        </w:rPr>
        <w:t>“</w:t>
      </w:r>
      <w:r>
        <w:rPr>
          <w:rFonts w:ascii="Arial" w:cs="Arial" w:eastAsia="Arial" w:hAnsi="Arial"/>
          <w:sz w:val="18"/>
          <w:szCs w:val="18"/>
          <w:color w:val="auto"/>
        </w:rPr>
        <w:t>Impairment of long-lived assets and goodwill” totaled $219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2023. This impairment represents a noncash impairment charge for goodwill. See Note 2 in the Notes to our Consolidated Financial Statements in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CONSOLIDATED RESULTS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2024 Compared to the Year Ended December 31, 2023.</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For the Years Ended</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60" w:type="dxa"/>
            <w:vAlign w:val="bottom"/>
          </w:tcPr>
          <w:p>
            <w:pPr>
              <w:spacing w:after="0"/>
              <w:rPr>
                <w:sz w:val="18"/>
                <w:szCs w:val="18"/>
                <w:color w:val="auto"/>
              </w:rPr>
            </w:pPr>
          </w:p>
        </w:tc>
        <w:tc>
          <w:tcPr>
            <w:tcW w:w="256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1360" w:type="dxa"/>
            <w:vAlign w:val="bottom"/>
            <w:gridSpan w:val="3"/>
          </w:tcPr>
          <w:p>
            <w:pPr>
              <w:ind w:left="580"/>
              <w:spacing w:after="0"/>
              <w:rPr>
                <w:sz w:val="20"/>
                <w:szCs w:val="20"/>
                <w:color w:val="auto"/>
              </w:rPr>
            </w:pPr>
            <w:r>
              <w:rPr>
                <w:rFonts w:ascii="Arial" w:cs="Arial" w:eastAsia="Arial" w:hAnsi="Arial"/>
                <w:sz w:val="16"/>
                <w:szCs w:val="16"/>
                <w:b w:val="1"/>
                <w:bCs w:val="1"/>
                <w:color w:val="auto"/>
              </w:rPr>
              <w:t>Variance</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6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top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(179,625)</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175,257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(354,882)</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54,059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105,416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(51,357)</w:t>
            </w:r>
          </w:p>
        </w:tc>
        <w:tc>
          <w:tcPr>
            <w:tcW w:w="2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18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(690,222)</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(38,881)</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(651,341)</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742,705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(1,741,876)</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2,484,581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106,542</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(1,675,341)</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1,781,883</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(73,083)</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(1,500,084)</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1,427,001</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 net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10,390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371,662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(361,272)</w:t>
            </w:r>
          </w:p>
        </w:tc>
        <w:tc>
          <w:tcPr>
            <w:tcW w:w="2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189"/>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14.2 %</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24.8 %</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(62,693)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(1,128,422)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1,065,729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94.4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6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interests, net of tax</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83,801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(80,064)</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183"/>
        </w:trPr>
        <w:tc>
          <w:tcPr>
            <w:tcW w:w="39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 attributable to DISH Network</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(66,430)</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(1,212,223)</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1,145,793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94.5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98"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$54 million during the year ended December 31,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$51 million compared to the same period in 2023. This decrease primarily resulted from lower average cash and marketable investment securities balances during the year ended December 31, 2024.</w:t>
      </w:r>
    </w:p>
    <w:p>
      <w:pPr>
        <w:spacing w:after="0" w:line="155" w:lineRule="exact"/>
        <w:rPr>
          <w:sz w:val="20"/>
          <w:szCs w:val="20"/>
          <w:color w:val="auto"/>
        </w:rPr>
      </w:pPr>
    </w:p>
    <w:p>
      <w:pPr>
        <w:ind w:left="60" w:right="159" w:hanging="7"/>
        <w:spacing w:after="0" w:line="23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$690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year ended December 31, 2024, an increase of $651 million compared to the same period in 2023. This increase primarily resulted from lower capitalized interest related to the reduction of qualifying assets. During the year ended December 31, 2024, as a result of the Sale and Transfer of Assets to EchoStar, the basis of our qualifying assets was reduced. In addition, as the qualifying assets, including markets within certain bands of wireless spectrum licenses, have been placed into service with the deployment of our 5G Network, we no longer capitalize interest on those assets and as a result, capitalized interest was reduced. Furthermore, the Sale and Transfer of Assets to EchoStar included the DISH 2021 Intercompany Loan 2026 Tranche, which was previously eliminated in consolidation as it was held by DISH DBS, and as a result interest expense increased. See Note 1, Note 2 and Note 9 to the Notes to our Consolidated Financial Statements in this Annual Report on Form 10-K for further information. This increase also resulted from the DISH DBS Financing and the EchoStar 2024 Intercompany Loan, partially offset by the redemption of debt that matured in March and November 2024 and the extinguishment of our Existing DISH Convertible Notes in connection with the EchoStar Exchange Offers, as defined and detailed in Note 9 to the Notes to our Consolidated Financial Statements in this Annual Report on Form 10-K.</w:t>
      </w:r>
    </w:p>
    <w:p>
      <w:pPr>
        <w:spacing w:after="0" w:line="17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income totaled $743 million during the year ended December 31, 2024,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$1.742 billion during the same period in 2023. The year ended December 31, 2024 was positively impacted by a gain on debt extinguishment of $689 million, a $128 million gain on a sale of a financial asset to EchoStar and a $21 million gain on the Liberty Puerto Rico Asset Sale. The year ended December 31, 2024 was also negatively impacted by a $67 million loss in equity in earnings, including $63 million from our portion of Invidi’s goodwill impairment, and $ 31 million in net losses and impairments on marketable and non-marketable investment securities. See Note 1, Note 9 and Note 13 to the Notes to our Consolidated Financial Statements in this Annual Report on Form 10-K for further information. The year ended December 31, 2023 was negatively impacted by a $1.793 billion decrease in the fair value of our option to purchase certain of T-Mobile’s 800 MHz spectrum licenses, partially offset by $73 million of early debt extinguishment gains from the repurchases of our convertible notes.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benefit was $10 million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2024, a decrease of $361 million compared to the same period in 2023. This decrease was primarily related to the change in “Income (loss) before income taxes” and the change in our effective tax rate. Our effective tax rate during the year ended December 31, 2024 was impacted by federal and state valuation allowances.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2023 Compared to the Year Ended December 31, 2022.</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00" w:type="dxa"/>
            <w:vAlign w:val="bottom"/>
          </w:tcPr>
          <w:p>
            <w:pPr>
              <w:spacing w:after="0"/>
              <w:rPr>
                <w:sz w:val="18"/>
                <w:szCs w:val="18"/>
                <w:color w:val="auto"/>
              </w:rPr>
            </w:pPr>
          </w:p>
        </w:tc>
        <w:tc>
          <w:tcPr>
            <w:tcW w:w="296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w w:val="99"/>
              </w:rPr>
              <w:t>For the Years Ended December 31,</w:t>
            </w:r>
          </w:p>
        </w:tc>
        <w:tc>
          <w:tcPr>
            <w:tcW w:w="18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Arial" w:cs="Arial" w:eastAsia="Arial" w:hAnsi="Arial"/>
                <w:sz w:val="16"/>
                <w:szCs w:val="16"/>
                <w:b w:val="1"/>
                <w:bCs w:val="1"/>
                <w:color w:val="auto"/>
              </w:rPr>
              <w:t>Variance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2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3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top w:val="single" w:sz="8" w:color="auto"/>
            </w:tcBorders>
            <w:gridSpan w:val="2"/>
          </w:tcPr>
          <w:p>
            <w:pPr>
              <w:jc w:val="right"/>
              <w:ind w:right="139"/>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175,257</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2,045,666</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(1,870,409)</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105,416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42,776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62,640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(38,881)</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(22,781)</w:t>
            </w:r>
          </w:p>
        </w:tc>
        <w:tc>
          <w:tcPr>
            <w:tcW w:w="18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(16,100)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(1,741,876)</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1,038,982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(2,780,858)</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(1,675,341)</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1,058,977</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(2,734,318)</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(1,500,084)</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3,104,643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(4,604,727)</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 net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371,662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(731,736)</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1,103,398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24.8 %</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23.6 %</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(1,128,422)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2,372,907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(3,501,329)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92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interests, net of tax</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83,801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69,674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83"/>
        </w:trPr>
        <w:tc>
          <w:tcPr>
            <w:tcW w:w="39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 attributable to DISH Network</w:t>
            </w: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(1,212,223)</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2,303,233</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(3,515,456)</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98"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$105 million during the year ended December 31, 2023,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$63 million compared to the same period in 2022. This increase primarily resulted from higher percentage returns earned on our cash and marketable investment securities, partially offset by lower average cash and marketable investment securities balances during the year ended December 31, 2023.</w:t>
      </w:r>
    </w:p>
    <w:p>
      <w:pPr>
        <w:spacing w:after="0" w:line="16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expense totaled $1.742 billion during the year ended December 31, 2023,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income of $1.039 billion during the same period in 2022. This change primarily resulted from </w:t>
      </w:r>
      <w:r>
        <w:rPr>
          <w:rFonts w:ascii="Arial" w:cs="Arial" w:eastAsia="Arial" w:hAnsi="Arial"/>
          <w:sz w:val="18"/>
          <w:szCs w:val="18"/>
          <w:color w:val="222222"/>
        </w:rPr>
        <w:t>a</w:t>
      </w:r>
      <w:r>
        <w:rPr>
          <w:rFonts w:ascii="Arial" w:cs="Arial" w:eastAsia="Arial" w:hAnsi="Arial"/>
          <w:sz w:val="18"/>
          <w:szCs w:val="18"/>
          <w:color w:val="auto"/>
        </w:rPr>
        <w:t xml:space="preserve"> loss of approximately $1.793 billion (including the $100 million prepayment previously made to T-Mobile) as the probability weighted fair value of our option to purchase certain of T-Mobile’s 800 MHz spectrum licenses was reduced to zero compared to a $1.015 billion increase during the year ended December 31, 2022. In addition, the year ended December 31, 2023 was negatively impacted by a $22 million net decrease in gains on marketable and non-marketable investment securities. Furthermore, the year ended December 31, 2023 was positively impacted by $73 million of early debt extinguishment gains from the repurchases of our convertible notes. See Note 5 and 9 to the Notes to our Consolidated Financial Statements in this Annual Report on Form 10 K for further information.</w:t>
      </w:r>
    </w:p>
    <w:p>
      <w:pPr>
        <w:spacing w:after="0" w:line="166"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benefit was $372 million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2023 compared to a provision of $732 million during the same period in 2022. The change was primarily related to a decrease in “Income (loss) before income taxes,” partially offset by an increase in our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5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It is management’s intent to provide non-GAAP financial information to enhance the understanding of our financial information prepared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OIBDA</w:t>
      </w:r>
    </w:p>
    <w:p>
      <w:pPr>
        <w:spacing w:after="0" w:line="15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Segment 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Segment OIBDA is calculated by adding back depreciation and amortization expense to business segments operating income (loss). See Note 14 to the Notes to our Consolidated Financial Statements in this Annual Report on Form 10-K for further information.</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6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 Ended December 31, 2024</w:t>
            </w:r>
          </w:p>
        </w:tc>
        <w:tc>
          <w:tcPr>
            <w:tcW w:w="28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Pay-TV</w:t>
            </w:r>
          </w:p>
        </w:tc>
        <w:tc>
          <w:tcPr>
            <w:tcW w:w="18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Wireless</w:t>
            </w:r>
          </w:p>
        </w:tc>
        <w:tc>
          <w:tcPr>
            <w:tcW w:w="16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Consolidated</w:t>
            </w:r>
          </w:p>
        </w:tc>
      </w:tr>
      <w:tr>
        <w:trPr>
          <w:trHeight w:val="183"/>
        </w:trPr>
        <w:tc>
          <w:tcPr>
            <w:tcW w:w="45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2,648,134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(2,827,759)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(179,625)</w:t>
            </w:r>
          </w:p>
        </w:tc>
      </w:tr>
      <w:tr>
        <w:trPr>
          <w:trHeight w:val="189"/>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337,331</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1,134,873</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1,472,204</w:t>
            </w:r>
          </w:p>
        </w:tc>
        <w:tc>
          <w:tcPr>
            <w:tcW w:w="40" w:type="dxa"/>
            <w:vAlign w:val="bottom"/>
            <w:tcBorders>
              <w:bottom w:val="single" w:sz="8" w:color="CCEEFF"/>
            </w:tcBorders>
          </w:tcPr>
          <w:p>
            <w:pPr>
              <w:spacing w:after="0"/>
              <w:rPr>
                <w:sz w:val="16"/>
                <w:szCs w:val="16"/>
                <w:color w:val="auto"/>
              </w:rPr>
            </w:pPr>
          </w:p>
        </w:tc>
      </w:tr>
      <w:tr>
        <w:trPr>
          <w:trHeight w:val="183"/>
        </w:trPr>
        <w:tc>
          <w:tcPr>
            <w:tcW w:w="460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2,985,465</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(1,692,886)</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1,292,579</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2023</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3"/>
        </w:trPr>
        <w:tc>
          <w:tcPr>
            <w:tcW w:w="45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2,699,810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(2,524,553)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175,257</w:t>
            </w:r>
          </w:p>
        </w:tc>
        <w:tc>
          <w:tcPr>
            <w:tcW w:w="40" w:type="dxa"/>
            <w:vAlign w:val="bottom"/>
            <w:shd w:val="clear" w:color="auto" w:fill="CCEEFF"/>
          </w:tcPr>
          <w:p>
            <w:pPr>
              <w:spacing w:after="0"/>
              <w:rPr>
                <w:sz w:val="16"/>
                <w:szCs w:val="16"/>
                <w:color w:val="auto"/>
              </w:rPr>
            </w:pPr>
          </w:p>
        </w:tc>
      </w:tr>
      <w:tr>
        <w:trPr>
          <w:trHeight w:val="189"/>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381,292</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800,629</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1,181,921</w:t>
            </w:r>
          </w:p>
        </w:tc>
        <w:tc>
          <w:tcPr>
            <w:tcW w:w="40" w:type="dxa"/>
            <w:vAlign w:val="bottom"/>
            <w:tcBorders>
              <w:bottom w:val="single" w:sz="8" w:color="CCEEFF"/>
            </w:tcBorders>
          </w:tcPr>
          <w:p>
            <w:pPr>
              <w:spacing w:after="0"/>
              <w:rPr>
                <w:sz w:val="16"/>
                <w:szCs w:val="16"/>
                <w:color w:val="auto"/>
              </w:rPr>
            </w:pPr>
          </w:p>
        </w:tc>
      </w:tr>
      <w:tr>
        <w:trPr>
          <w:trHeight w:val="183"/>
        </w:trPr>
        <w:tc>
          <w:tcPr>
            <w:tcW w:w="460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3,081,102</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(1,723,924)</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1,357,178</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2022</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3"/>
        </w:trPr>
        <w:tc>
          <w:tcPr>
            <w:tcW w:w="45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2,933,898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(888,232)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2,045,666</w:t>
            </w:r>
          </w:p>
        </w:tc>
        <w:tc>
          <w:tcPr>
            <w:tcW w:w="40" w:type="dxa"/>
            <w:vAlign w:val="bottom"/>
            <w:shd w:val="clear" w:color="auto" w:fill="CCEEFF"/>
          </w:tcPr>
          <w:p>
            <w:pPr>
              <w:spacing w:after="0"/>
              <w:rPr>
                <w:sz w:val="16"/>
                <w:szCs w:val="16"/>
                <w:color w:val="auto"/>
              </w:rPr>
            </w:pPr>
          </w:p>
        </w:tc>
      </w:tr>
      <w:tr>
        <w:trPr>
          <w:trHeight w:val="189"/>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428,471</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288,602</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717,073</w:t>
            </w:r>
          </w:p>
        </w:tc>
        <w:tc>
          <w:tcPr>
            <w:tcW w:w="40" w:type="dxa"/>
            <w:vAlign w:val="bottom"/>
            <w:tcBorders>
              <w:bottom w:val="single" w:sz="8" w:color="CCEEFF"/>
            </w:tcBorders>
          </w:tcPr>
          <w:p>
            <w:pPr>
              <w:spacing w:after="0"/>
              <w:rPr>
                <w:sz w:val="16"/>
                <w:szCs w:val="16"/>
                <w:color w:val="auto"/>
              </w:rPr>
            </w:pPr>
          </w:p>
        </w:tc>
      </w:tr>
      <w:tr>
        <w:trPr>
          <w:trHeight w:val="183"/>
        </w:trPr>
        <w:tc>
          <w:tcPr>
            <w:tcW w:w="460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3,362,369</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(599,630)</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2,762,739</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 xml:space="preserve">The changes in OIBDA during the years ended December 31, 2024, 2023, and 2022, were primarily a result of the factors described in connection with operating revenues and operating expenses, and the </w:t>
      </w:r>
      <w:r>
        <w:rPr>
          <w:rFonts w:ascii="Arial" w:cs="Arial" w:eastAsia="Arial" w:hAnsi="Arial"/>
          <w:sz w:val="18"/>
          <w:szCs w:val="18"/>
          <w:i w:val="1"/>
          <w:iCs w:val="1"/>
          <w:color w:val="auto"/>
        </w:rPr>
        <w:t>“</w:t>
      </w:r>
      <w:r>
        <w:rPr>
          <w:rFonts w:ascii="Arial" w:cs="Arial" w:eastAsia="Arial" w:hAnsi="Arial"/>
          <w:sz w:val="18"/>
          <w:szCs w:val="18"/>
          <w:color w:val="auto"/>
        </w:rPr>
        <w:t>Impairment of long-lived assets and goodwill” of: (1) $219 million from our Wireless segment and (2) $6 million from our Pay-TV segment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Risks Associated with Financial Instruments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Cash Equivalents and Current Marketable Investment Securities</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of December 31, 2024, our unrestricted cash, cash equivalents and current marketable investment securities had a fair value of $476 million. Of that amount, a total of $476 million was invested in: (a) cash; (b) money market funds; (c) debt instruments of the United States Government and its agencies; (d) commercial paper and corporate notes with an overall average maturity of less than one year and rated in one of the four highest rating categories by at least two nationally recognized statistical rating organizations; and/or (e) instruments with similar risk, duration and credit quality characteristics to the commercial paper and corporate obligations described above. The primary purpose of these investing activities has been to preserve principal until the cash is required to, among other things, continue investing in our business, pursue acquisitions and other strategic transactions, fund ongoing operations, repay debt obligations and expand our business. Consequently, the size of this portfolio can fluctuate significantly as cash is received and used in our business for these or other purposes. The value of this portfolio is negatively impacted by credit losses; however, this risk is mitigated through diversification that limits our exposure to any one issuer.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196" w:lineRule="exact"/>
        <w:rPr>
          <w:sz w:val="20"/>
          <w:szCs w:val="20"/>
          <w:color w:val="auto"/>
        </w:rPr>
      </w:pPr>
    </w:p>
    <w:p>
      <w:pPr>
        <w:ind w:left="60" w:right="419"/>
        <w:spacing w:after="0" w:line="244" w:lineRule="auto"/>
        <w:rPr>
          <w:sz w:val="20"/>
          <w:szCs w:val="20"/>
          <w:color w:val="auto"/>
        </w:rPr>
      </w:pPr>
      <w:r>
        <w:rPr>
          <w:rFonts w:ascii="Arial" w:cs="Arial" w:eastAsia="Arial" w:hAnsi="Arial"/>
          <w:sz w:val="18"/>
          <w:szCs w:val="18"/>
          <w:color w:val="auto"/>
        </w:rPr>
        <w:t>A change in interest rates would affect the fair value of our cash, cash equivalents and current marketable investment securities portfolio; however, we normally hold these investments to maturity. Based on our December 31, 2024 current non-strategic investment portfolio of $476 million, a hypothetical 10% change in average interest rates would not have a material impact on the fair value due to the limited duration of our investments.</w:t>
      </w:r>
    </w:p>
    <w:p>
      <w:pPr>
        <w:spacing w:after="0" w:line="163"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Our cash, cash equivalents and current marketable investment securities had an average annual rate of return for the year ended December 31, 2024 of 4.3%. A change in interest rates would affect our future annual interest income from this portfolio, since funds would be re-invested at different rates as the instruments mature. A hypothetical 10% decrease in average interest rates during 2024 would result in a decrease of approximately $5 million in annual interest income.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 Cash Equivalents and Marketable Investment Securities</w:t>
      </w:r>
    </w:p>
    <w:p>
      <w:pPr>
        <w:spacing w:after="0" w:line="19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As of December 31, 2024, we had $279 million of restricted cash, cash equivalents and marketable investment securities invested in: (a) cash; (b) money market funds; (c) debt instruments of the United States Government and its agencies; and/or (d) instruments with similar risk, duration and credit quality characteristics to commercial paper. Based on our December 31, 2024 investment portfolio, a hypothetical 10% increase in average interest rates would not have a material impact on the fair value of our restricted cash, cash equivalents and marketable investment securities.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w:t>
      </w:r>
    </w:p>
    <w:p>
      <w:pPr>
        <w:spacing w:after="0" w:line="1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of December 31, 2024, we had debt including intercompany loans of $ 21.779 billion, excluding finance lease obligations and unamortized deferred financing costs and debt discounts, on our Consolidated Balance Sheets. We estimated the fair value of this debt to be approximately $20.222 billion using quoted market prices. The fair value of our debt is affected by fluctuations in interest rates. A hypothetical 10% decrease in assumed interest rates would increase the fair value of our debt by approximately $535 million. To the extent interest rates increase, our future costs of financing would increase at the time of any future financings. As of December 31, 2024, primarily all of our long-term debt consisted of fixed rate indebtedness.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96"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From time to time, we invest in speculative financial instruments, including derivatives. As of December 31, 2024, we did not hold any material derivative financial instruments.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consolidated financial statements are included in this Annual Report on Form 10-K beginning on page F-1.</w:t>
      </w:r>
    </w:p>
    <w:p>
      <w:pPr>
        <w:spacing w:after="0" w:line="198" w:lineRule="exact"/>
        <w:rPr>
          <w:sz w:val="20"/>
          <w:szCs w:val="20"/>
          <w:color w:val="auto"/>
        </w:rPr>
      </w:pPr>
    </w:p>
    <w:p>
      <w:pPr>
        <w:ind w:left="720" w:right="79" w:hanging="673"/>
        <w:spacing w:after="0" w:line="281"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198"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98"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98" w:lineRule="exact"/>
        <w:rPr>
          <w:sz w:val="20"/>
          <w:szCs w:val="20"/>
          <w:color w:val="auto"/>
        </w:rPr>
      </w:pPr>
    </w:p>
    <w:p>
      <w:pPr>
        <w:ind w:left="700" w:right="779" w:hanging="485"/>
        <w:spacing w:after="0" w:line="271"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40" w:lineRule="exact"/>
        <w:rPr>
          <w:rFonts w:ascii="Arial" w:cs="Arial" w:eastAsia="Arial" w:hAnsi="Arial"/>
          <w:sz w:val="18"/>
          <w:szCs w:val="18"/>
          <w:color w:val="auto"/>
        </w:rPr>
      </w:pPr>
    </w:p>
    <w:p>
      <w:pPr>
        <w:ind w:left="700" w:right="139" w:hanging="525"/>
        <w:spacing w:after="0" w:line="24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generally accepted accounting principles, and that our receipts and expenditures are being made only in accordance with authorizations of our management and our directors; and</w:t>
      </w:r>
    </w:p>
    <w:p>
      <w:pPr>
        <w:spacing w:after="0" w:line="160" w:lineRule="exact"/>
        <w:rPr>
          <w:rFonts w:ascii="Arial" w:cs="Arial" w:eastAsia="Arial" w:hAnsi="Arial"/>
          <w:sz w:val="18"/>
          <w:szCs w:val="18"/>
          <w:color w:val="auto"/>
        </w:rPr>
      </w:pPr>
    </w:p>
    <w:p>
      <w:pPr>
        <w:ind w:left="700" w:right="459" w:hanging="565"/>
        <w:spacing w:after="0" w:line="301" w:lineRule="auto"/>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our financial statements.</w:t>
      </w:r>
    </w:p>
    <w:p>
      <w:pPr>
        <w:spacing w:after="0" w:line="117"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based on the framework in Internal Control </w:t>
      </w:r>
      <w:r>
        <w:rPr>
          <w:rFonts w:ascii="Arial" w:cs="Arial" w:eastAsia="Arial" w:hAnsi="Arial"/>
          <w:sz w:val="18"/>
          <w:szCs w:val="18"/>
          <w:i w:val="1"/>
          <w:iCs w:val="1"/>
          <w:color w:val="auto"/>
        </w:rPr>
        <w:t>–</w:t>
      </w:r>
      <w:r>
        <w:rPr>
          <w:rFonts w:ascii="Arial" w:cs="Arial" w:eastAsia="Arial" w:hAnsi="Arial"/>
          <w:sz w:val="18"/>
          <w:szCs w:val="18"/>
          <w:color w:val="auto"/>
        </w:rPr>
        <w:t xml:space="preserve"> Integrated Framework (2013) issued by the Committee of Sponsoring Organizations of the Treadway Commission (COSO). Based on this evaluation, our management concluded that our internal control over financial reporting was effective as of December 31, 2024.</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Appointment of Independent Registered Public Accounting Firm</w:t>
      </w:r>
    </w:p>
    <w:p>
      <w:pPr>
        <w:spacing w:after="0" w:line="198"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b w:val="1"/>
          <w:bCs w:val="1"/>
          <w:i w:val="1"/>
          <w:iCs w:val="1"/>
          <w:color w:val="auto"/>
        </w:rPr>
        <w:t>Appointment of Independent Registered Public Accounting Firm for 2024</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KPMG LLP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 for the fiscal year ended December 31, 2024.</w:t>
      </w:r>
    </w:p>
    <w:p>
      <w:pPr>
        <w:spacing w:after="0" w:line="140"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EchoStar’s Board of Directors, in its discretion, may direct the appointment of a different independent registered public accounting firm at any time during the year if the Board of Directors believes that a change would be in its best interests.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Fees Paid to KPMG LLP for 2024 and 2023</w:t>
      </w:r>
    </w:p>
    <w:p>
      <w:pPr>
        <w:spacing w:after="0" w:line="198" w:lineRule="exact"/>
        <w:rPr>
          <w:sz w:val="20"/>
          <w:szCs w:val="20"/>
          <w:color w:val="auto"/>
        </w:rPr>
      </w:pPr>
    </w:p>
    <w:p>
      <w:pPr>
        <w:ind w:left="60" w:right="219"/>
        <w:spacing w:after="0" w:line="245" w:lineRule="auto"/>
        <w:rPr>
          <w:sz w:val="20"/>
          <w:szCs w:val="20"/>
          <w:color w:val="auto"/>
        </w:rPr>
      </w:pPr>
      <w:r>
        <w:rPr>
          <w:rFonts w:ascii="Arial" w:cs="Arial" w:eastAsia="Arial" w:hAnsi="Arial"/>
          <w:sz w:val="18"/>
          <w:szCs w:val="18"/>
          <w:color w:val="auto"/>
        </w:rPr>
        <w:t>The following table presents fees for the aggregate professional audit services rendered by KPMG LLP for the annual audit of the financial statements of EchoStar and its subsidiaries for the years ended</w:t>
      </w:r>
    </w:p>
    <w:p>
      <w:pPr>
        <w:ind w:left="60" w:right="119"/>
        <w:spacing w:after="0" w:line="239" w:lineRule="auto"/>
        <w:rPr>
          <w:sz w:val="20"/>
          <w:szCs w:val="20"/>
          <w:color w:val="auto"/>
        </w:rPr>
      </w:pPr>
      <w:r>
        <w:rPr>
          <w:rFonts w:ascii="Arial" w:cs="Arial" w:eastAsia="Arial" w:hAnsi="Arial"/>
          <w:sz w:val="18"/>
          <w:szCs w:val="18"/>
          <w:color w:val="auto"/>
        </w:rPr>
        <w:t>December 31, 2024 and 2023, and fees billed for other services rendered by KPMG LLP to EchoStar and its subsidiaries during those periods. We have reported the fees billed for services rendered to both EchoStar and its subsidiaries because the services are not rendered or billed specifically for us but for the EchoStar consolidated group as a whole. Prior year fees paid to KPMG for both EchoStar and DISH Network pre-Merger have been combined to be consistent with the current year presentation.</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Years Ended December 31,</w:t>
            </w:r>
          </w:p>
        </w:tc>
      </w:tr>
      <w:tr>
        <w:trPr>
          <w:trHeight w:val="203"/>
        </w:trPr>
        <w:tc>
          <w:tcPr>
            <w:tcW w:w="47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Audit Fees (1)</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7,756,168</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9,724,769</w:t>
            </w:r>
          </w:p>
        </w:tc>
        <w:tc>
          <w:tcPr>
            <w:tcW w:w="60" w:type="dxa"/>
            <w:vAlign w:val="bottom"/>
            <w:shd w:val="clear" w:color="auto" w:fill="CCEEFF"/>
          </w:tcPr>
          <w:p>
            <w:pPr>
              <w:spacing w:after="0"/>
              <w:rPr>
                <w:sz w:val="17"/>
                <w:szCs w:val="17"/>
                <w:color w:val="auto"/>
              </w:rPr>
            </w:pP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Audit-Related Fees</w:t>
            </w:r>
          </w:p>
        </w:tc>
        <w:tc>
          <w:tcPr>
            <w:tcW w:w="3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480,000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1,052,603</w:t>
            </w:r>
          </w:p>
        </w:tc>
        <w:tc>
          <w:tcPr>
            <w:tcW w:w="60" w:type="dxa"/>
            <w:vAlign w:val="bottom"/>
          </w:tcPr>
          <w:p>
            <w:pPr>
              <w:spacing w:after="0"/>
              <w:rPr>
                <w:sz w:val="17"/>
                <w:szCs w:val="17"/>
                <w:color w:val="auto"/>
              </w:rPr>
            </w:pP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Tax Compliance Fees</w:t>
            </w:r>
          </w:p>
        </w:tc>
        <w:tc>
          <w:tcPr>
            <w:tcW w:w="3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643,786</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858,580</w:t>
            </w:r>
          </w:p>
        </w:tc>
        <w:tc>
          <w:tcPr>
            <w:tcW w:w="60" w:type="dxa"/>
            <w:vAlign w:val="bottom"/>
            <w:shd w:val="clear" w:color="auto" w:fill="CCEEFF"/>
          </w:tcPr>
          <w:p>
            <w:pPr>
              <w:spacing w:after="0"/>
              <w:rPr>
                <w:sz w:val="17"/>
                <w:szCs w:val="17"/>
                <w:color w:val="auto"/>
              </w:rPr>
            </w:pPr>
          </w:p>
        </w:tc>
      </w:tr>
      <w:tr>
        <w:trPr>
          <w:trHeight w:val="203"/>
        </w:trPr>
        <w:tc>
          <w:tcPr>
            <w:tcW w:w="47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All Other Fees (2)</w:t>
            </w: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141,744</w:t>
            </w:r>
          </w:p>
        </w:tc>
        <w:tc>
          <w:tcPr>
            <w:tcW w:w="2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115,000</w:t>
            </w:r>
          </w:p>
        </w:tc>
        <w:tc>
          <w:tcPr>
            <w:tcW w:w="60" w:type="dxa"/>
            <w:vAlign w:val="bottom"/>
            <w:tcBorders>
              <w:bottom w:val="single" w:sz="8" w:color="CCEEFF"/>
            </w:tcBorders>
          </w:tcPr>
          <w:p>
            <w:pPr>
              <w:spacing w:after="0"/>
              <w:rPr>
                <w:sz w:val="17"/>
                <w:szCs w:val="17"/>
                <w:color w:val="auto"/>
              </w:rPr>
            </w:pPr>
          </w:p>
        </w:tc>
      </w:tr>
      <w:tr>
        <w:trPr>
          <w:trHeight w:val="196"/>
        </w:trPr>
        <w:tc>
          <w:tcPr>
            <w:tcW w:w="4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Fees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9,021,698</w:t>
            </w:r>
          </w:p>
        </w:tc>
        <w:tc>
          <w:tcPr>
            <w:tcW w:w="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11,750,952</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right="159" w:hanging="330"/>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fees paid by EchoStar and its subsidiaries for the audit of our consolidated financial statements included in EchoStar and its subsidiaries Annual Reports on Form 10-K, review of EchoStar and its subsidiaries unaudited financial statements included in our Quarterly Reports on Form 10-Q and fees in connection with the audit of EchoStar and its subsidiaries internal control over financial reporting.</w:t>
      </w:r>
    </w:p>
    <w:p>
      <w:pPr>
        <w:ind w:left="380" w:hanging="330"/>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fees for services related to review of contract compliance.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Registered Public Accounting Firm</w:t>
      </w:r>
    </w:p>
    <w:p>
      <w:pPr>
        <w:spacing w:after="0" w:line="12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EchoStar’s Board of Directors delegated to EchoStar’s Audit Committee the responsibility for appointing, setting compensation, retaining, and overseeing the work of its independent registered public accounting firm until December 31, 2024.</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Requests are submitted to the Audit Committee of EchoStar in one of the following ways:</w:t>
      </w:r>
    </w:p>
    <w:p>
      <w:pPr>
        <w:spacing w:after="0" w:line="90"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Request for approval of services at a meeting of the Audit Committee; or</w:t>
      </w:r>
    </w:p>
    <w:p>
      <w:pPr>
        <w:spacing w:after="0" w:line="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Request for approval of services by members of the Audit Committee acting by written consent.</w:t>
      </w:r>
    </w:p>
    <w:p>
      <w:pPr>
        <w:spacing w:after="0" w:line="211"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The request may be made with respect to either specific services or a type of service for predictable or recurring services. 100% of the fees paid to KPMG LLP for services rendered in 2024 and 2023 were pre-approved by the Audit Committee of EchoStar.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tbl>
      <w:tblPr>
        <w:tblLayout w:type="fixed"/>
        <w:tblInd w:w="60" w:type="dxa"/>
        <w:tblCellMar>
          <w:top w:w="0" w:type="dxa"/>
          <w:left w:w="0" w:type="dxa"/>
          <w:bottom w:w="0" w:type="dxa"/>
          <w:right w:w="0" w:type="dxa"/>
        </w:tblCellMar>
      </w:tblPr>
      <w:tr>
        <w:trPr>
          <w:trHeight w:val="207"/>
        </w:trPr>
        <w:tc>
          <w:tcPr>
            <w:tcW w:w="7540" w:type="dxa"/>
            <w:vAlign w:val="bottom"/>
            <w:gridSpan w:val="9"/>
          </w:tcPr>
          <w:p>
            <w:pPr>
              <w:spacing w:after="0"/>
              <w:rPr>
                <w:sz w:val="20"/>
                <w:szCs w:val="20"/>
                <w:color w:val="auto"/>
              </w:rPr>
            </w:pPr>
            <w:r>
              <w:rPr>
                <w:rFonts w:ascii="Arial" w:cs="Arial" w:eastAsia="Arial" w:hAnsi="Arial"/>
                <w:sz w:val="18"/>
                <w:szCs w:val="18"/>
                <w:color w:val="0000EE"/>
              </w:rPr>
              <w:t>Table of Contents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5"/>
        </w:trPr>
        <w:tc>
          <w:tcPr>
            <w:tcW w:w="8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00" w:type="dxa"/>
            <w:vAlign w:val="bottom"/>
            <w:gridSpan w:val="5"/>
          </w:tcPr>
          <w:p>
            <w:pPr>
              <w:ind w:left="60"/>
              <w:spacing w:after="0"/>
              <w:rPr>
                <w:sz w:val="20"/>
                <w:szCs w:val="20"/>
                <w:color w:val="auto"/>
              </w:rPr>
            </w:pPr>
            <w:r>
              <w:rPr>
                <w:rFonts w:ascii="Arial" w:cs="Arial" w:eastAsia="Arial" w:hAnsi="Arial"/>
                <w:sz w:val="18"/>
                <w:szCs w:val="18"/>
                <w:b w:val="1"/>
                <w:bCs w:val="1"/>
                <w:color w:val="auto"/>
              </w:rPr>
              <w:t>PART IV</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54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7540" w:type="dxa"/>
            <w:vAlign w:val="bottom"/>
            <w:gridSpan w:val="9"/>
          </w:tcPr>
          <w:p>
            <w:pPr>
              <w:ind w:left="160"/>
              <w:spacing w:after="0"/>
              <w:rPr>
                <w:sz w:val="20"/>
                <w:szCs w:val="20"/>
                <w:color w:val="auto"/>
              </w:rPr>
            </w:pPr>
            <w:r>
              <w:rPr>
                <w:rFonts w:ascii="Arial" w:cs="Arial" w:eastAsia="Arial" w:hAnsi="Arial"/>
                <w:sz w:val="18"/>
                <w:szCs w:val="18"/>
                <w:color w:val="auto"/>
              </w:rPr>
              <w:t>(a) The following documents are filed as part of this report: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540" w:type="dxa"/>
            <w:vAlign w:val="bottom"/>
            <w:gridSpan w:val="9"/>
          </w:tcPr>
          <w:p>
            <w:pPr>
              <w:ind w:left="50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tc>
        <w:tc>
          <w:tcPr>
            <w:tcW w:w="5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6700" w:type="dxa"/>
            <w:vAlign w:val="bottom"/>
            <w:gridSpan w:val="8"/>
          </w:tcPr>
          <w:p>
            <w:pPr>
              <w:spacing w:after="0"/>
              <w:rPr>
                <w:sz w:val="20"/>
                <w:szCs w:val="20"/>
                <w:color w:val="auto"/>
              </w:rPr>
            </w:pPr>
            <w:r>
              <w:rPr>
                <w:rFonts w:ascii="Arial" w:cs="Arial" w:eastAsia="Arial" w:hAnsi="Arial"/>
                <w:sz w:val="18"/>
                <w:szCs w:val="18"/>
                <w:color w:val="0000EE"/>
              </w:rPr>
              <w:t>Report of KPMG LLP, Independent Registered Public Accounting Firm</w:t>
            </w:r>
          </w:p>
        </w:tc>
        <w:tc>
          <w:tcPr>
            <w:tcW w:w="540" w:type="dxa"/>
            <w:vAlign w:val="bottom"/>
          </w:tcPr>
          <w:p>
            <w:pPr>
              <w:ind w:left="26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5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Consolidated Balance Sheets</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ind w:left="260"/>
              <w:spacing w:after="0" w:line="182"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3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4340" w:type="dxa"/>
            <w:vAlign w:val="bottom"/>
            <w:gridSpan w:val="6"/>
          </w:tcPr>
          <w:p>
            <w:pPr>
              <w:spacing w:after="0" w:line="182" w:lineRule="exact"/>
              <w:rPr>
                <w:sz w:val="20"/>
                <w:szCs w:val="20"/>
                <w:color w:val="auto"/>
              </w:rPr>
            </w:pPr>
            <w:r>
              <w:rPr>
                <w:rFonts w:ascii="Arial" w:cs="Arial" w:eastAsia="Arial" w:hAnsi="Arial"/>
                <w:sz w:val="18"/>
                <w:szCs w:val="18"/>
                <w:color w:val="0000EE"/>
              </w:rPr>
              <w:t>Operations and Comprehensive Income (Loss)</w:t>
            </w:r>
          </w:p>
        </w:tc>
        <w:tc>
          <w:tcPr>
            <w:tcW w:w="540" w:type="dxa"/>
            <w:vAlign w:val="bottom"/>
          </w:tcPr>
          <w:p>
            <w:pPr>
              <w:ind w:left="260"/>
              <w:spacing w:after="0" w:line="18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6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Consolidated Statements of Changes in Stockholder’s Equity (Deficit)</w:t>
            </w:r>
          </w:p>
        </w:tc>
        <w:tc>
          <w:tcPr>
            <w:tcW w:w="700" w:type="dxa"/>
            <w:vAlign w:val="bottom"/>
          </w:tcPr>
          <w:p>
            <w:pPr>
              <w:spacing w:after="0"/>
              <w:rPr>
                <w:sz w:val="15"/>
                <w:szCs w:val="15"/>
                <w:color w:val="auto"/>
              </w:rPr>
            </w:pPr>
          </w:p>
        </w:tc>
        <w:tc>
          <w:tcPr>
            <w:tcW w:w="540" w:type="dxa"/>
            <w:vAlign w:val="bottom"/>
          </w:tcPr>
          <w:p>
            <w:pPr>
              <w:ind w:left="260"/>
              <w:spacing w:after="0" w:line="18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5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Consolidated Statements of Cash Flows</w:t>
            </w:r>
          </w:p>
        </w:tc>
        <w:tc>
          <w:tcPr>
            <w:tcW w:w="1180" w:type="dxa"/>
            <w:vAlign w:val="bottom"/>
            <w:gridSpan w:val="3"/>
          </w:tcPr>
          <w:p>
            <w:pPr>
              <w:spacing w:after="0"/>
              <w:rPr>
                <w:sz w:val="15"/>
                <w:szCs w:val="15"/>
                <w:color w:val="auto"/>
              </w:rPr>
            </w:pPr>
          </w:p>
        </w:tc>
        <w:tc>
          <w:tcPr>
            <w:tcW w:w="540" w:type="dxa"/>
            <w:vAlign w:val="bottom"/>
          </w:tcPr>
          <w:p>
            <w:pPr>
              <w:ind w:left="260"/>
              <w:spacing w:after="0" w:line="182"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540" w:type="dxa"/>
            <w:vAlign w:val="bottom"/>
            <w:vMerge w:val="restart"/>
          </w:tcPr>
          <w:p>
            <w:pPr>
              <w:ind w:left="260"/>
              <w:spacing w:after="0" w:line="202"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6700" w:type="dxa"/>
            <w:vAlign w:val="bottom"/>
            <w:gridSpan w:val="8"/>
          </w:tcPr>
          <w:p>
            <w:pPr>
              <w:spacing w:after="0" w:line="182" w:lineRule="exact"/>
              <w:rPr>
                <w:sz w:val="20"/>
                <w:szCs w:val="20"/>
                <w:color w:val="auto"/>
              </w:rPr>
            </w:pPr>
            <w:r>
              <w:rPr>
                <w:rFonts w:ascii="Arial" w:cs="Arial" w:eastAsia="Arial" w:hAnsi="Arial"/>
                <w:sz w:val="18"/>
                <w:szCs w:val="18"/>
                <w:color w:val="0000EE"/>
              </w:rPr>
              <w:t>Notes to Consolidated Financial Statements</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860" w:hanging="324"/>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96"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None. All schedules have been included in the consolidated financial statements or notes thereto.</w:t>
      </w:r>
    </w:p>
    <w:p>
      <w:pPr>
        <w:spacing w:after="0" w:line="200" w:lineRule="exact"/>
        <w:rPr>
          <w:rFonts w:ascii="Arial" w:cs="Arial" w:eastAsia="Arial" w:hAnsi="Arial"/>
          <w:sz w:val="18"/>
          <w:szCs w:val="18"/>
          <w:color w:val="auto"/>
        </w:rPr>
      </w:pPr>
    </w:p>
    <w:p>
      <w:pPr>
        <w:ind w:left="860" w:hanging="324"/>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3" w:lineRule="exact"/>
        <w:rPr>
          <w:sz w:val="20"/>
          <w:szCs w:val="20"/>
          <w:color w:val="auto"/>
        </w:rPr>
      </w:pPr>
    </w:p>
    <w:p>
      <w:pPr>
        <w:ind w:left="900" w:right="3619" w:hanging="652"/>
        <w:spacing w:after="0" w:line="271"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90">
        <w:r>
          <w:rPr>
            <w:rFonts w:ascii="Arial" w:cs="Arial" w:eastAsia="Arial" w:hAnsi="Arial"/>
            <w:sz w:val="18"/>
            <w:szCs w:val="18"/>
            <w:u w:val="single" w:color="auto"/>
            <w:color w:val="0000EE"/>
          </w:rPr>
          <w:t>Asset Purchase Agreement, dated as of July 26, 2019,</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by and among T-Mobile US, Inc., Sprint Corporation and</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DISH Network Corporation (incorporated by reference</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from Exhibit 2.2 to the Quarterly Report on Form 10-Q of</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DISH Network Corporation filed July 29, 2019).</w:t>
        </w:r>
      </w:hyperlink>
    </w:p>
    <w:p>
      <w:pPr>
        <w:spacing w:after="0" w:line="181" w:lineRule="exact"/>
        <w:rPr>
          <w:rFonts w:ascii="Arial" w:cs="Arial" w:eastAsia="Arial" w:hAnsi="Arial"/>
          <w:sz w:val="18"/>
          <w:szCs w:val="18"/>
          <w:u w:val="single" w:color="auto"/>
          <w:color w:val="0000EE"/>
        </w:rPr>
      </w:pPr>
    </w:p>
    <w:p>
      <w:pPr>
        <w:ind w:left="900" w:right="3559" w:hanging="652"/>
        <w:spacing w:after="0" w:line="271"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2.2*</w:t>
      </w:r>
      <w:r>
        <w:rPr>
          <w:sz w:val="20"/>
          <w:szCs w:val="20"/>
          <w:color w:val="auto"/>
        </w:rPr>
        <w:tab/>
      </w:r>
      <w:hyperlink r:id="rId91">
        <w:r>
          <w:rPr>
            <w:rFonts w:ascii="Arial" w:cs="Arial" w:eastAsia="Arial" w:hAnsi="Arial"/>
            <w:sz w:val="18"/>
            <w:szCs w:val="18"/>
            <w:u w:val="single" w:color="auto"/>
            <w:color w:val="0000EE"/>
          </w:rPr>
          <w:t>First Amendment to the Asset Purchase Agreement,</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dated June 17, 2020, by and between DISH Network and</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NTM (incorporated by reference from Exhibit 99.1 of the</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Current Report on Form 8-K of DISH Network</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Corporation filed June 17, 2020).</w:t>
        </w:r>
      </w:hyperlink>
    </w:p>
    <w:p>
      <w:pPr>
        <w:spacing w:after="0" w:line="181" w:lineRule="exact"/>
        <w:rPr>
          <w:rFonts w:ascii="Arial" w:cs="Arial" w:eastAsia="Arial" w:hAnsi="Arial"/>
          <w:sz w:val="18"/>
          <w:szCs w:val="18"/>
          <w:u w:val="single" w:color="auto"/>
          <w:color w:val="0000EE"/>
        </w:rPr>
      </w:pPr>
    </w:p>
    <w:p>
      <w:pPr>
        <w:ind w:left="900" w:right="3579" w:hanging="652"/>
        <w:spacing w:after="0" w:line="271"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2.3*</w:t>
      </w:r>
      <w:r>
        <w:rPr>
          <w:sz w:val="20"/>
          <w:szCs w:val="20"/>
          <w:color w:val="auto"/>
        </w:rPr>
        <w:tab/>
      </w:r>
      <w:hyperlink r:id="rId92">
        <w:r>
          <w:rPr>
            <w:rFonts w:ascii="Arial" w:cs="Arial" w:eastAsia="Arial" w:hAnsi="Arial"/>
            <w:sz w:val="18"/>
            <w:szCs w:val="18"/>
            <w:u w:val="single" w:color="auto"/>
            <w:color w:val="0000EE"/>
          </w:rPr>
          <w:t>Amended and Restated Agreement and Plan of Merger,</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dated as of October 2, 2023, by and among EchoStar</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Corporation, DISH Network Corporation and EAV Corp.</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(incorporated by reference from Exhibit 2.1 to EchoStar’s</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Current Report on Form 8-K filed on October 3, 2023).*</w:t>
        </w:r>
      </w:hyperlink>
    </w:p>
    <w:p>
      <w:pPr>
        <w:spacing w:after="0" w:line="181" w:lineRule="exact"/>
        <w:rPr>
          <w:rFonts w:ascii="Arial" w:cs="Arial" w:eastAsia="Arial" w:hAnsi="Arial"/>
          <w:sz w:val="18"/>
          <w:szCs w:val="18"/>
          <w:u w:val="single" w:color="auto"/>
          <w:color w:val="0000EE"/>
        </w:rPr>
      </w:pPr>
    </w:p>
    <w:p>
      <w:pPr>
        <w:ind w:left="900" w:right="3719" w:hanging="652"/>
        <w:spacing w:after="0" w:line="27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93">
        <w:r>
          <w:rPr>
            <w:rFonts w:ascii="Arial" w:cs="Arial" w:eastAsia="Arial" w:hAnsi="Arial"/>
            <w:sz w:val="18"/>
            <w:szCs w:val="18"/>
            <w:u w:val="single" w:color="auto"/>
            <w:color w:val="0000EE"/>
          </w:rPr>
          <w:t>Compiled Articles of Incorporation of DISH Network</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Corporation (incorporated by reference from Exhibit 3.1</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to DISH Network’s Current Report on Form 8-K filed on</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January 2, 2024).</w:t>
        </w:r>
      </w:hyperlink>
    </w:p>
    <w:p>
      <w:pPr>
        <w:spacing w:after="0" w:line="192" w:lineRule="exact"/>
        <w:rPr>
          <w:rFonts w:ascii="Arial" w:cs="Arial" w:eastAsia="Arial" w:hAnsi="Arial"/>
          <w:sz w:val="18"/>
          <w:szCs w:val="18"/>
          <w:u w:val="single" w:color="auto"/>
          <w:color w:val="0000EE"/>
        </w:rPr>
      </w:pPr>
    </w:p>
    <w:p>
      <w:pPr>
        <w:ind w:left="900" w:right="4019" w:hanging="652"/>
        <w:spacing w:after="0" w:line="27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94">
        <w:r>
          <w:rPr>
            <w:rFonts w:ascii="Arial" w:cs="Arial" w:eastAsia="Arial" w:hAnsi="Arial"/>
            <w:sz w:val="18"/>
            <w:szCs w:val="18"/>
            <w:u w:val="single" w:color="auto"/>
            <w:color w:val="0000EE"/>
          </w:rPr>
          <w:t>Compiled Bylaws of DISH Network Corporation</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(incorporated by reference from Exhibit 3.2 to DISH</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Network’s Current Report on Form 8-K filed on</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January 2, 2024).</w:t>
        </w:r>
      </w:hyperlink>
    </w:p>
    <w:p>
      <w:pPr>
        <w:spacing w:after="0" w:line="192" w:lineRule="exact"/>
        <w:rPr>
          <w:rFonts w:ascii="Arial" w:cs="Arial" w:eastAsia="Arial" w:hAnsi="Arial"/>
          <w:sz w:val="18"/>
          <w:szCs w:val="18"/>
          <w:u w:val="single" w:color="auto"/>
          <w:color w:val="0000EE"/>
        </w:rPr>
      </w:pPr>
    </w:p>
    <w:p>
      <w:pPr>
        <w:ind w:left="900" w:right="3559" w:hanging="652"/>
        <w:spacing w:after="0" w:line="26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95">
        <w:r>
          <w:rPr>
            <w:rFonts w:ascii="Arial" w:cs="Arial" w:eastAsia="Arial" w:hAnsi="Arial"/>
            <w:sz w:val="18"/>
            <w:szCs w:val="18"/>
            <w:u w:val="single" w:color="auto"/>
            <w:color w:val="0000EE"/>
          </w:rPr>
          <w:t>Indenture, relating to the 7 3/4% Senior Notes due 2026,</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dated as of June 13, 2016, among DISH DBS</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Corporation, the guarantors named on the signature</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pages thereto and U.S. Bank National Association, as</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Trustee (incorporated by reference from Exhibit 4.1 to the</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Current Report on Form 8-K of DISH Network</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Corporation filed June 13, 2016).</w:t>
        </w:r>
      </w:hyperlink>
    </w:p>
    <w:p>
      <w:pPr>
        <w:spacing w:after="0" w:line="197" w:lineRule="exact"/>
        <w:rPr>
          <w:rFonts w:ascii="Arial" w:cs="Arial" w:eastAsia="Arial" w:hAnsi="Arial"/>
          <w:sz w:val="18"/>
          <w:szCs w:val="18"/>
          <w:u w:val="single" w:color="auto"/>
          <w:color w:val="0000EE"/>
        </w:rPr>
      </w:pPr>
    </w:p>
    <w:p>
      <w:pPr>
        <w:ind w:left="900" w:right="3619" w:hanging="652"/>
        <w:spacing w:after="0" w:line="27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96">
        <w:r>
          <w:rPr>
            <w:rFonts w:ascii="Arial" w:cs="Arial" w:eastAsia="Arial" w:hAnsi="Arial"/>
            <w:sz w:val="18"/>
            <w:szCs w:val="18"/>
            <w:u w:val="single" w:color="auto"/>
            <w:color w:val="0000EE"/>
          </w:rPr>
          <w:t>Indenture, relating to the 3 3/8% Convertible Notes due</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2026, dated as of August 8, 2016, by and between DISH</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Network Corporation and U.S. Bank National</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Association, as Trustee (incorporated by reference from</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Exhibit 4.1 to the Current Report on Form 8-K of DISH</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Network Corporation filed August 8, 2016).</w:t>
        </w:r>
      </w:hyperlink>
    </w:p>
    <w:p>
      <w:pPr>
        <w:spacing w:after="0" w:line="182" w:lineRule="exact"/>
        <w:rPr>
          <w:rFonts w:ascii="Arial" w:cs="Arial" w:eastAsia="Arial" w:hAnsi="Arial"/>
          <w:sz w:val="18"/>
          <w:szCs w:val="18"/>
          <w:u w:val="single" w:color="auto"/>
          <w:color w:val="0000EE"/>
        </w:rPr>
      </w:pPr>
    </w:p>
    <w:p>
      <w:pPr>
        <w:ind w:left="900" w:right="3639" w:hanging="652"/>
        <w:spacing w:after="0" w:line="27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97">
        <w:r>
          <w:rPr>
            <w:rFonts w:ascii="Arial" w:cs="Arial" w:eastAsia="Arial" w:hAnsi="Arial"/>
            <w:sz w:val="18"/>
            <w:szCs w:val="18"/>
            <w:u w:val="single" w:color="auto"/>
            <w:color w:val="0000EE"/>
          </w:rPr>
          <w:t>Supplemental Indenture relating to the 7 3/4% Senior</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Notes due 2026 (incorporated by reference from</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Exhibit 4.16 to the Annual Report on Form 10-K of DISH</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DBS Corporation filed March 29, 2018).</w:t>
        </w:r>
      </w:hyperlink>
    </w:p>
    <w:p>
      <w:pPr>
        <w:sectPr>
          <w:pgSz w:w="11900" w:h="16838" w:orient="portrait"/>
          <w:cols w:equalWidth="0" w:num="1">
            <w:col w:w="9019"/>
          </w:cols>
          <w:pgMar w:left="1440" w:top="500" w:right="1440" w:bottom="0" w:gutter="0" w:footer="0" w:header="0"/>
        </w:sectPr>
      </w:pPr>
    </w:p>
    <w:bookmarkStart w:id="74" w:name="page75"/>
    <w:bookmarkEnd w:id="74"/>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40" w:type="dxa"/>
            <w:vAlign w:val="bottom"/>
          </w:tcPr>
          <w:p>
            <w:pPr>
              <w:jc w:val="center"/>
              <w:ind w:right="650"/>
              <w:spacing w:after="0"/>
              <w:rPr>
                <w:sz w:val="20"/>
                <w:szCs w:val="20"/>
                <w:color w:val="auto"/>
              </w:rPr>
            </w:pPr>
            <w:r>
              <w:rPr>
                <w:rFonts w:ascii="Arial" w:cs="Arial" w:eastAsia="Arial" w:hAnsi="Arial"/>
                <w:sz w:val="18"/>
                <w:szCs w:val="18"/>
                <w:color w:val="auto"/>
                <w:w w:val="99"/>
              </w:rPr>
              <w:t>4.4*</w:t>
            </w:r>
          </w:p>
        </w:tc>
        <w:tc>
          <w:tcPr>
            <w:tcW w:w="7600" w:type="dxa"/>
            <w:vAlign w:val="bottom"/>
            <w:tcBorders>
              <w:bottom w:val="single" w:sz="8" w:color="0000EE"/>
            </w:tcBorders>
            <w:gridSpan w:val="29"/>
          </w:tcPr>
          <w:p>
            <w:pPr>
              <w:spacing w:after="0"/>
              <w:rPr>
                <w:rFonts w:ascii="Arial" w:cs="Arial" w:eastAsia="Arial" w:hAnsi="Arial"/>
                <w:sz w:val="18"/>
                <w:szCs w:val="18"/>
                <w:color w:val="0000EE"/>
                <w:w w:val="99"/>
              </w:rPr>
            </w:pPr>
            <w:hyperlink r:id="rId99">
              <w:r>
                <w:rPr>
                  <w:rFonts w:ascii="Arial" w:cs="Arial" w:eastAsia="Arial" w:hAnsi="Arial"/>
                  <w:sz w:val="18"/>
                  <w:szCs w:val="18"/>
                  <w:color w:val="0000EE"/>
                  <w:w w:val="99"/>
                </w:rPr>
                <w:t>Indenture, relating to the 7 3/8% Senior Notes due 2028, dated as of July 1, 2020, among DISH</w:t>
              </w:r>
            </w:hyperlink>
          </w:p>
        </w:tc>
      </w:tr>
      <w:tr>
        <w:trPr>
          <w:trHeight w:val="209"/>
        </w:trPr>
        <w:tc>
          <w:tcPr>
            <w:tcW w:w="1140" w:type="dxa"/>
            <w:vAlign w:val="bottom"/>
          </w:tcPr>
          <w:p>
            <w:pPr>
              <w:spacing w:after="0"/>
              <w:rPr>
                <w:sz w:val="18"/>
                <w:szCs w:val="18"/>
                <w:color w:val="auto"/>
              </w:rPr>
            </w:pPr>
          </w:p>
        </w:tc>
        <w:tc>
          <w:tcPr>
            <w:tcW w:w="6940" w:type="dxa"/>
            <w:vAlign w:val="bottom"/>
            <w:tcBorders>
              <w:bottom w:val="single" w:sz="8" w:color="0000EE"/>
            </w:tcBorders>
            <w:gridSpan w:val="11"/>
          </w:tcPr>
          <w:p>
            <w:pPr>
              <w:spacing w:after="0"/>
              <w:rPr>
                <w:rFonts w:ascii="Arial" w:cs="Arial" w:eastAsia="Arial" w:hAnsi="Arial"/>
                <w:sz w:val="18"/>
                <w:szCs w:val="18"/>
                <w:color w:val="0000EE"/>
                <w:w w:val="99"/>
              </w:rPr>
            </w:pPr>
            <w:hyperlink r:id="rId99">
              <w:r>
                <w:rPr>
                  <w:rFonts w:ascii="Arial" w:cs="Arial" w:eastAsia="Arial" w:hAnsi="Arial"/>
                  <w:sz w:val="18"/>
                  <w:szCs w:val="18"/>
                  <w:color w:val="0000EE"/>
                  <w:w w:val="99"/>
                </w:rPr>
                <w:t>DBS Corporation, the guarantors named on the signature pages thereto and U.S. Bank</w:t>
              </w:r>
            </w:hyperlink>
          </w:p>
        </w:tc>
        <w:tc>
          <w:tcPr>
            <w:tcW w:w="660" w:type="dxa"/>
            <w:vAlign w:val="bottom"/>
            <w:gridSpan w:val="18"/>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7200" w:type="dxa"/>
            <w:vAlign w:val="bottom"/>
            <w:tcBorders>
              <w:bottom w:val="single" w:sz="8" w:color="0000EE"/>
            </w:tcBorders>
            <w:gridSpan w:val="16"/>
          </w:tcPr>
          <w:p>
            <w:pPr>
              <w:spacing w:after="0"/>
              <w:rPr>
                <w:rFonts w:ascii="Arial" w:cs="Arial" w:eastAsia="Arial" w:hAnsi="Arial"/>
                <w:sz w:val="18"/>
                <w:szCs w:val="18"/>
                <w:color w:val="0000EE"/>
                <w:w w:val="99"/>
              </w:rPr>
            </w:pPr>
            <w:hyperlink r:id="rId99">
              <w:r>
                <w:rPr>
                  <w:rFonts w:ascii="Arial" w:cs="Arial" w:eastAsia="Arial" w:hAnsi="Arial"/>
                  <w:sz w:val="18"/>
                  <w:szCs w:val="18"/>
                  <w:color w:val="0000EE"/>
                  <w:w w:val="99"/>
                </w:rPr>
                <w:t>National Association, as Trustee (incorporated by reference from Exhibit 4.1 to the Current</w:t>
              </w:r>
            </w:hyperlink>
          </w:p>
        </w:tc>
        <w:tc>
          <w:tcPr>
            <w:tcW w:w="400" w:type="dxa"/>
            <w:vAlign w:val="bottom"/>
            <w:gridSpan w:val="1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54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Report on Form 8-K of DISH Network Corporation filed July 1, 2020).</w:t>
              </w:r>
            </w:hyperlink>
          </w:p>
        </w:tc>
        <w:tc>
          <w:tcPr>
            <w:tcW w:w="2120" w:type="dxa"/>
            <w:vAlign w:val="bottom"/>
            <w:gridSpan w:val="24"/>
          </w:tcPr>
          <w:p>
            <w:pPr>
              <w:spacing w:after="0"/>
              <w:rPr>
                <w:sz w:val="17"/>
                <w:szCs w:val="17"/>
                <w:color w:val="auto"/>
              </w:rPr>
            </w:pPr>
          </w:p>
        </w:tc>
      </w:tr>
      <w:tr>
        <w:trPr>
          <w:trHeight w:val="439"/>
        </w:trPr>
        <w:tc>
          <w:tcPr>
            <w:tcW w:w="1140" w:type="dxa"/>
            <w:vAlign w:val="bottom"/>
          </w:tcPr>
          <w:p>
            <w:pPr>
              <w:jc w:val="center"/>
              <w:ind w:right="650"/>
              <w:spacing w:after="0"/>
              <w:rPr>
                <w:sz w:val="20"/>
                <w:szCs w:val="20"/>
                <w:color w:val="auto"/>
              </w:rPr>
            </w:pPr>
            <w:r>
              <w:rPr>
                <w:rFonts w:ascii="Arial" w:cs="Arial" w:eastAsia="Arial" w:hAnsi="Arial"/>
                <w:sz w:val="18"/>
                <w:szCs w:val="18"/>
                <w:color w:val="auto"/>
                <w:w w:val="99"/>
              </w:rPr>
              <w:t>4.5*</w:t>
            </w:r>
          </w:p>
        </w:tc>
        <w:tc>
          <w:tcPr>
            <w:tcW w:w="7460" w:type="dxa"/>
            <w:vAlign w:val="bottom"/>
            <w:tcBorders>
              <w:bottom w:val="single" w:sz="8" w:color="0000EE"/>
            </w:tcBorders>
            <w:gridSpan w:val="23"/>
          </w:tcPr>
          <w:p>
            <w:pPr>
              <w:spacing w:after="0"/>
              <w:rPr>
                <w:rFonts w:ascii="Arial" w:cs="Arial" w:eastAsia="Arial" w:hAnsi="Arial"/>
                <w:sz w:val="18"/>
                <w:szCs w:val="18"/>
                <w:color w:val="0000EE"/>
                <w:w w:val="99"/>
              </w:rPr>
            </w:pPr>
            <w:hyperlink r:id="rId100">
              <w:r>
                <w:rPr>
                  <w:rFonts w:ascii="Arial" w:cs="Arial" w:eastAsia="Arial" w:hAnsi="Arial"/>
                  <w:sz w:val="18"/>
                  <w:szCs w:val="18"/>
                  <w:color w:val="0000EE"/>
                  <w:w w:val="99"/>
                </w:rPr>
                <w:t>Indenture, relating to the 0% Convertible Notes due 2025, dated as of December 21, 2020, by</w:t>
              </w:r>
            </w:hyperlink>
          </w:p>
        </w:tc>
        <w:tc>
          <w:tcPr>
            <w:tcW w:w="140" w:type="dxa"/>
            <w:vAlign w:val="bottom"/>
            <w:gridSpan w:val="6"/>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7040" w:type="dxa"/>
            <w:vAlign w:val="bottom"/>
            <w:tcBorders>
              <w:bottom w:val="single" w:sz="8" w:color="0000EE"/>
            </w:tcBorders>
            <w:gridSpan w:val="13"/>
          </w:tcPr>
          <w:p>
            <w:pPr>
              <w:spacing w:after="0"/>
              <w:rPr>
                <w:rFonts w:ascii="Arial" w:cs="Arial" w:eastAsia="Arial" w:hAnsi="Arial"/>
                <w:sz w:val="18"/>
                <w:szCs w:val="18"/>
                <w:color w:val="0000EE"/>
                <w:w w:val="99"/>
              </w:rPr>
            </w:pPr>
            <w:hyperlink r:id="rId100">
              <w:r>
                <w:rPr>
                  <w:rFonts w:ascii="Arial" w:cs="Arial" w:eastAsia="Arial" w:hAnsi="Arial"/>
                  <w:sz w:val="18"/>
                  <w:szCs w:val="18"/>
                  <w:color w:val="0000EE"/>
                  <w:w w:val="99"/>
                </w:rPr>
                <w:t>and between DISH Network Corporation and U.S. Bank National Association, as Trustee</w:t>
              </w:r>
            </w:hyperlink>
          </w:p>
        </w:tc>
        <w:tc>
          <w:tcPr>
            <w:tcW w:w="560" w:type="dxa"/>
            <w:vAlign w:val="bottom"/>
            <w:gridSpan w:val="16"/>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w w:val="99"/>
              </w:rPr>
            </w:pPr>
            <w:hyperlink r:id="rId100">
              <w:r>
                <w:rPr>
                  <w:rFonts w:ascii="Arial" w:cs="Arial" w:eastAsia="Arial" w:hAnsi="Arial"/>
                  <w:sz w:val="18"/>
                  <w:szCs w:val="18"/>
                  <w:color w:val="0000EE"/>
                  <w:w w:val="99"/>
                </w:rPr>
                <w:t>(incorporated by reference from Exhibit 4.1 to the Current Report on Form 8-K of DISH Network</w:t>
              </w:r>
            </w:hyperlink>
          </w:p>
        </w:tc>
      </w:tr>
      <w:tr>
        <w:trPr>
          <w:trHeight w:val="196"/>
        </w:trPr>
        <w:tc>
          <w:tcPr>
            <w:tcW w:w="1140" w:type="dxa"/>
            <w:vAlign w:val="bottom"/>
          </w:tcPr>
          <w:p>
            <w:pPr>
              <w:spacing w:after="0"/>
              <w:rPr>
                <w:sz w:val="17"/>
                <w:szCs w:val="17"/>
                <w:color w:val="auto"/>
              </w:rPr>
            </w:pPr>
          </w:p>
        </w:tc>
        <w:tc>
          <w:tcPr>
            <w:tcW w:w="3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Corporation filed December 22, 2020).</w:t>
              </w:r>
            </w:hyperlink>
          </w:p>
        </w:tc>
        <w:tc>
          <w:tcPr>
            <w:tcW w:w="4520" w:type="dxa"/>
            <w:vAlign w:val="bottom"/>
            <w:tcBorders>
              <w:top w:val="single" w:sz="8" w:color="0000EE"/>
            </w:tcBorders>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140" w:type="dxa"/>
            <w:vAlign w:val="bottom"/>
          </w:tcPr>
          <w:p>
            <w:pPr>
              <w:jc w:val="center"/>
              <w:ind w:right="650"/>
              <w:spacing w:after="0"/>
              <w:rPr>
                <w:sz w:val="20"/>
                <w:szCs w:val="20"/>
                <w:color w:val="auto"/>
              </w:rPr>
            </w:pPr>
            <w:r>
              <w:rPr>
                <w:rFonts w:ascii="Arial" w:cs="Arial" w:eastAsia="Arial" w:hAnsi="Arial"/>
                <w:sz w:val="18"/>
                <w:szCs w:val="18"/>
                <w:color w:val="auto"/>
                <w:w w:val="99"/>
              </w:rPr>
              <w:t>4.6*</w:t>
            </w:r>
          </w:p>
        </w:tc>
        <w:tc>
          <w:tcPr>
            <w:tcW w:w="7600" w:type="dxa"/>
            <w:vAlign w:val="bottom"/>
            <w:gridSpan w:val="29"/>
          </w:tcPr>
          <w:p>
            <w:pPr>
              <w:spacing w:after="0"/>
              <w:rPr>
                <w:rFonts w:ascii="Arial" w:cs="Arial" w:eastAsia="Arial" w:hAnsi="Arial"/>
                <w:sz w:val="18"/>
                <w:szCs w:val="18"/>
                <w:color w:val="0000EE"/>
              </w:rPr>
            </w:pPr>
            <w:hyperlink r:id="rId101">
              <w:r>
                <w:rPr>
                  <w:rFonts w:ascii="Arial" w:cs="Arial" w:eastAsia="Arial" w:hAnsi="Arial"/>
                  <w:sz w:val="18"/>
                  <w:szCs w:val="18"/>
                  <w:color w:val="0000EE"/>
                </w:rPr>
                <w:t>First Supplemental Indenture, relating to the DISH 3.375% Convertible Notes due 2026, dated</w:t>
              </w:r>
            </w:hyperlink>
          </w:p>
        </w:tc>
      </w:tr>
      <w:tr>
        <w:trPr>
          <w:trHeight w:val="209"/>
        </w:trPr>
        <w:tc>
          <w:tcPr>
            <w:tcW w:w="1140" w:type="dxa"/>
            <w:vAlign w:val="bottom"/>
          </w:tcPr>
          <w:p>
            <w:pPr>
              <w:spacing w:after="0"/>
              <w:rPr>
                <w:sz w:val="18"/>
                <w:szCs w:val="18"/>
                <w:color w:val="auto"/>
              </w:rPr>
            </w:pPr>
          </w:p>
        </w:tc>
        <w:tc>
          <w:tcPr>
            <w:tcW w:w="7460" w:type="dxa"/>
            <w:vAlign w:val="bottom"/>
            <w:tcBorders>
              <w:top w:val="single" w:sz="8" w:color="0000EE"/>
            </w:tcBorders>
            <w:gridSpan w:val="23"/>
          </w:tcPr>
          <w:p>
            <w:pPr>
              <w:spacing w:after="0"/>
              <w:rPr>
                <w:rFonts w:ascii="Arial" w:cs="Arial" w:eastAsia="Arial" w:hAnsi="Arial"/>
                <w:sz w:val="18"/>
                <w:szCs w:val="18"/>
                <w:color w:val="0000EE"/>
              </w:rPr>
            </w:pPr>
            <w:hyperlink r:id="rId101">
              <w:r>
                <w:rPr>
                  <w:rFonts w:ascii="Arial" w:cs="Arial" w:eastAsia="Arial" w:hAnsi="Arial"/>
                  <w:sz w:val="18"/>
                  <w:szCs w:val="18"/>
                  <w:color w:val="0000EE"/>
                </w:rPr>
                <w:t>as of December 29, 2023, among DISH Network Corporation, EchoStar Corporation and U.S.</w:t>
              </w:r>
            </w:hyperlink>
          </w:p>
        </w:tc>
        <w:tc>
          <w:tcPr>
            <w:tcW w:w="140" w:type="dxa"/>
            <w:vAlign w:val="bottom"/>
            <w:gridSpan w:val="6"/>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7440" w:type="dxa"/>
            <w:vAlign w:val="bottom"/>
            <w:tcBorders>
              <w:top w:val="single" w:sz="8" w:color="0000EE"/>
            </w:tcBorders>
            <w:gridSpan w:val="22"/>
          </w:tcPr>
          <w:p>
            <w:pPr>
              <w:spacing w:after="0"/>
              <w:rPr>
                <w:rFonts w:ascii="Arial" w:cs="Arial" w:eastAsia="Arial" w:hAnsi="Arial"/>
                <w:sz w:val="18"/>
                <w:szCs w:val="18"/>
                <w:color w:val="0000EE"/>
                <w:w w:val="99"/>
              </w:rPr>
            </w:pPr>
            <w:hyperlink r:id="rId101">
              <w:r>
                <w:rPr>
                  <w:rFonts w:ascii="Arial" w:cs="Arial" w:eastAsia="Arial" w:hAnsi="Arial"/>
                  <w:sz w:val="18"/>
                  <w:szCs w:val="18"/>
                  <w:color w:val="0000EE"/>
                  <w:w w:val="99"/>
                </w:rPr>
                <w:t>Bank Trust Company, National Association (as successor to U.S. Bank National Association),</w:t>
              </w:r>
            </w:hyperlink>
          </w:p>
        </w:tc>
        <w:tc>
          <w:tcPr>
            <w:tcW w:w="16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74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as Trustee (incorporated by reference from Exhibit 4.2 to the Current Report on Form 8-K of</w:t>
              </w:r>
            </w:hyperlink>
          </w:p>
        </w:tc>
        <w:tc>
          <w:tcPr>
            <w:tcW w:w="200" w:type="dxa"/>
            <w:vAlign w:val="bottom"/>
            <w:gridSpan w:val="8"/>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3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r:id="rId101">
              <w:r>
                <w:rPr>
                  <w:rFonts w:ascii="Arial" w:cs="Arial" w:eastAsia="Arial" w:hAnsi="Arial"/>
                  <w:sz w:val="18"/>
                  <w:szCs w:val="18"/>
                  <w:color w:val="0000EE"/>
                  <w:w w:val="99"/>
                </w:rPr>
                <w:t>EchoStar Corporation filed January 2, 2024).</w:t>
              </w:r>
            </w:hyperlink>
          </w:p>
        </w:tc>
        <w:tc>
          <w:tcPr>
            <w:tcW w:w="3720" w:type="dxa"/>
            <w:vAlign w:val="bottom"/>
            <w:tcBorders>
              <w:top w:val="single" w:sz="8" w:color="0000EE"/>
            </w:tcBorders>
            <w:gridSpan w:val="16"/>
          </w:tcPr>
          <w:p>
            <w:pPr>
              <w:spacing w:after="0"/>
              <w:rPr>
                <w:sz w:val="18"/>
                <w:szCs w:val="18"/>
                <w:color w:val="auto"/>
              </w:rPr>
            </w:pPr>
          </w:p>
        </w:tc>
        <w:tc>
          <w:tcPr>
            <w:tcW w:w="320" w:type="dxa"/>
            <w:vAlign w:val="bottom"/>
            <w:gridSpan w:val="11"/>
          </w:tcPr>
          <w:p>
            <w:pPr>
              <w:spacing w:after="0"/>
              <w:rPr>
                <w:sz w:val="18"/>
                <w:szCs w:val="18"/>
                <w:color w:val="auto"/>
              </w:rPr>
            </w:pPr>
          </w:p>
        </w:tc>
      </w:tr>
      <w:tr>
        <w:trPr>
          <w:trHeight w:val="426"/>
        </w:trPr>
        <w:tc>
          <w:tcPr>
            <w:tcW w:w="1140" w:type="dxa"/>
            <w:vAlign w:val="bottom"/>
          </w:tcPr>
          <w:p>
            <w:pPr>
              <w:jc w:val="center"/>
              <w:ind w:right="650"/>
              <w:spacing w:after="0"/>
              <w:rPr>
                <w:sz w:val="20"/>
                <w:szCs w:val="20"/>
                <w:color w:val="auto"/>
              </w:rPr>
            </w:pPr>
            <w:r>
              <w:rPr>
                <w:rFonts w:ascii="Arial" w:cs="Arial" w:eastAsia="Arial" w:hAnsi="Arial"/>
                <w:sz w:val="18"/>
                <w:szCs w:val="18"/>
                <w:color w:val="auto"/>
                <w:w w:val="99"/>
              </w:rPr>
              <w:t>4.7*</w:t>
            </w:r>
          </w:p>
        </w:tc>
        <w:tc>
          <w:tcPr>
            <w:tcW w:w="7560" w:type="dxa"/>
            <w:vAlign w:val="bottom"/>
            <w:tcBorders>
              <w:bottom w:val="single" w:sz="8" w:color="0000EE"/>
            </w:tcBorders>
            <w:gridSpan w:val="27"/>
          </w:tcPr>
          <w:p>
            <w:pPr>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First Supplemental Indenture, relating to the DISH 0% Convertible Notes due 2025, dated as of</w:t>
              </w:r>
            </w:hyperlink>
          </w:p>
        </w:tc>
        <w:tc>
          <w:tcPr>
            <w:tcW w:w="40" w:type="dxa"/>
            <w:vAlign w:val="bottom"/>
            <w:gridSpan w:val="2"/>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02">
              <w:r>
                <w:rPr>
                  <w:rFonts w:ascii="Arial" w:cs="Arial" w:eastAsia="Arial" w:hAnsi="Arial"/>
                  <w:sz w:val="18"/>
                  <w:szCs w:val="18"/>
                  <w:color w:val="0000EE"/>
                </w:rPr>
                <w:t>December 29, 2023, among DISH Network Corporation, EchoStar Corporation and U.S. Bank</w:t>
              </w:r>
            </w:hyperlink>
          </w:p>
        </w:tc>
      </w:tr>
      <w:tr>
        <w:trPr>
          <w:trHeight w:val="210"/>
        </w:trPr>
        <w:tc>
          <w:tcPr>
            <w:tcW w:w="1140" w:type="dxa"/>
            <w:vAlign w:val="bottom"/>
          </w:tcPr>
          <w:p>
            <w:pPr>
              <w:spacing w:after="0"/>
              <w:rPr>
                <w:sz w:val="18"/>
                <w:szCs w:val="18"/>
                <w:color w:val="auto"/>
              </w:rPr>
            </w:pPr>
          </w:p>
        </w:tc>
        <w:tc>
          <w:tcPr>
            <w:tcW w:w="72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Trust Company, National Association (as successor to U.S. Bank National Association), as</w:t>
              </w:r>
            </w:hyperlink>
          </w:p>
        </w:tc>
        <w:tc>
          <w:tcPr>
            <w:tcW w:w="220" w:type="dxa"/>
            <w:vAlign w:val="bottom"/>
            <w:tcBorders>
              <w:top w:val="single" w:sz="8" w:color="0000EE"/>
            </w:tcBorders>
            <w:gridSpan w:val="5"/>
          </w:tcPr>
          <w:p>
            <w:pPr>
              <w:spacing w:after="0"/>
              <w:rPr>
                <w:sz w:val="18"/>
                <w:szCs w:val="18"/>
                <w:color w:val="auto"/>
              </w:rPr>
            </w:pPr>
          </w:p>
        </w:tc>
        <w:tc>
          <w:tcPr>
            <w:tcW w:w="16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7600" w:type="dxa"/>
            <w:vAlign w:val="bottom"/>
            <w:gridSpan w:val="29"/>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Trustee (incorporated by reference from Exhibit 4.6 to the Current Report on Form 8-K of</w:t>
              </w:r>
            </w:hyperlink>
          </w:p>
        </w:tc>
      </w:tr>
      <w:tr>
        <w:trPr>
          <w:trHeight w:val="209"/>
        </w:trPr>
        <w:tc>
          <w:tcPr>
            <w:tcW w:w="1140" w:type="dxa"/>
            <w:vAlign w:val="bottom"/>
          </w:tcPr>
          <w:p>
            <w:pPr>
              <w:spacing w:after="0"/>
              <w:rPr>
                <w:sz w:val="18"/>
                <w:szCs w:val="18"/>
                <w:color w:val="auto"/>
              </w:rPr>
            </w:pPr>
          </w:p>
        </w:tc>
        <w:tc>
          <w:tcPr>
            <w:tcW w:w="3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EchoStar Corporation filed January 2, 2024).</w:t>
              </w:r>
            </w:hyperlink>
          </w:p>
        </w:tc>
        <w:tc>
          <w:tcPr>
            <w:tcW w:w="3480" w:type="dxa"/>
            <w:vAlign w:val="bottom"/>
            <w:tcBorders>
              <w:top w:val="single" w:sz="8" w:color="0000EE"/>
            </w:tcBorders>
            <w:gridSpan w:val="11"/>
          </w:tcPr>
          <w:p>
            <w:pPr>
              <w:spacing w:after="0"/>
              <w:rPr>
                <w:sz w:val="18"/>
                <w:szCs w:val="18"/>
                <w:color w:val="auto"/>
              </w:rPr>
            </w:pPr>
          </w:p>
        </w:tc>
        <w:tc>
          <w:tcPr>
            <w:tcW w:w="560" w:type="dxa"/>
            <w:vAlign w:val="bottom"/>
            <w:gridSpan w:val="16"/>
          </w:tcPr>
          <w:p>
            <w:pPr>
              <w:spacing w:after="0"/>
              <w:rPr>
                <w:sz w:val="18"/>
                <w:szCs w:val="18"/>
                <w:color w:val="auto"/>
              </w:rPr>
            </w:pPr>
          </w:p>
        </w:tc>
      </w:tr>
      <w:tr>
        <w:trPr>
          <w:trHeight w:val="426"/>
        </w:trPr>
        <w:tc>
          <w:tcPr>
            <w:tcW w:w="1140" w:type="dxa"/>
            <w:vAlign w:val="bottom"/>
          </w:tcPr>
          <w:p>
            <w:pPr>
              <w:jc w:val="center"/>
              <w:ind w:right="650"/>
              <w:spacing w:after="0"/>
              <w:rPr>
                <w:sz w:val="20"/>
                <w:szCs w:val="20"/>
                <w:color w:val="auto"/>
              </w:rPr>
            </w:pPr>
            <w:r>
              <w:rPr>
                <w:rFonts w:ascii="Arial" w:cs="Arial" w:eastAsia="Arial" w:hAnsi="Arial"/>
                <w:sz w:val="18"/>
                <w:szCs w:val="18"/>
                <w:color w:val="auto"/>
                <w:w w:val="99"/>
              </w:rPr>
              <w:t>4.8*</w:t>
            </w:r>
          </w:p>
        </w:tc>
        <w:tc>
          <w:tcPr>
            <w:tcW w:w="7180" w:type="dxa"/>
            <w:vAlign w:val="bottom"/>
            <w:tcBorders>
              <w:bottom w:val="single" w:sz="8" w:color="0000EE"/>
            </w:tcBorders>
            <w:gridSpan w:val="15"/>
          </w:tcPr>
          <w:p>
            <w:pPr>
              <w:spacing w:after="0"/>
              <w:rPr>
                <w:rFonts w:ascii="Arial" w:cs="Arial" w:eastAsia="Arial" w:hAnsi="Arial"/>
                <w:sz w:val="18"/>
                <w:szCs w:val="18"/>
                <w:color w:val="0000EE"/>
                <w:w w:val="99"/>
              </w:rPr>
            </w:pPr>
            <w:hyperlink r:id="rId103">
              <w:r>
                <w:rPr>
                  <w:rFonts w:ascii="Arial" w:cs="Arial" w:eastAsia="Arial" w:hAnsi="Arial"/>
                  <w:sz w:val="18"/>
                  <w:szCs w:val="18"/>
                  <w:color w:val="0000EE"/>
                  <w:w w:val="99"/>
                </w:rPr>
                <w:t>Indenture, relating to the 5 1/8% Senior Notes due 2029, dated as of May 24, 2021 among</w:t>
              </w:r>
            </w:hyperlink>
          </w:p>
        </w:tc>
        <w:tc>
          <w:tcPr>
            <w:tcW w:w="420" w:type="dxa"/>
            <w:vAlign w:val="bottom"/>
            <w:gridSpan w:val="14"/>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03">
              <w:r>
                <w:rPr>
                  <w:rFonts w:ascii="Arial" w:cs="Arial" w:eastAsia="Arial" w:hAnsi="Arial"/>
                  <w:sz w:val="18"/>
                  <w:szCs w:val="18"/>
                  <w:color w:val="0000EE"/>
                </w:rPr>
                <w:t>DISH DBS Corporation, the guarantors named on the signature pages thereto and U.S. Bank,</w:t>
              </w:r>
            </w:hyperlink>
          </w:p>
        </w:tc>
      </w:tr>
      <w:tr>
        <w:trPr>
          <w:trHeight w:val="210"/>
        </w:trPr>
        <w:tc>
          <w:tcPr>
            <w:tcW w:w="1140" w:type="dxa"/>
            <w:vAlign w:val="bottom"/>
          </w:tcPr>
          <w:p>
            <w:pPr>
              <w:spacing w:after="0"/>
              <w:rPr>
                <w:sz w:val="18"/>
                <w:szCs w:val="18"/>
                <w:color w:val="auto"/>
              </w:rPr>
            </w:pPr>
          </w:p>
        </w:tc>
        <w:tc>
          <w:tcPr>
            <w:tcW w:w="72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9"/>
              </w:rPr>
            </w:pPr>
            <w:hyperlink r:id="rId103">
              <w:r>
                <w:rPr>
                  <w:rFonts w:ascii="Arial" w:cs="Arial" w:eastAsia="Arial" w:hAnsi="Arial"/>
                  <w:sz w:val="18"/>
                  <w:szCs w:val="18"/>
                  <w:color w:val="0000EE"/>
                  <w:w w:val="99"/>
                </w:rPr>
                <w:t>National Association, as Trustee (incorporated by reference from Exhibit 4.1 to the Current</w:t>
              </w:r>
            </w:hyperlink>
          </w:p>
        </w:tc>
        <w:tc>
          <w:tcPr>
            <w:tcW w:w="240" w:type="dxa"/>
            <w:vAlign w:val="bottom"/>
            <w:tcBorders>
              <w:top w:val="single" w:sz="8" w:color="0000EE"/>
            </w:tcBorders>
            <w:gridSpan w:val="6"/>
          </w:tcPr>
          <w:p>
            <w:pPr>
              <w:spacing w:after="0"/>
              <w:rPr>
                <w:sz w:val="18"/>
                <w:szCs w:val="18"/>
                <w:color w:val="auto"/>
              </w:rPr>
            </w:pPr>
          </w:p>
        </w:tc>
        <w:tc>
          <w:tcPr>
            <w:tcW w:w="16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560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Report on Form 8-K of DISH Network Corporation filed May 24, 2021).</w:t>
              </w:r>
            </w:hyperlink>
          </w:p>
        </w:tc>
        <w:tc>
          <w:tcPr>
            <w:tcW w:w="2000" w:type="dxa"/>
            <w:vAlign w:val="bottom"/>
            <w:gridSpan w:val="22"/>
          </w:tcPr>
          <w:p>
            <w:pPr>
              <w:spacing w:after="0"/>
              <w:rPr>
                <w:sz w:val="17"/>
                <w:szCs w:val="17"/>
                <w:color w:val="auto"/>
              </w:rPr>
            </w:pPr>
          </w:p>
        </w:tc>
      </w:tr>
      <w:tr>
        <w:trPr>
          <w:trHeight w:val="439"/>
        </w:trPr>
        <w:tc>
          <w:tcPr>
            <w:tcW w:w="1140" w:type="dxa"/>
            <w:vAlign w:val="bottom"/>
          </w:tcPr>
          <w:p>
            <w:pPr>
              <w:jc w:val="center"/>
              <w:ind w:right="650"/>
              <w:spacing w:after="0"/>
              <w:rPr>
                <w:sz w:val="20"/>
                <w:szCs w:val="20"/>
                <w:color w:val="auto"/>
              </w:rPr>
            </w:pPr>
            <w:r>
              <w:rPr>
                <w:rFonts w:ascii="Arial" w:cs="Arial" w:eastAsia="Arial" w:hAnsi="Arial"/>
                <w:sz w:val="18"/>
                <w:szCs w:val="18"/>
                <w:color w:val="auto"/>
                <w:w w:val="99"/>
              </w:rPr>
              <w:t>4.9*</w:t>
            </w:r>
          </w:p>
        </w:tc>
        <w:tc>
          <w:tcPr>
            <w:tcW w:w="7000" w:type="dxa"/>
            <w:vAlign w:val="bottom"/>
            <w:tcBorders>
              <w:bottom w:val="single" w:sz="8" w:color="0000EE"/>
            </w:tcBorders>
            <w:gridSpan w:val="12"/>
          </w:tcPr>
          <w:p>
            <w:pPr>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Indenture, relating to the 5 1/4% Senior Secured Notes due 2026 and the 5 3/4% Senior</w:t>
              </w:r>
            </w:hyperlink>
          </w:p>
        </w:tc>
        <w:tc>
          <w:tcPr>
            <w:tcW w:w="600" w:type="dxa"/>
            <w:vAlign w:val="bottom"/>
            <w:gridSpan w:val="17"/>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7500" w:type="dxa"/>
            <w:vAlign w:val="bottom"/>
            <w:tcBorders>
              <w:bottom w:val="single" w:sz="8" w:color="0000EE"/>
            </w:tcBorders>
            <w:gridSpan w:val="25"/>
          </w:tcPr>
          <w:p>
            <w:pPr>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Secured Notes due 2028, dated as of November 26, 2021, among DISH DBS Corporation, the</w:t>
              </w:r>
            </w:hyperlink>
          </w:p>
        </w:tc>
        <w:tc>
          <w:tcPr>
            <w:tcW w:w="100" w:type="dxa"/>
            <w:vAlign w:val="bottom"/>
            <w:gridSpan w:val="4"/>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04">
              <w:r>
                <w:rPr>
                  <w:rFonts w:ascii="Arial" w:cs="Arial" w:eastAsia="Arial" w:hAnsi="Arial"/>
                  <w:sz w:val="18"/>
                  <w:szCs w:val="18"/>
                  <w:color w:val="0000EE"/>
                </w:rPr>
                <w:t>guarantors named on the signature pages thereto and U.S. Bank National Association, as</w:t>
              </w:r>
            </w:hyperlink>
          </w:p>
        </w:tc>
      </w:tr>
      <w:tr>
        <w:trPr>
          <w:trHeight w:val="20"/>
        </w:trPr>
        <w:tc>
          <w:tcPr>
            <w:tcW w:w="1140" w:type="dxa"/>
            <w:vAlign w:val="bottom"/>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480" w:type="dxa"/>
            <w:vAlign w:val="bottom"/>
            <w:tcBorders>
              <w:bottom w:val="single" w:sz="8" w:color="0000EE"/>
            </w:tcBorders>
            <w:gridSpan w:val="24"/>
          </w:tcPr>
          <w:p>
            <w:pPr>
              <w:spacing w:after="0" w:line="196" w:lineRule="exact"/>
              <w:rPr>
                <w:rFonts w:ascii="Arial" w:cs="Arial" w:eastAsia="Arial" w:hAnsi="Arial"/>
                <w:sz w:val="18"/>
                <w:szCs w:val="18"/>
                <w:color w:val="0000EE"/>
                <w:w w:val="99"/>
              </w:rPr>
            </w:pPr>
            <w:hyperlink r:id="rId104">
              <w:r>
                <w:rPr>
                  <w:rFonts w:ascii="Arial" w:cs="Arial" w:eastAsia="Arial" w:hAnsi="Arial"/>
                  <w:sz w:val="18"/>
                  <w:szCs w:val="18"/>
                  <w:color w:val="0000EE"/>
                  <w:w w:val="99"/>
                </w:rPr>
                <w:t>Trustee and Collateral Agent (incorporated by reference from Exhibit 4.1 to the Current Report</w:t>
              </w:r>
            </w:hyperlink>
          </w:p>
        </w:tc>
        <w:tc>
          <w:tcPr>
            <w:tcW w:w="120" w:type="dxa"/>
            <w:vAlign w:val="bottom"/>
            <w:gridSpan w:val="5"/>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5500" w:type="dxa"/>
            <w:vAlign w:val="bottom"/>
            <w:tcBorders>
              <w:bottom w:val="single" w:sz="8" w:color="0000EE"/>
            </w:tcBorders>
            <w:gridSpan w:val="6"/>
          </w:tcPr>
          <w:p>
            <w:pPr>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on Form 8-K of DISH Network Corporation filed November 26, 2021).</w:t>
              </w:r>
            </w:hyperlink>
          </w:p>
        </w:tc>
        <w:tc>
          <w:tcPr>
            <w:tcW w:w="2100" w:type="dxa"/>
            <w:vAlign w:val="bottom"/>
            <w:gridSpan w:val="23"/>
          </w:tcPr>
          <w:p>
            <w:pPr>
              <w:spacing w:after="0"/>
              <w:rPr>
                <w:sz w:val="18"/>
                <w:szCs w:val="18"/>
                <w:color w:val="auto"/>
              </w:rPr>
            </w:pPr>
          </w:p>
        </w:tc>
      </w:tr>
      <w:tr>
        <w:trPr>
          <w:trHeight w:val="425"/>
        </w:trPr>
        <w:tc>
          <w:tcPr>
            <w:tcW w:w="1140" w:type="dxa"/>
            <w:vAlign w:val="bottom"/>
          </w:tcPr>
          <w:p>
            <w:pPr>
              <w:jc w:val="center"/>
              <w:ind w:right="630"/>
              <w:spacing w:after="0"/>
              <w:rPr>
                <w:sz w:val="20"/>
                <w:szCs w:val="20"/>
                <w:color w:val="auto"/>
              </w:rPr>
            </w:pPr>
            <w:r>
              <w:rPr>
                <w:rFonts w:ascii="Arial" w:cs="Arial" w:eastAsia="Arial" w:hAnsi="Arial"/>
                <w:sz w:val="18"/>
                <w:szCs w:val="18"/>
                <w:color w:val="auto"/>
                <w:w w:val="99"/>
              </w:rPr>
              <w:t>4.10*</w:t>
            </w:r>
          </w:p>
        </w:tc>
        <w:tc>
          <w:tcPr>
            <w:tcW w:w="7600" w:type="dxa"/>
            <w:vAlign w:val="bottom"/>
            <w:gridSpan w:val="29"/>
          </w:tcPr>
          <w:p>
            <w:pPr>
              <w:spacing w:after="0"/>
              <w:rPr>
                <w:rFonts w:ascii="Arial" w:cs="Arial" w:eastAsia="Arial" w:hAnsi="Arial"/>
                <w:sz w:val="18"/>
                <w:szCs w:val="18"/>
                <w:color w:val="0000EE"/>
              </w:rPr>
            </w:pPr>
            <w:hyperlink r:id="rId105">
              <w:r>
                <w:rPr>
                  <w:rFonts w:ascii="Arial" w:cs="Arial" w:eastAsia="Arial" w:hAnsi="Arial"/>
                  <w:sz w:val="18"/>
                  <w:szCs w:val="18"/>
                  <w:color w:val="0000EE"/>
                </w:rPr>
                <w:t>Security Agreement, dated as of November 26, 2021, among DISH DBS Corporation, the</w:t>
              </w:r>
            </w:hyperlink>
          </w:p>
        </w:tc>
      </w:tr>
      <w:tr>
        <w:trPr>
          <w:trHeight w:val="20"/>
        </w:trPr>
        <w:tc>
          <w:tcPr>
            <w:tcW w:w="1140" w:type="dxa"/>
            <w:vAlign w:val="bottom"/>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05">
              <w:r>
                <w:rPr>
                  <w:rFonts w:ascii="Arial" w:cs="Arial" w:eastAsia="Arial" w:hAnsi="Arial"/>
                  <w:sz w:val="18"/>
                  <w:szCs w:val="18"/>
                  <w:color w:val="0000EE"/>
                </w:rPr>
                <w:t>guarantors named on the signature pages thereto and U.S. Bank National Association, as</w:t>
              </w:r>
            </w:hyperlink>
          </w:p>
        </w:tc>
      </w:tr>
      <w:tr>
        <w:trPr>
          <w:trHeight w:val="20"/>
        </w:trPr>
        <w:tc>
          <w:tcPr>
            <w:tcW w:w="1140" w:type="dxa"/>
            <w:vAlign w:val="bottom"/>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05">
              <w:r>
                <w:rPr>
                  <w:rFonts w:ascii="Arial" w:cs="Arial" w:eastAsia="Arial" w:hAnsi="Arial"/>
                  <w:sz w:val="18"/>
                  <w:szCs w:val="18"/>
                  <w:color w:val="0000EE"/>
                </w:rPr>
                <w:t>Collateral Agent (incorporated by reference from Exhibit 4.2 to the Current Report on Form 8-K</w:t>
              </w:r>
            </w:hyperlink>
          </w:p>
        </w:tc>
      </w:tr>
      <w:tr>
        <w:trPr>
          <w:trHeight w:val="196"/>
        </w:trPr>
        <w:tc>
          <w:tcPr>
            <w:tcW w:w="1140" w:type="dxa"/>
            <w:vAlign w:val="bottom"/>
          </w:tcPr>
          <w:p>
            <w:pPr>
              <w:spacing w:after="0"/>
              <w:rPr>
                <w:sz w:val="17"/>
                <w:szCs w:val="17"/>
                <w:color w:val="auto"/>
              </w:rPr>
            </w:pPr>
          </w:p>
        </w:tc>
        <w:tc>
          <w:tcPr>
            <w:tcW w:w="75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of DISH Network Corporation filed November 26, 2021).</w:t>
              </w:r>
            </w:hyperlink>
          </w:p>
        </w:tc>
        <w:tc>
          <w:tcPr>
            <w:tcW w:w="8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439"/>
        </w:trPr>
        <w:tc>
          <w:tcPr>
            <w:tcW w:w="1140" w:type="dxa"/>
            <w:vAlign w:val="bottom"/>
          </w:tcPr>
          <w:p>
            <w:pPr>
              <w:jc w:val="center"/>
              <w:ind w:right="630"/>
              <w:spacing w:after="0"/>
              <w:rPr>
                <w:sz w:val="20"/>
                <w:szCs w:val="20"/>
                <w:color w:val="auto"/>
              </w:rPr>
            </w:pPr>
            <w:r>
              <w:rPr>
                <w:rFonts w:ascii="Arial" w:cs="Arial" w:eastAsia="Arial" w:hAnsi="Arial"/>
                <w:sz w:val="18"/>
                <w:szCs w:val="18"/>
                <w:color w:val="auto"/>
                <w:w w:val="99"/>
              </w:rPr>
              <w:t>4.11*</w:t>
            </w:r>
          </w:p>
        </w:tc>
        <w:tc>
          <w:tcPr>
            <w:tcW w:w="6680" w:type="dxa"/>
            <w:vAlign w:val="bottom"/>
            <w:tcBorders>
              <w:bottom w:val="single" w:sz="8" w:color="0000EE"/>
            </w:tcBorders>
            <w:gridSpan w:val="8"/>
          </w:tcPr>
          <w:p>
            <w:pPr>
              <w:spacing w:after="0"/>
              <w:rPr>
                <w:rFonts w:ascii="Arial" w:cs="Arial" w:eastAsia="Arial" w:hAnsi="Arial"/>
                <w:sz w:val="18"/>
                <w:szCs w:val="18"/>
                <w:color w:val="0000EE"/>
                <w:w w:val="99"/>
              </w:rPr>
            </w:pPr>
            <w:hyperlink r:id="rId106">
              <w:r>
                <w:rPr>
                  <w:rFonts w:ascii="Arial" w:cs="Arial" w:eastAsia="Arial" w:hAnsi="Arial"/>
                  <w:sz w:val="18"/>
                  <w:szCs w:val="18"/>
                  <w:color w:val="0000EE"/>
                  <w:w w:val="99"/>
                </w:rPr>
                <w:t>Loan and Security Agreement, dated as of November 26, 2021, between DISH DBS</w:t>
              </w:r>
            </w:hyperlink>
          </w:p>
        </w:tc>
        <w:tc>
          <w:tcPr>
            <w:tcW w:w="920" w:type="dxa"/>
            <w:vAlign w:val="bottom"/>
            <w:gridSpan w:val="21"/>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06">
              <w:r>
                <w:rPr>
                  <w:rFonts w:ascii="Arial" w:cs="Arial" w:eastAsia="Arial" w:hAnsi="Arial"/>
                  <w:sz w:val="18"/>
                  <w:szCs w:val="18"/>
                  <w:color w:val="0000EE"/>
                </w:rPr>
                <w:t>Corporation and DISH Network Corporation (incorporated by reference from Exhibit 4.3 to the</w:t>
              </w:r>
            </w:hyperlink>
          </w:p>
        </w:tc>
      </w:tr>
      <w:tr>
        <w:trPr>
          <w:trHeight w:val="210"/>
        </w:trPr>
        <w:tc>
          <w:tcPr>
            <w:tcW w:w="1140" w:type="dxa"/>
            <w:vAlign w:val="bottom"/>
          </w:tcPr>
          <w:p>
            <w:pPr>
              <w:spacing w:after="0"/>
              <w:rPr>
                <w:sz w:val="18"/>
                <w:szCs w:val="18"/>
                <w:color w:val="auto"/>
              </w:rPr>
            </w:pPr>
          </w:p>
        </w:tc>
        <w:tc>
          <w:tcPr>
            <w:tcW w:w="67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r:id="rId106">
              <w:r>
                <w:rPr>
                  <w:rFonts w:ascii="Arial" w:cs="Arial" w:eastAsia="Arial" w:hAnsi="Arial"/>
                  <w:sz w:val="18"/>
                  <w:szCs w:val="18"/>
                  <w:color w:val="0000EE"/>
                  <w:w w:val="99"/>
                </w:rPr>
                <w:t>Current Report on Form 8-K of DISH Network Corporation filed November 26, 2021).</w:t>
              </w:r>
            </w:hyperlink>
          </w:p>
        </w:tc>
        <w:tc>
          <w:tcPr>
            <w:tcW w:w="700" w:type="dxa"/>
            <w:vAlign w:val="bottom"/>
            <w:tcBorders>
              <w:top w:val="single" w:sz="8" w:color="0000EE"/>
            </w:tcBorders>
            <w:gridSpan w:val="13"/>
          </w:tcPr>
          <w:p>
            <w:pPr>
              <w:spacing w:after="0"/>
              <w:rPr>
                <w:sz w:val="18"/>
                <w:szCs w:val="18"/>
                <w:color w:val="auto"/>
              </w:rPr>
            </w:pPr>
          </w:p>
        </w:tc>
        <w:tc>
          <w:tcPr>
            <w:tcW w:w="160" w:type="dxa"/>
            <w:vAlign w:val="bottom"/>
            <w:gridSpan w:val="7"/>
          </w:tcPr>
          <w:p>
            <w:pPr>
              <w:spacing w:after="0"/>
              <w:rPr>
                <w:sz w:val="18"/>
                <w:szCs w:val="18"/>
                <w:color w:val="auto"/>
              </w:rPr>
            </w:pPr>
          </w:p>
        </w:tc>
      </w:tr>
      <w:tr>
        <w:trPr>
          <w:trHeight w:val="425"/>
        </w:trPr>
        <w:tc>
          <w:tcPr>
            <w:tcW w:w="1140" w:type="dxa"/>
            <w:vAlign w:val="bottom"/>
          </w:tcPr>
          <w:p>
            <w:pPr>
              <w:jc w:val="center"/>
              <w:ind w:right="630"/>
              <w:spacing w:after="0"/>
              <w:rPr>
                <w:sz w:val="20"/>
                <w:szCs w:val="20"/>
                <w:color w:val="auto"/>
              </w:rPr>
            </w:pPr>
            <w:r>
              <w:rPr>
                <w:rFonts w:ascii="Arial" w:cs="Arial" w:eastAsia="Arial" w:hAnsi="Arial"/>
                <w:sz w:val="18"/>
                <w:szCs w:val="18"/>
                <w:color w:val="auto"/>
                <w:w w:val="99"/>
              </w:rPr>
              <w:t>4.12*</w:t>
            </w:r>
          </w:p>
        </w:tc>
        <w:tc>
          <w:tcPr>
            <w:tcW w:w="6920" w:type="dxa"/>
            <w:vAlign w:val="bottom"/>
            <w:tcBorders>
              <w:bottom w:val="single" w:sz="8" w:color="0000EE"/>
            </w:tcBorders>
            <w:gridSpan w:val="10"/>
          </w:tcPr>
          <w:p>
            <w:pPr>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Secured Indenture, relating to the 11.75% Senior Secured Notes due 2027, dated as of</w:t>
              </w:r>
            </w:hyperlink>
          </w:p>
        </w:tc>
        <w:tc>
          <w:tcPr>
            <w:tcW w:w="680" w:type="dxa"/>
            <w:vAlign w:val="bottom"/>
            <w:gridSpan w:val="19"/>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7600" w:type="dxa"/>
            <w:vAlign w:val="bottom"/>
            <w:tcBorders>
              <w:bottom w:val="single" w:sz="8" w:color="0000EE"/>
            </w:tcBorders>
            <w:gridSpan w:val="29"/>
          </w:tcPr>
          <w:p>
            <w:pPr>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November 15, 2022, among DISH Network Corporation, the guarantors named on the signature</w:t>
              </w:r>
            </w:hyperlink>
          </w:p>
        </w:tc>
      </w:tr>
      <w:tr>
        <w:trPr>
          <w:trHeight w:val="210"/>
        </w:trPr>
        <w:tc>
          <w:tcPr>
            <w:tcW w:w="114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07">
              <w:r>
                <w:rPr>
                  <w:rFonts w:ascii="Arial" w:cs="Arial" w:eastAsia="Arial" w:hAnsi="Arial"/>
                  <w:sz w:val="18"/>
                  <w:szCs w:val="18"/>
                  <w:color w:val="0000EE"/>
                </w:rPr>
                <w:t>pages thereto and U.S. Bank Trust Company, National Association, as trustee and collateral</w:t>
              </w:r>
            </w:hyperlink>
          </w:p>
        </w:tc>
      </w:tr>
      <w:tr>
        <w:trPr>
          <w:trHeight w:val="20"/>
        </w:trPr>
        <w:tc>
          <w:tcPr>
            <w:tcW w:w="1140" w:type="dxa"/>
            <w:vAlign w:val="bottom"/>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3720" w:type="dxa"/>
            <w:vAlign w:val="bottom"/>
            <w:gridSpan w:val="1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38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r:id="rId107">
              <w:r>
                <w:rPr>
                  <w:rFonts w:ascii="Arial" w:cs="Arial" w:eastAsia="Arial" w:hAnsi="Arial"/>
                  <w:sz w:val="18"/>
                  <w:szCs w:val="18"/>
                  <w:color w:val="0000EE"/>
                  <w:w w:val="99"/>
                </w:rPr>
                <w:t>agent (incorporated by reference from Exhibit 4.1 to the Current Report on Form 8-K of DISH</w:t>
              </w:r>
            </w:hyperlink>
          </w:p>
        </w:tc>
        <w:tc>
          <w:tcPr>
            <w:tcW w:w="220" w:type="dxa"/>
            <w:vAlign w:val="bottom"/>
            <w:gridSpan w:val="9"/>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3580" w:type="dxa"/>
            <w:vAlign w:val="bottom"/>
            <w:tcBorders>
              <w:bottom w:val="single" w:sz="8" w:color="0000EE"/>
            </w:tcBorders>
            <w:gridSpan w:val="3"/>
          </w:tcPr>
          <w:p>
            <w:pPr>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Network Corporation filed January 26, 2023).</w:t>
              </w:r>
            </w:hyperlink>
          </w:p>
        </w:tc>
        <w:tc>
          <w:tcPr>
            <w:tcW w:w="4020" w:type="dxa"/>
            <w:vAlign w:val="bottom"/>
            <w:gridSpan w:val="26"/>
          </w:tcPr>
          <w:p>
            <w:pPr>
              <w:spacing w:after="0"/>
              <w:rPr>
                <w:sz w:val="18"/>
                <w:szCs w:val="18"/>
                <w:color w:val="auto"/>
              </w:rPr>
            </w:pPr>
          </w:p>
        </w:tc>
      </w:tr>
      <w:tr>
        <w:trPr>
          <w:trHeight w:val="425"/>
        </w:trPr>
        <w:tc>
          <w:tcPr>
            <w:tcW w:w="1140" w:type="dxa"/>
            <w:vAlign w:val="bottom"/>
          </w:tcPr>
          <w:p>
            <w:pPr>
              <w:jc w:val="center"/>
              <w:ind w:right="630"/>
              <w:spacing w:after="0"/>
              <w:rPr>
                <w:sz w:val="20"/>
                <w:szCs w:val="20"/>
                <w:color w:val="auto"/>
              </w:rPr>
            </w:pPr>
            <w:r>
              <w:rPr>
                <w:rFonts w:ascii="Arial" w:cs="Arial" w:eastAsia="Arial" w:hAnsi="Arial"/>
                <w:sz w:val="18"/>
                <w:szCs w:val="18"/>
                <w:color w:val="auto"/>
                <w:w w:val="99"/>
              </w:rPr>
              <w:t>4.13*</w:t>
            </w:r>
          </w:p>
        </w:tc>
        <w:tc>
          <w:tcPr>
            <w:tcW w:w="7600" w:type="dxa"/>
            <w:vAlign w:val="bottom"/>
            <w:tcBorders>
              <w:bottom w:val="single" w:sz="8" w:color="0000EE"/>
            </w:tcBorders>
            <w:gridSpan w:val="29"/>
          </w:tcPr>
          <w:p>
            <w:pPr>
              <w:spacing w:after="0"/>
              <w:rPr>
                <w:rFonts w:ascii="Arial" w:cs="Arial" w:eastAsia="Arial" w:hAnsi="Arial"/>
                <w:sz w:val="18"/>
                <w:szCs w:val="18"/>
                <w:color w:val="0000EE"/>
                <w:w w:val="99"/>
              </w:rPr>
            </w:pPr>
            <w:hyperlink r:id="rId108">
              <w:r>
                <w:rPr>
                  <w:rFonts w:ascii="Arial" w:cs="Arial" w:eastAsia="Arial" w:hAnsi="Arial"/>
                  <w:sz w:val="18"/>
                  <w:szCs w:val="18"/>
                  <w:color w:val="0000EE"/>
                  <w:w w:val="99"/>
                </w:rPr>
                <w:t>Security Agreement, dated as of November 15, 2022, among the secured guarantors named on</w:t>
              </w:r>
            </w:hyperlink>
          </w:p>
        </w:tc>
      </w:tr>
      <w:tr>
        <w:trPr>
          <w:trHeight w:val="209"/>
        </w:trPr>
        <w:tc>
          <w:tcPr>
            <w:tcW w:w="114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08">
              <w:r>
                <w:rPr>
                  <w:rFonts w:ascii="Arial" w:cs="Arial" w:eastAsia="Arial" w:hAnsi="Arial"/>
                  <w:sz w:val="18"/>
                  <w:szCs w:val="18"/>
                  <w:color w:val="0000EE"/>
                </w:rPr>
                <w:t>the signature pages thereto and U.S. Bank Trust Company, National Association, as collateral</w:t>
              </w:r>
            </w:hyperlink>
          </w:p>
        </w:tc>
      </w:tr>
      <w:tr>
        <w:trPr>
          <w:trHeight w:val="20"/>
        </w:trPr>
        <w:tc>
          <w:tcPr>
            <w:tcW w:w="11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 w:lineRule="exact"/>
        <w:rPr>
          <w:sz w:val="20"/>
          <w:szCs w:val="20"/>
          <w:color w:val="auto"/>
        </w:rPr>
      </w:pPr>
    </w:p>
    <w:p>
      <w:pPr>
        <w:ind w:left="1340" w:right="299"/>
        <w:spacing w:after="0" w:line="287" w:lineRule="auto"/>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agent (incorporated by reference from Exhibit 4.2 to the Current Report on Form 8-K of DISH</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Network Corporation filed November 15, 2022).</w:t>
        </w:r>
      </w:hyperlink>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9"/>
              </w:rPr>
              <w:t>4.14*</w:t>
            </w:r>
          </w:p>
        </w:tc>
        <w:tc>
          <w:tcPr>
            <w:tcW w:w="7520" w:type="dxa"/>
            <w:vAlign w:val="bottom"/>
            <w:tcBorders>
              <w:bottom w:val="single" w:sz="8" w:color="0000EE"/>
            </w:tcBorders>
            <w:gridSpan w:val="26"/>
          </w:tcPr>
          <w:p>
            <w:pPr>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Second Supplemental Indenture relating to DISH Network Corporation’s 0% Convertible Notes</w:t>
              </w:r>
            </w:hyperlink>
          </w:p>
        </w:tc>
        <w:tc>
          <w:tcPr>
            <w:tcW w:w="80" w:type="dxa"/>
            <w:vAlign w:val="bottom"/>
            <w:gridSpan w:val="3"/>
          </w:tcPr>
          <w:p>
            <w:pPr>
              <w:spacing w:after="0"/>
              <w:rPr>
                <w:sz w:val="17"/>
                <w:szCs w:val="17"/>
                <w:color w:val="auto"/>
              </w:rPr>
            </w:pPr>
          </w:p>
        </w:tc>
      </w:tr>
      <w:tr>
        <w:trPr>
          <w:trHeight w:val="209"/>
        </w:trPr>
        <w:tc>
          <w:tcPr>
            <w:tcW w:w="1200" w:type="dxa"/>
            <w:vAlign w:val="bottom"/>
          </w:tcPr>
          <w:p>
            <w:pPr>
              <w:spacing w:after="0"/>
              <w:rPr>
                <w:sz w:val="18"/>
                <w:szCs w:val="18"/>
                <w:color w:val="auto"/>
              </w:rPr>
            </w:pPr>
          </w:p>
        </w:tc>
        <w:tc>
          <w:tcPr>
            <w:tcW w:w="6920" w:type="dxa"/>
            <w:vAlign w:val="bottom"/>
            <w:tcBorders>
              <w:bottom w:val="single" w:sz="8" w:color="0000EE"/>
            </w:tcBorders>
            <w:gridSpan w:val="10"/>
          </w:tcPr>
          <w:p>
            <w:pPr>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due 2025, dated as of November 12, 2024, by and among EchoStar Corporation, DISH</w:t>
              </w:r>
            </w:hyperlink>
          </w:p>
        </w:tc>
        <w:tc>
          <w:tcPr>
            <w:tcW w:w="680" w:type="dxa"/>
            <w:vAlign w:val="bottom"/>
            <w:gridSpan w:val="19"/>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200" w:type="dxa"/>
            <w:vAlign w:val="bottom"/>
            <w:tcBorders>
              <w:bottom w:val="single" w:sz="8" w:color="0000EE"/>
            </w:tcBorders>
            <w:gridSpan w:val="13"/>
          </w:tcPr>
          <w:p>
            <w:pPr>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Network Corporation and U.S. Bank Trust Company, National Association (incorporated by</w:t>
              </w:r>
            </w:hyperlink>
          </w:p>
        </w:tc>
        <w:tc>
          <w:tcPr>
            <w:tcW w:w="400" w:type="dxa"/>
            <w:vAlign w:val="bottom"/>
            <w:gridSpan w:val="16"/>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7220" w:type="dxa"/>
            <w:vAlign w:val="bottom"/>
            <w:tcBorders>
              <w:bottom w:val="single" w:sz="8" w:color="0000EE"/>
            </w:tcBorders>
            <w:gridSpan w:val="14"/>
          </w:tcPr>
          <w:p>
            <w:pPr>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reference from Exhibit 4.1 to the Current Report on Form 8-K of EchoStar Corporation filed</w:t>
              </w:r>
            </w:hyperlink>
          </w:p>
        </w:tc>
        <w:tc>
          <w:tcPr>
            <w:tcW w:w="380" w:type="dxa"/>
            <w:vAlign w:val="bottom"/>
            <w:gridSpan w:val="15"/>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10">
              <w:r>
                <w:rPr>
                  <w:rFonts w:ascii="Arial" w:cs="Arial" w:eastAsia="Arial" w:hAnsi="Arial"/>
                  <w:sz w:val="18"/>
                  <w:szCs w:val="18"/>
                  <w:color w:val="0000EE"/>
                </w:rPr>
                <w:t>November 14, 2024).</w:t>
              </w:r>
            </w:hyperlink>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9"/>
              </w:rPr>
              <w:t>4.15*</w:t>
            </w:r>
          </w:p>
        </w:tc>
        <w:tc>
          <w:tcPr>
            <w:tcW w:w="7600" w:type="dxa"/>
            <w:vAlign w:val="bottom"/>
            <w:gridSpan w:val="29"/>
          </w:tcPr>
          <w:p>
            <w:pPr>
              <w:spacing w:after="0"/>
              <w:rPr>
                <w:rFonts w:ascii="Arial" w:cs="Arial" w:eastAsia="Arial" w:hAnsi="Arial"/>
                <w:sz w:val="18"/>
                <w:szCs w:val="18"/>
                <w:color w:val="0000EE"/>
              </w:rPr>
            </w:pPr>
            <w:hyperlink r:id="rId111">
              <w:r>
                <w:rPr>
                  <w:rFonts w:ascii="Arial" w:cs="Arial" w:eastAsia="Arial" w:hAnsi="Arial"/>
                  <w:sz w:val="18"/>
                  <w:szCs w:val="18"/>
                  <w:color w:val="0000EE"/>
                </w:rPr>
                <w:t>Second Supplemental Indenture relating to DISH Network Corporation’s 3.375% Convertible</w:t>
              </w:r>
            </w:hyperlink>
          </w:p>
        </w:tc>
      </w:tr>
      <w:tr>
        <w:trPr>
          <w:trHeight w:val="183"/>
        </w:trPr>
        <w:tc>
          <w:tcPr>
            <w:tcW w:w="1200" w:type="dxa"/>
            <w:vAlign w:val="bottom"/>
          </w:tcPr>
          <w:p>
            <w:pPr>
              <w:spacing w:after="0"/>
              <w:rPr>
                <w:sz w:val="15"/>
                <w:szCs w:val="15"/>
                <w:color w:val="auto"/>
              </w:rPr>
            </w:pPr>
          </w:p>
        </w:tc>
        <w:tc>
          <w:tcPr>
            <w:tcW w:w="736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8"/>
              </w:rPr>
            </w:pPr>
            <w:hyperlink r:id="rId111">
              <w:r>
                <w:rPr>
                  <w:rFonts w:ascii="Arial" w:cs="Arial" w:eastAsia="Arial" w:hAnsi="Arial"/>
                  <w:sz w:val="18"/>
                  <w:szCs w:val="18"/>
                  <w:color w:val="0000EE"/>
                  <w:w w:val="98"/>
                </w:rPr>
                <w:t>Notes due 2026, dated as of November 12, 2024, by and among EchoStar Corporation, DISH</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200" w:type="dxa"/>
            <w:vAlign w:val="bottom"/>
          </w:tcPr>
          <w:p>
            <w:pPr>
              <w:spacing w:after="0"/>
              <w:rPr>
                <w:sz w:val="15"/>
                <w:szCs w:val="15"/>
                <w:color w:val="auto"/>
              </w:rPr>
            </w:pPr>
          </w:p>
        </w:tc>
        <w:tc>
          <w:tcPr>
            <w:tcW w:w="7440" w:type="dxa"/>
            <w:vAlign w:val="bottom"/>
            <w:gridSpan w:val="23"/>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Network Corporation and U.S. Bank Trust Company, National Association (incorporated by</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720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r:id="rId111">
              <w:r>
                <w:rPr>
                  <w:rFonts w:ascii="Arial" w:cs="Arial" w:eastAsia="Arial" w:hAnsi="Arial"/>
                  <w:sz w:val="18"/>
                  <w:szCs w:val="18"/>
                  <w:color w:val="0000EE"/>
                  <w:w w:val="99"/>
                </w:rPr>
                <w:t>reference from Exhibit 4.2 to the Current Report on Form 8-K of EchoStar Corporation filed</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7220" w:type="dxa"/>
            <w:vAlign w:val="bottom"/>
            <w:gridSpan w:val="14"/>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November 14, 2024).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9"/>
              </w:rPr>
              <w:t>10.1*</w:t>
            </w:r>
          </w:p>
        </w:tc>
        <w:tc>
          <w:tcPr>
            <w:tcW w:w="7240" w:type="dxa"/>
            <w:vAlign w:val="bottom"/>
            <w:tcBorders>
              <w:bottom w:val="single" w:sz="8" w:color="0000EE"/>
            </w:tcBorders>
            <w:gridSpan w:val="15"/>
          </w:tcPr>
          <w:p>
            <w:pPr>
              <w:spacing w:after="0"/>
              <w:rPr>
                <w:rFonts w:ascii="Arial" w:cs="Arial" w:eastAsia="Arial" w:hAnsi="Arial"/>
                <w:sz w:val="18"/>
                <w:szCs w:val="18"/>
                <w:color w:val="0000EE"/>
                <w:w w:val="99"/>
              </w:rPr>
            </w:pPr>
            <w:hyperlink r:id="rId112">
              <w:r>
                <w:rPr>
                  <w:rFonts w:ascii="Arial" w:cs="Arial" w:eastAsia="Arial" w:hAnsi="Arial"/>
                  <w:sz w:val="18"/>
                  <w:szCs w:val="18"/>
                  <w:color w:val="0000EE"/>
                  <w:w w:val="99"/>
                </w:rPr>
                <w:t>2002 Class B CEO Stock Option Plan (incorporated by reference from Appendix A to DISH</w:t>
              </w:r>
            </w:hyperlink>
          </w:p>
        </w:tc>
        <w:tc>
          <w:tcPr>
            <w:tcW w:w="360" w:type="dxa"/>
            <w:vAlign w:val="bottom"/>
            <w:gridSpan w:val="14"/>
          </w:tcPr>
          <w:p>
            <w:pPr>
              <w:spacing w:after="0"/>
              <w:rPr>
                <w:sz w:val="24"/>
                <w:szCs w:val="24"/>
                <w:color w:val="auto"/>
              </w:rPr>
            </w:pPr>
          </w:p>
        </w:tc>
      </w:tr>
      <w:tr>
        <w:trPr>
          <w:trHeight w:val="209"/>
        </w:trPr>
        <w:tc>
          <w:tcPr>
            <w:tcW w:w="1200" w:type="dxa"/>
            <w:vAlign w:val="bottom"/>
          </w:tcPr>
          <w:p>
            <w:pPr>
              <w:spacing w:after="0"/>
              <w:rPr>
                <w:sz w:val="18"/>
                <w:szCs w:val="18"/>
                <w:color w:val="auto"/>
              </w:rPr>
            </w:pPr>
          </w:p>
        </w:tc>
        <w:tc>
          <w:tcPr>
            <w:tcW w:w="7260" w:type="dxa"/>
            <w:vAlign w:val="bottom"/>
            <w:tcBorders>
              <w:bottom w:val="single" w:sz="8" w:color="0000EE"/>
            </w:tcBorders>
            <w:gridSpan w:val="16"/>
          </w:tcPr>
          <w:p>
            <w:pPr>
              <w:spacing w:after="0"/>
              <w:rPr>
                <w:rFonts w:ascii="Arial" w:cs="Arial" w:eastAsia="Arial" w:hAnsi="Arial"/>
                <w:sz w:val="18"/>
                <w:szCs w:val="18"/>
                <w:color w:val="0000EE"/>
              </w:rPr>
            </w:pPr>
            <w:hyperlink r:id="rId112">
              <w:r>
                <w:rPr>
                  <w:rFonts w:ascii="Arial" w:cs="Arial" w:eastAsia="Arial" w:hAnsi="Arial"/>
                  <w:sz w:val="18"/>
                  <w:szCs w:val="18"/>
                  <w:color w:val="0000EE"/>
                </w:rPr>
                <w:t>Network Corporation’s Definitive Proxy Statement on Schedule 14A dated April 9, 2002). **</w:t>
              </w:r>
            </w:hyperlink>
          </w:p>
        </w:tc>
        <w:tc>
          <w:tcPr>
            <w:tcW w:w="340" w:type="dxa"/>
            <w:vAlign w:val="bottom"/>
            <w:gridSpan w:val="13"/>
          </w:tcPr>
          <w:p>
            <w:pPr>
              <w:spacing w:after="0"/>
              <w:rPr>
                <w:sz w:val="18"/>
                <w:szCs w:val="18"/>
                <w:color w:val="auto"/>
              </w:rPr>
            </w:pPr>
          </w:p>
        </w:tc>
      </w:tr>
      <w:tr>
        <w:trPr>
          <w:trHeight w:val="426"/>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9"/>
              </w:rPr>
              <w:t>10.2*</w:t>
            </w:r>
          </w:p>
        </w:tc>
        <w:tc>
          <w:tcPr>
            <w:tcW w:w="7380" w:type="dxa"/>
            <w:vAlign w:val="bottom"/>
            <w:tcBorders>
              <w:bottom w:val="single" w:sz="8" w:color="0000EE"/>
            </w:tcBorders>
            <w:gridSpan w:val="21"/>
          </w:tcPr>
          <w:p>
            <w:pPr>
              <w:spacing w:after="0"/>
              <w:rPr>
                <w:rFonts w:ascii="Arial" w:cs="Arial" w:eastAsia="Arial" w:hAnsi="Arial"/>
                <w:sz w:val="18"/>
                <w:szCs w:val="18"/>
                <w:color w:val="0000EE"/>
              </w:rPr>
            </w:pPr>
            <w:hyperlink r:id="rId113">
              <w:r>
                <w:rPr>
                  <w:rFonts w:ascii="Arial" w:cs="Arial" w:eastAsia="Arial" w:hAnsi="Arial"/>
                  <w:sz w:val="18"/>
                  <w:szCs w:val="18"/>
                  <w:color w:val="0000EE"/>
                </w:rPr>
                <w:t>Nonemployee Director Stock Option Agreement (incorporated by reference to Exhibit 99.6 to</w:t>
              </w:r>
            </w:hyperlink>
          </w:p>
        </w:tc>
        <w:tc>
          <w:tcPr>
            <w:tcW w:w="220" w:type="dxa"/>
            <w:vAlign w:val="bottom"/>
            <w:gridSpan w:val="8"/>
          </w:tcPr>
          <w:p>
            <w:pPr>
              <w:spacing w:after="0"/>
              <w:rPr>
                <w:sz w:val="24"/>
                <w:szCs w:val="24"/>
                <w:color w:val="auto"/>
              </w:rPr>
            </w:pPr>
          </w:p>
        </w:tc>
      </w:tr>
      <w:tr>
        <w:trPr>
          <w:trHeight w:val="209"/>
        </w:trPr>
        <w:tc>
          <w:tcPr>
            <w:tcW w:w="1200" w:type="dxa"/>
            <w:vAlign w:val="bottom"/>
          </w:tcPr>
          <w:p>
            <w:pPr>
              <w:spacing w:after="0"/>
              <w:rPr>
                <w:sz w:val="18"/>
                <w:szCs w:val="18"/>
                <w:color w:val="auto"/>
              </w:rPr>
            </w:pPr>
          </w:p>
        </w:tc>
        <w:tc>
          <w:tcPr>
            <w:tcW w:w="6620" w:type="dxa"/>
            <w:vAlign w:val="bottom"/>
            <w:tcBorders>
              <w:bottom w:val="single" w:sz="8" w:color="0000EE"/>
            </w:tcBorders>
            <w:gridSpan w:val="8"/>
          </w:tcPr>
          <w:p>
            <w:pPr>
              <w:spacing w:after="0"/>
              <w:rPr>
                <w:rFonts w:ascii="Arial" w:cs="Arial" w:eastAsia="Arial" w:hAnsi="Arial"/>
                <w:sz w:val="18"/>
                <w:szCs w:val="18"/>
                <w:color w:val="0000EE"/>
                <w:w w:val="99"/>
              </w:rPr>
            </w:pPr>
            <w:hyperlink r:id="rId113">
              <w:r>
                <w:rPr>
                  <w:rFonts w:ascii="Arial" w:cs="Arial" w:eastAsia="Arial" w:hAnsi="Arial"/>
                  <w:sz w:val="18"/>
                  <w:szCs w:val="18"/>
                  <w:color w:val="0000EE"/>
                  <w:w w:val="99"/>
                </w:rPr>
                <w:t>the Current Report on Form 8-K of DISH Network Corporation filed July 7, 2005). **</w:t>
              </w:r>
            </w:hyperlink>
          </w:p>
        </w:tc>
        <w:tc>
          <w:tcPr>
            <w:tcW w:w="980" w:type="dxa"/>
            <w:vAlign w:val="bottom"/>
            <w:gridSpan w:val="21"/>
          </w:tcPr>
          <w:p>
            <w:pPr>
              <w:spacing w:after="0"/>
              <w:rPr>
                <w:sz w:val="18"/>
                <w:szCs w:val="18"/>
                <w:color w:val="auto"/>
              </w:rPr>
            </w:pPr>
          </w:p>
        </w:tc>
      </w:tr>
      <w:tr>
        <w:trPr>
          <w:trHeight w:val="426"/>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9"/>
              </w:rPr>
              <w:t>10.3*</w:t>
            </w:r>
          </w:p>
        </w:tc>
        <w:tc>
          <w:tcPr>
            <w:tcW w:w="7600" w:type="dxa"/>
            <w:vAlign w:val="bottom"/>
            <w:gridSpan w:val="29"/>
          </w:tcPr>
          <w:p>
            <w:pPr>
              <w:spacing w:after="0"/>
              <w:rPr>
                <w:rFonts w:ascii="Arial" w:cs="Arial" w:eastAsia="Arial" w:hAnsi="Arial"/>
                <w:sz w:val="18"/>
                <w:szCs w:val="18"/>
                <w:color w:val="0000EE"/>
                <w:w w:val="99"/>
              </w:rPr>
            </w:pPr>
            <w:hyperlink r:id="rId114">
              <w:r>
                <w:rPr>
                  <w:rFonts w:ascii="Arial" w:cs="Arial" w:eastAsia="Arial" w:hAnsi="Arial"/>
                  <w:sz w:val="18"/>
                  <w:szCs w:val="18"/>
                  <w:color w:val="0000EE"/>
                  <w:w w:val="99"/>
                </w:rPr>
                <w:t>DISH Network Corporation 2009 Stock Incentive Plan (incorporated by reference to Appendix A</w:t>
              </w:r>
            </w:hyperlink>
          </w:p>
        </w:tc>
      </w:tr>
      <w:tr>
        <w:trPr>
          <w:trHeight w:val="209"/>
        </w:trPr>
        <w:tc>
          <w:tcPr>
            <w:tcW w:w="1200" w:type="dxa"/>
            <w:vAlign w:val="bottom"/>
          </w:tcPr>
          <w:p>
            <w:pPr>
              <w:spacing w:after="0"/>
              <w:rPr>
                <w:sz w:val="18"/>
                <w:szCs w:val="18"/>
                <w:color w:val="auto"/>
              </w:rPr>
            </w:pPr>
          </w:p>
        </w:tc>
        <w:tc>
          <w:tcPr>
            <w:tcW w:w="7580" w:type="dxa"/>
            <w:vAlign w:val="bottom"/>
            <w:tcBorders>
              <w:top w:val="single" w:sz="8" w:color="0000EE"/>
            </w:tcBorders>
            <w:gridSpan w:val="28"/>
          </w:tcPr>
          <w:p>
            <w:pPr>
              <w:spacing w:after="0"/>
              <w:rPr>
                <w:rFonts w:ascii="Arial" w:cs="Arial" w:eastAsia="Arial" w:hAnsi="Arial"/>
                <w:sz w:val="18"/>
                <w:szCs w:val="18"/>
                <w:color w:val="0000EE"/>
              </w:rPr>
            </w:pPr>
            <w:hyperlink r:id="rId114">
              <w:r>
                <w:rPr>
                  <w:rFonts w:ascii="Arial" w:cs="Arial" w:eastAsia="Arial" w:hAnsi="Arial"/>
                  <w:sz w:val="18"/>
                  <w:szCs w:val="18"/>
                  <w:color w:val="0000EE"/>
                </w:rPr>
                <w:t>to DISH Network Corporation’s Definitive Proxy Statement on Form 14A filed September 19,</w:t>
              </w:r>
            </w:hyperlink>
          </w:p>
        </w:tc>
        <w:tc>
          <w:tcPr>
            <w:tcW w:w="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7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r:id="rId114">
              <w:r>
                <w:rPr>
                  <w:rFonts w:ascii="Arial" w:cs="Arial" w:eastAsia="Arial" w:hAnsi="Arial"/>
                  <w:sz w:val="18"/>
                  <w:szCs w:val="18"/>
                  <w:color w:val="0000EE"/>
                  <w:w w:val="97"/>
                </w:rPr>
                <w:t>2014). **</w:t>
              </w:r>
            </w:hyperlink>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9"/>
              </w:rPr>
              <w:t>10.4*</w:t>
            </w:r>
          </w:p>
        </w:tc>
        <w:tc>
          <w:tcPr>
            <w:tcW w:w="7440" w:type="dxa"/>
            <w:vAlign w:val="bottom"/>
            <w:tcBorders>
              <w:bottom w:val="single" w:sz="8" w:color="0000EE"/>
            </w:tcBorders>
            <w:gridSpan w:val="23"/>
          </w:tcPr>
          <w:p>
            <w:pPr>
              <w:spacing w:after="0"/>
              <w:rPr>
                <w:rFonts w:ascii="Arial" w:cs="Arial" w:eastAsia="Arial" w:hAnsi="Arial"/>
                <w:sz w:val="18"/>
                <w:szCs w:val="18"/>
                <w:color w:val="0000EE"/>
                <w:w w:val="99"/>
              </w:rPr>
            </w:pPr>
            <w:hyperlink r:id="rId115">
              <w:r>
                <w:rPr>
                  <w:rFonts w:ascii="Arial" w:cs="Arial" w:eastAsia="Arial" w:hAnsi="Arial"/>
                  <w:sz w:val="18"/>
                  <w:szCs w:val="18"/>
                  <w:color w:val="0000EE"/>
                  <w:w w:val="99"/>
                </w:rPr>
                <w:t>Amended and Restated DISH Network Corporation 2001 Nonemployee Director Stock Option</w:t>
              </w:r>
            </w:hyperlink>
          </w:p>
        </w:tc>
        <w:tc>
          <w:tcPr>
            <w:tcW w:w="160" w:type="dxa"/>
            <w:vAlign w:val="bottom"/>
            <w:gridSpan w:val="6"/>
          </w:tcPr>
          <w:p>
            <w:pPr>
              <w:spacing w:after="0"/>
              <w:rPr>
                <w:sz w:val="24"/>
                <w:szCs w:val="24"/>
                <w:color w:val="auto"/>
              </w:rPr>
            </w:pPr>
          </w:p>
        </w:tc>
      </w:tr>
      <w:tr>
        <w:trPr>
          <w:trHeight w:val="210"/>
        </w:trPr>
        <w:tc>
          <w:tcPr>
            <w:tcW w:w="1200" w:type="dxa"/>
            <w:vAlign w:val="bottom"/>
          </w:tcPr>
          <w:p>
            <w:pPr>
              <w:spacing w:after="0"/>
              <w:rPr>
                <w:sz w:val="18"/>
                <w:szCs w:val="18"/>
                <w:color w:val="auto"/>
              </w:rPr>
            </w:pPr>
          </w:p>
        </w:tc>
        <w:tc>
          <w:tcPr>
            <w:tcW w:w="7500" w:type="dxa"/>
            <w:vAlign w:val="bottom"/>
            <w:tcBorders>
              <w:bottom w:val="single" w:sz="8" w:color="0000EE"/>
            </w:tcBorders>
            <w:gridSpan w:val="25"/>
          </w:tcPr>
          <w:p>
            <w:pPr>
              <w:spacing w:after="0"/>
              <w:rPr>
                <w:rFonts w:ascii="Arial" w:cs="Arial" w:eastAsia="Arial" w:hAnsi="Arial"/>
                <w:sz w:val="18"/>
                <w:szCs w:val="18"/>
                <w:color w:val="0000EE"/>
                <w:w w:val="99"/>
              </w:rPr>
            </w:pPr>
            <w:hyperlink r:id="rId115">
              <w:r>
                <w:rPr>
                  <w:rFonts w:ascii="Arial" w:cs="Arial" w:eastAsia="Arial" w:hAnsi="Arial"/>
                  <w:sz w:val="18"/>
                  <w:szCs w:val="18"/>
                  <w:color w:val="0000EE"/>
                  <w:w w:val="99"/>
                </w:rPr>
                <w:t>Plan (incorporated by reference to Appendix B to DISH Network Corporation’s Definitive Proxy</w:t>
              </w:r>
            </w:hyperlink>
          </w:p>
        </w:tc>
        <w:tc>
          <w:tcPr>
            <w:tcW w:w="100" w:type="dxa"/>
            <w:vAlign w:val="bottom"/>
            <w:gridSpan w:val="4"/>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15">
              <w:r>
                <w:rPr>
                  <w:rFonts w:ascii="Arial" w:cs="Arial" w:eastAsia="Arial" w:hAnsi="Arial"/>
                  <w:sz w:val="18"/>
                  <w:szCs w:val="18"/>
                  <w:color w:val="0000EE"/>
                </w:rPr>
                <w:t>Statement on Form 14A filed March 31, 2009). **</w:t>
              </w:r>
            </w:hyperlink>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5"/>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9"/>
              </w:rPr>
              <w:t>10.5*</w:t>
            </w:r>
          </w:p>
        </w:tc>
        <w:tc>
          <w:tcPr>
            <w:tcW w:w="7600" w:type="dxa"/>
            <w:vAlign w:val="bottom"/>
            <w:gridSpan w:val="29"/>
          </w:tcPr>
          <w:p>
            <w:pPr>
              <w:spacing w:after="0"/>
              <w:rPr>
                <w:rFonts w:ascii="Arial" w:cs="Arial" w:eastAsia="Arial" w:hAnsi="Arial"/>
                <w:sz w:val="18"/>
                <w:szCs w:val="18"/>
                <w:color w:val="0000EE"/>
              </w:rPr>
            </w:pPr>
            <w:hyperlink r:id="rId115">
              <w:r>
                <w:rPr>
                  <w:rFonts w:ascii="Arial" w:cs="Arial" w:eastAsia="Arial" w:hAnsi="Arial"/>
                  <w:sz w:val="18"/>
                  <w:szCs w:val="18"/>
                  <w:color w:val="0000EE"/>
                </w:rPr>
                <w:t>Amended and Restated DISH Network Corporation 1999 Stock Incentive Plan (incorporated by</w:t>
              </w:r>
            </w:hyperlink>
          </w:p>
        </w:tc>
      </w:tr>
      <w:tr>
        <w:trPr>
          <w:trHeight w:val="210"/>
        </w:trPr>
        <w:tc>
          <w:tcPr>
            <w:tcW w:w="1200" w:type="dxa"/>
            <w:vAlign w:val="bottom"/>
          </w:tcPr>
          <w:p>
            <w:pPr>
              <w:spacing w:after="0"/>
              <w:rPr>
                <w:sz w:val="18"/>
                <w:szCs w:val="18"/>
                <w:color w:val="auto"/>
              </w:rPr>
            </w:pPr>
          </w:p>
        </w:tc>
        <w:tc>
          <w:tcPr>
            <w:tcW w:w="73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9"/>
              </w:rPr>
            </w:pPr>
            <w:hyperlink r:id="rId115">
              <w:r>
                <w:rPr>
                  <w:rFonts w:ascii="Arial" w:cs="Arial" w:eastAsia="Arial" w:hAnsi="Arial"/>
                  <w:sz w:val="18"/>
                  <w:szCs w:val="18"/>
                  <w:color w:val="0000EE"/>
                  <w:w w:val="99"/>
                </w:rPr>
                <w:t>reference to Appendix C to DISH Network Corporation’s Definitive Proxy Statement on Form</w:t>
              </w:r>
            </w:hyperlink>
          </w:p>
        </w:tc>
        <w:tc>
          <w:tcPr>
            <w:tcW w:w="220" w:type="dxa"/>
            <w:vAlign w:val="bottom"/>
            <w:tcBorders>
              <w:top w:val="single" w:sz="8" w:color="0000EE"/>
            </w:tcBorders>
            <w:gridSpan w:val="8"/>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2300" w:type="dxa"/>
            <w:vAlign w:val="bottom"/>
            <w:tcBorders>
              <w:bottom w:val="single" w:sz="8" w:color="0000EE"/>
            </w:tcBorders>
            <w:gridSpan w:val="5"/>
          </w:tcPr>
          <w:p>
            <w:pPr>
              <w:spacing w:after="0"/>
              <w:rPr>
                <w:rFonts w:ascii="Arial" w:cs="Arial" w:eastAsia="Arial" w:hAnsi="Arial"/>
                <w:sz w:val="18"/>
                <w:szCs w:val="18"/>
                <w:color w:val="0000EE"/>
                <w:w w:val="99"/>
              </w:rPr>
            </w:pPr>
            <w:hyperlink r:id="rId115">
              <w:r>
                <w:rPr>
                  <w:rFonts w:ascii="Arial" w:cs="Arial" w:eastAsia="Arial" w:hAnsi="Arial"/>
                  <w:sz w:val="18"/>
                  <w:szCs w:val="18"/>
                  <w:color w:val="0000EE"/>
                  <w:w w:val="99"/>
                </w:rPr>
                <w:t>14A filed March 31, 2009). **</w:t>
              </w:r>
            </w:hyperlink>
          </w:p>
        </w:tc>
        <w:tc>
          <w:tcPr>
            <w:tcW w:w="5300" w:type="dxa"/>
            <w:vAlign w:val="bottom"/>
            <w:gridSpan w:val="24"/>
          </w:tcPr>
          <w:p>
            <w:pPr>
              <w:spacing w:after="0"/>
              <w:rPr>
                <w:sz w:val="18"/>
                <w:szCs w:val="18"/>
                <w:color w:val="auto"/>
              </w:rPr>
            </w:pPr>
          </w:p>
        </w:tc>
      </w:tr>
      <w:tr>
        <w:trPr>
          <w:trHeight w:val="425"/>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9"/>
              </w:rPr>
              <w:t>10.6*</w:t>
            </w:r>
          </w:p>
        </w:tc>
        <w:tc>
          <w:tcPr>
            <w:tcW w:w="7460" w:type="dxa"/>
            <w:vAlign w:val="bottom"/>
            <w:tcBorders>
              <w:bottom w:val="single" w:sz="8" w:color="0000EE"/>
            </w:tcBorders>
            <w:gridSpan w:val="24"/>
          </w:tcPr>
          <w:p>
            <w:pPr>
              <w:spacing w:after="0"/>
              <w:rPr>
                <w:rFonts w:ascii="Arial" w:cs="Arial" w:eastAsia="Arial" w:hAnsi="Arial"/>
                <w:sz w:val="18"/>
                <w:szCs w:val="18"/>
                <w:color w:val="0000EE"/>
                <w:w w:val="99"/>
              </w:rPr>
            </w:pPr>
            <w:hyperlink r:id="rId116">
              <w:r>
                <w:rPr>
                  <w:rFonts w:ascii="Arial" w:cs="Arial" w:eastAsia="Arial" w:hAnsi="Arial"/>
                  <w:sz w:val="18"/>
                  <w:szCs w:val="18"/>
                  <w:color w:val="0000EE"/>
                  <w:w w:val="99"/>
                </w:rPr>
                <w:t>Guaranty of Certain Obligations to FCC, dated as of October 1, 2015, made by DISH Network</w:t>
              </w:r>
            </w:hyperlink>
          </w:p>
        </w:tc>
        <w:tc>
          <w:tcPr>
            <w:tcW w:w="140" w:type="dxa"/>
            <w:vAlign w:val="bottom"/>
            <w:gridSpan w:val="5"/>
          </w:tcPr>
          <w:p>
            <w:pPr>
              <w:spacing w:after="0"/>
              <w:rPr>
                <w:sz w:val="24"/>
                <w:szCs w:val="24"/>
                <w:color w:val="auto"/>
              </w:rPr>
            </w:pPr>
          </w:p>
        </w:tc>
      </w:tr>
      <w:tr>
        <w:trPr>
          <w:trHeight w:val="209"/>
        </w:trPr>
        <w:tc>
          <w:tcPr>
            <w:tcW w:w="1200" w:type="dxa"/>
            <w:vAlign w:val="bottom"/>
          </w:tcPr>
          <w:p>
            <w:pPr>
              <w:spacing w:after="0"/>
              <w:rPr>
                <w:sz w:val="18"/>
                <w:szCs w:val="18"/>
                <w:color w:val="auto"/>
              </w:rPr>
            </w:pPr>
          </w:p>
        </w:tc>
        <w:tc>
          <w:tcPr>
            <w:tcW w:w="6820" w:type="dxa"/>
            <w:vAlign w:val="bottom"/>
            <w:tcBorders>
              <w:bottom w:val="single" w:sz="8" w:color="0000EE"/>
            </w:tcBorders>
            <w:gridSpan w:val="9"/>
          </w:tcPr>
          <w:p>
            <w:pPr>
              <w:spacing w:after="0"/>
              <w:rPr>
                <w:rFonts w:ascii="Arial" w:cs="Arial" w:eastAsia="Arial" w:hAnsi="Arial"/>
                <w:sz w:val="18"/>
                <w:szCs w:val="18"/>
                <w:color w:val="0000EE"/>
                <w:w w:val="99"/>
              </w:rPr>
            </w:pPr>
            <w:hyperlink r:id="rId116">
              <w:r>
                <w:rPr>
                  <w:rFonts w:ascii="Arial" w:cs="Arial" w:eastAsia="Arial" w:hAnsi="Arial"/>
                  <w:sz w:val="18"/>
                  <w:szCs w:val="18"/>
                  <w:color w:val="0000EE"/>
                  <w:w w:val="99"/>
                </w:rPr>
                <w:t>Corporation in favor of the Federal Communications Commission (Northstar Wireless)</w:t>
              </w:r>
            </w:hyperlink>
          </w:p>
        </w:tc>
        <w:tc>
          <w:tcPr>
            <w:tcW w:w="780" w:type="dxa"/>
            <w:vAlign w:val="bottom"/>
            <w:gridSpan w:val="20"/>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6980" w:type="dxa"/>
            <w:vAlign w:val="bottom"/>
            <w:tcBorders>
              <w:bottom w:val="single" w:sz="8" w:color="0000EE"/>
            </w:tcBorders>
            <w:gridSpan w:val="11"/>
          </w:tcPr>
          <w:p>
            <w:pPr>
              <w:spacing w:after="0"/>
              <w:rPr>
                <w:rFonts w:ascii="Arial" w:cs="Arial" w:eastAsia="Arial" w:hAnsi="Arial"/>
                <w:sz w:val="18"/>
                <w:szCs w:val="18"/>
                <w:color w:val="0000EE"/>
                <w:w w:val="99"/>
              </w:rPr>
            </w:pPr>
            <w:hyperlink r:id="rId116">
              <w:r>
                <w:rPr>
                  <w:rFonts w:ascii="Arial" w:cs="Arial" w:eastAsia="Arial" w:hAnsi="Arial"/>
                  <w:sz w:val="18"/>
                  <w:szCs w:val="18"/>
                  <w:color w:val="0000EE"/>
                  <w:w w:val="99"/>
                </w:rPr>
                <w:t>(incorporated by reference from Exhibit 10.2 to the Current Report on Form 8-K of DISH</w:t>
              </w:r>
            </w:hyperlink>
          </w:p>
        </w:tc>
        <w:tc>
          <w:tcPr>
            <w:tcW w:w="620" w:type="dxa"/>
            <w:vAlign w:val="bottom"/>
            <w:gridSpan w:val="18"/>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3480" w:type="dxa"/>
            <w:vAlign w:val="bottom"/>
            <w:tcBorders>
              <w:bottom w:val="single" w:sz="8" w:color="0000EE"/>
            </w:tcBorders>
            <w:gridSpan w:val="6"/>
          </w:tcPr>
          <w:p>
            <w:pPr>
              <w:spacing w:after="0"/>
              <w:rPr>
                <w:rFonts w:ascii="Arial" w:cs="Arial" w:eastAsia="Arial" w:hAnsi="Arial"/>
                <w:sz w:val="18"/>
                <w:szCs w:val="18"/>
                <w:color w:val="0000EE"/>
                <w:w w:val="99"/>
              </w:rPr>
            </w:pPr>
            <w:hyperlink r:id="rId116">
              <w:r>
                <w:rPr>
                  <w:rFonts w:ascii="Arial" w:cs="Arial" w:eastAsia="Arial" w:hAnsi="Arial"/>
                  <w:sz w:val="18"/>
                  <w:szCs w:val="18"/>
                  <w:color w:val="0000EE"/>
                  <w:w w:val="99"/>
                </w:rPr>
                <w:t>Network Corporation filed October 2, 2015).</w:t>
              </w:r>
            </w:hyperlink>
          </w:p>
        </w:tc>
        <w:tc>
          <w:tcPr>
            <w:tcW w:w="4120" w:type="dxa"/>
            <w:vAlign w:val="bottom"/>
            <w:gridSpan w:val="23"/>
          </w:tcPr>
          <w:p>
            <w:pPr>
              <w:spacing w:after="0"/>
              <w:rPr>
                <w:sz w:val="18"/>
                <w:szCs w:val="18"/>
                <w:color w:val="auto"/>
              </w:rPr>
            </w:pPr>
          </w:p>
        </w:tc>
      </w:tr>
      <w:tr>
        <w:trPr>
          <w:trHeight w:val="439"/>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9"/>
              </w:rPr>
              <w:t>10.7*</w:t>
            </w:r>
          </w:p>
        </w:tc>
        <w:tc>
          <w:tcPr>
            <w:tcW w:w="7460" w:type="dxa"/>
            <w:vAlign w:val="bottom"/>
            <w:tcBorders>
              <w:bottom w:val="single" w:sz="8" w:color="0000EE"/>
            </w:tcBorders>
            <w:gridSpan w:val="24"/>
          </w:tcPr>
          <w:p>
            <w:pPr>
              <w:spacing w:after="0"/>
              <w:rPr>
                <w:rFonts w:ascii="Arial" w:cs="Arial" w:eastAsia="Arial" w:hAnsi="Arial"/>
                <w:sz w:val="18"/>
                <w:szCs w:val="18"/>
                <w:color w:val="0000EE"/>
                <w:w w:val="99"/>
              </w:rPr>
            </w:pPr>
            <w:hyperlink r:id="rId117">
              <w:r>
                <w:rPr>
                  <w:rFonts w:ascii="Arial" w:cs="Arial" w:eastAsia="Arial" w:hAnsi="Arial"/>
                  <w:sz w:val="18"/>
                  <w:szCs w:val="18"/>
                  <w:color w:val="0000EE"/>
                  <w:w w:val="99"/>
                </w:rPr>
                <w:t>Guaranty of Certain Obligations to FCC, dated as of October 1, 2015, made by DISH Network</w:t>
              </w:r>
            </w:hyperlink>
          </w:p>
        </w:tc>
        <w:tc>
          <w:tcPr>
            <w:tcW w:w="140" w:type="dxa"/>
            <w:vAlign w:val="bottom"/>
            <w:gridSpan w:val="5"/>
          </w:tcPr>
          <w:p>
            <w:pPr>
              <w:spacing w:after="0"/>
              <w:rPr>
                <w:sz w:val="24"/>
                <w:szCs w:val="24"/>
                <w:color w:val="auto"/>
              </w:rPr>
            </w:pPr>
          </w:p>
        </w:tc>
      </w:tr>
      <w:tr>
        <w:trPr>
          <w:trHeight w:val="209"/>
        </w:trPr>
        <w:tc>
          <w:tcPr>
            <w:tcW w:w="120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17">
              <w:r>
                <w:rPr>
                  <w:rFonts w:ascii="Arial" w:cs="Arial" w:eastAsia="Arial" w:hAnsi="Arial"/>
                  <w:sz w:val="18"/>
                  <w:szCs w:val="18"/>
                  <w:color w:val="0000EE"/>
                </w:rPr>
                <w:t>Corporation in favor of the Federal Communications Commission (SNR Wireless) (incorporated</w:t>
              </w:r>
            </w:hyperlink>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360" w:type="dxa"/>
            <w:vAlign w:val="bottom"/>
            <w:gridSpan w:val="8"/>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17">
              <w:r>
                <w:rPr>
                  <w:rFonts w:ascii="Arial" w:cs="Arial" w:eastAsia="Arial" w:hAnsi="Arial"/>
                  <w:sz w:val="18"/>
                  <w:szCs w:val="18"/>
                  <w:color w:val="0000EE"/>
                </w:rPr>
                <w:t>by reference from Exhibit 10.4 to the Current Report on Form 8-K of DISH Network Corporation</w:t>
              </w:r>
            </w:hyperlink>
          </w:p>
        </w:tc>
      </w:tr>
      <w:tr>
        <w:trPr>
          <w:trHeight w:val="196"/>
        </w:trPr>
        <w:tc>
          <w:tcPr>
            <w:tcW w:w="12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8"/>
              </w:rPr>
            </w:pPr>
            <w:hyperlink r:id="rId117">
              <w:r>
                <w:rPr>
                  <w:rFonts w:ascii="Arial" w:cs="Arial" w:eastAsia="Arial" w:hAnsi="Arial"/>
                  <w:sz w:val="18"/>
                  <w:szCs w:val="18"/>
                  <w:color w:val="0000EE"/>
                  <w:w w:val="98"/>
                </w:rPr>
                <w:t>filed October 2, 2015).</w:t>
              </w:r>
            </w:hyperlink>
          </w:p>
        </w:tc>
        <w:tc>
          <w:tcPr>
            <w:tcW w:w="5780" w:type="dxa"/>
            <w:vAlign w:val="bottom"/>
            <w:tcBorders>
              <w:top w:val="single" w:sz="8" w:color="0000EE"/>
            </w:tcBorders>
            <w:gridSpan w:val="2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39"/>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9"/>
              </w:rPr>
              <w:t>10.8*</w:t>
            </w:r>
          </w:p>
        </w:tc>
        <w:tc>
          <w:tcPr>
            <w:tcW w:w="7600" w:type="dxa"/>
            <w:vAlign w:val="bottom"/>
            <w:gridSpan w:val="29"/>
          </w:tcPr>
          <w:p>
            <w:pPr>
              <w:spacing w:after="0"/>
              <w:rPr>
                <w:rFonts w:ascii="Arial" w:cs="Arial" w:eastAsia="Arial" w:hAnsi="Arial"/>
                <w:sz w:val="18"/>
                <w:szCs w:val="18"/>
                <w:color w:val="0000EE"/>
              </w:rPr>
            </w:pPr>
            <w:hyperlink r:id="rId118">
              <w:r>
                <w:rPr>
                  <w:rFonts w:ascii="Arial" w:cs="Arial" w:eastAsia="Arial" w:hAnsi="Arial"/>
                  <w:sz w:val="18"/>
                  <w:szCs w:val="18"/>
                  <w:color w:val="0000EE"/>
                </w:rPr>
                <w:t>Form of Base/Additional Note Hedge Transaction Confirmation (incorporated by reference from</w:t>
              </w:r>
            </w:hyperlink>
          </w:p>
        </w:tc>
      </w:tr>
      <w:tr>
        <w:trPr>
          <w:trHeight w:val="210"/>
        </w:trPr>
        <w:tc>
          <w:tcPr>
            <w:tcW w:w="1200" w:type="dxa"/>
            <w:vAlign w:val="bottom"/>
          </w:tcPr>
          <w:p>
            <w:pPr>
              <w:spacing w:after="0"/>
              <w:rPr>
                <w:sz w:val="18"/>
                <w:szCs w:val="18"/>
                <w:color w:val="auto"/>
              </w:rPr>
            </w:pPr>
          </w:p>
        </w:tc>
        <w:tc>
          <w:tcPr>
            <w:tcW w:w="7560" w:type="dxa"/>
            <w:vAlign w:val="bottom"/>
            <w:tcBorders>
              <w:top w:val="single" w:sz="8" w:color="0000EE"/>
            </w:tcBorders>
            <w:gridSpan w:val="27"/>
          </w:tcPr>
          <w:p>
            <w:pPr>
              <w:spacing w:after="0"/>
              <w:rPr>
                <w:rFonts w:ascii="Arial" w:cs="Arial" w:eastAsia="Arial" w:hAnsi="Arial"/>
                <w:sz w:val="18"/>
                <w:szCs w:val="18"/>
                <w:color w:val="0000EE"/>
              </w:rPr>
            </w:pPr>
            <w:hyperlink r:id="rId118">
              <w:r>
                <w:rPr>
                  <w:rFonts w:ascii="Arial" w:cs="Arial" w:eastAsia="Arial" w:hAnsi="Arial"/>
                  <w:sz w:val="18"/>
                  <w:szCs w:val="18"/>
                  <w:color w:val="0000EE"/>
                </w:rPr>
                <w:t>Exhibit 10.1 to the Current Report on Form 8-K of DISH Network Corporation filed August 8,</w:t>
              </w:r>
            </w:hyperlink>
          </w:p>
        </w:tc>
        <w:tc>
          <w:tcPr>
            <w:tcW w:w="40" w:type="dxa"/>
            <w:vAlign w:val="bottom"/>
            <w:gridSpan w:val="2"/>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r:id="rId118">
              <w:r>
                <w:rPr>
                  <w:rFonts w:ascii="Arial" w:cs="Arial" w:eastAsia="Arial" w:hAnsi="Arial"/>
                  <w:sz w:val="18"/>
                  <w:szCs w:val="18"/>
                  <w:color w:val="0000EE"/>
                  <w:w w:val="93"/>
                </w:rPr>
                <w:t>2016).</w:t>
              </w:r>
            </w:hyperlink>
          </w:p>
        </w:tc>
        <w:tc>
          <w:tcPr>
            <w:tcW w:w="2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6"/>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9"/>
              </w:rPr>
              <w:t>10.9*</w:t>
            </w:r>
          </w:p>
        </w:tc>
        <w:tc>
          <w:tcPr>
            <w:tcW w:w="7240" w:type="dxa"/>
            <w:vAlign w:val="bottom"/>
            <w:tcBorders>
              <w:bottom w:val="single" w:sz="8" w:color="0000EE"/>
            </w:tcBorders>
            <w:gridSpan w:val="15"/>
          </w:tcPr>
          <w:p>
            <w:pPr>
              <w:spacing w:after="0"/>
              <w:rPr>
                <w:rFonts w:ascii="Arial" w:cs="Arial" w:eastAsia="Arial" w:hAnsi="Arial"/>
                <w:sz w:val="18"/>
                <w:szCs w:val="18"/>
                <w:color w:val="0000EE"/>
                <w:w w:val="99"/>
              </w:rPr>
            </w:pPr>
            <w:hyperlink r:id="rId119">
              <w:r>
                <w:rPr>
                  <w:rFonts w:ascii="Arial" w:cs="Arial" w:eastAsia="Arial" w:hAnsi="Arial"/>
                  <w:sz w:val="18"/>
                  <w:szCs w:val="18"/>
                  <w:color w:val="0000EE"/>
                  <w:w w:val="99"/>
                </w:rPr>
                <w:t>Form of Base/Additional Warrant Transaction Confirmation (incorporated by reference from</w:t>
              </w:r>
            </w:hyperlink>
          </w:p>
        </w:tc>
        <w:tc>
          <w:tcPr>
            <w:tcW w:w="360" w:type="dxa"/>
            <w:vAlign w:val="bottom"/>
            <w:gridSpan w:val="14"/>
          </w:tcPr>
          <w:p>
            <w:pPr>
              <w:spacing w:after="0"/>
              <w:rPr>
                <w:sz w:val="24"/>
                <w:szCs w:val="24"/>
                <w:color w:val="auto"/>
              </w:rPr>
            </w:pPr>
          </w:p>
        </w:tc>
      </w:tr>
      <w:tr>
        <w:trPr>
          <w:trHeight w:val="209"/>
        </w:trPr>
        <w:tc>
          <w:tcPr>
            <w:tcW w:w="120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19">
              <w:r>
                <w:rPr>
                  <w:rFonts w:ascii="Arial" w:cs="Arial" w:eastAsia="Arial" w:hAnsi="Arial"/>
                  <w:sz w:val="18"/>
                  <w:szCs w:val="18"/>
                  <w:color w:val="0000EE"/>
                </w:rPr>
                <w:t>Exhibit 10.2 to the Current Report on Form 8-K of DISH Network Corporation filed August 8,</w:t>
              </w:r>
            </w:hyperlink>
          </w:p>
        </w:tc>
      </w:tr>
      <w:tr>
        <w:trPr>
          <w:trHeight w:val="210"/>
        </w:trPr>
        <w:tc>
          <w:tcPr>
            <w:tcW w:w="1200" w:type="dxa"/>
            <w:vAlign w:val="bottom"/>
          </w:tcPr>
          <w:p>
            <w:pPr>
              <w:spacing w:after="0"/>
              <w:rPr>
                <w:sz w:val="18"/>
                <w:szCs w:val="18"/>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r:id="rId119">
              <w:r>
                <w:rPr>
                  <w:rFonts w:ascii="Arial" w:cs="Arial" w:eastAsia="Arial" w:hAnsi="Arial"/>
                  <w:sz w:val="18"/>
                  <w:szCs w:val="18"/>
                  <w:color w:val="0000EE"/>
                  <w:w w:val="93"/>
                </w:rPr>
                <w:t>2016).</w:t>
              </w:r>
            </w:hyperlink>
          </w:p>
        </w:tc>
        <w:tc>
          <w:tcPr>
            <w:tcW w:w="2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99"/>
              </w:rPr>
              <w:t>10.10*</w:t>
            </w:r>
          </w:p>
        </w:tc>
        <w:tc>
          <w:tcPr>
            <w:tcW w:w="7320" w:type="dxa"/>
            <w:vAlign w:val="bottom"/>
            <w:tcBorders>
              <w:bottom w:val="single" w:sz="8" w:color="0000EE"/>
            </w:tcBorders>
            <w:gridSpan w:val="18"/>
          </w:tcPr>
          <w:p>
            <w:pPr>
              <w:spacing w:after="0"/>
              <w:rPr>
                <w:rFonts w:ascii="Arial" w:cs="Arial" w:eastAsia="Arial" w:hAnsi="Arial"/>
                <w:sz w:val="18"/>
                <w:szCs w:val="18"/>
                <w:color w:val="0000EE"/>
                <w:w w:val="99"/>
              </w:rPr>
            </w:pPr>
            <w:hyperlink r:id="rId120">
              <w:r>
                <w:rPr>
                  <w:rFonts w:ascii="Arial" w:cs="Arial" w:eastAsia="Arial" w:hAnsi="Arial"/>
                  <w:sz w:val="18"/>
                  <w:szCs w:val="18"/>
                  <w:color w:val="0000EE"/>
                  <w:w w:val="99"/>
                </w:rPr>
                <w:t>Description of the 2017 Long-Term Incentive Plan dated December 2, 2016 (incorporated by</w:t>
              </w:r>
            </w:hyperlink>
          </w:p>
        </w:tc>
        <w:tc>
          <w:tcPr>
            <w:tcW w:w="280" w:type="dxa"/>
            <w:vAlign w:val="bottom"/>
            <w:gridSpan w:val="11"/>
          </w:tcPr>
          <w:p>
            <w:pPr>
              <w:spacing w:after="0"/>
              <w:rPr>
                <w:sz w:val="24"/>
                <w:szCs w:val="24"/>
                <w:color w:val="auto"/>
              </w:rPr>
            </w:pPr>
          </w:p>
        </w:tc>
      </w:tr>
      <w:tr>
        <w:trPr>
          <w:trHeight w:val="210"/>
        </w:trPr>
        <w:tc>
          <w:tcPr>
            <w:tcW w:w="1200" w:type="dxa"/>
            <w:vAlign w:val="bottom"/>
          </w:tcPr>
          <w:p>
            <w:pPr>
              <w:spacing w:after="0"/>
              <w:rPr>
                <w:sz w:val="18"/>
                <w:szCs w:val="18"/>
                <w:color w:val="auto"/>
              </w:rPr>
            </w:pPr>
          </w:p>
        </w:tc>
        <w:tc>
          <w:tcPr>
            <w:tcW w:w="7600" w:type="dxa"/>
            <w:vAlign w:val="bottom"/>
            <w:tcBorders>
              <w:bottom w:val="single" w:sz="8" w:color="0000EE"/>
            </w:tcBorders>
            <w:gridSpan w:val="29"/>
          </w:tcPr>
          <w:p>
            <w:pPr>
              <w:spacing w:after="0"/>
              <w:rPr>
                <w:rFonts w:ascii="Arial" w:cs="Arial" w:eastAsia="Arial" w:hAnsi="Arial"/>
                <w:sz w:val="18"/>
                <w:szCs w:val="18"/>
                <w:color w:val="0000EE"/>
                <w:w w:val="99"/>
              </w:rPr>
            </w:pPr>
            <w:hyperlink r:id="rId120">
              <w:r>
                <w:rPr>
                  <w:rFonts w:ascii="Arial" w:cs="Arial" w:eastAsia="Arial" w:hAnsi="Arial"/>
                  <w:sz w:val="18"/>
                  <w:szCs w:val="18"/>
                  <w:color w:val="0000EE"/>
                  <w:w w:val="99"/>
                </w:rPr>
                <w:t>reference from the Current Report on Form 8-K of DISH Network Corporation filed December 8,</w:t>
              </w:r>
            </w:hyperlink>
          </w:p>
        </w:tc>
      </w:tr>
      <w:tr>
        <w:trPr>
          <w:trHeight w:val="209"/>
        </w:trPr>
        <w:tc>
          <w:tcPr>
            <w:tcW w:w="1200" w:type="dxa"/>
            <w:vAlign w:val="bottom"/>
          </w:tcPr>
          <w:p>
            <w:pPr>
              <w:spacing w:after="0"/>
              <w:rPr>
                <w:sz w:val="18"/>
                <w:szCs w:val="18"/>
                <w:color w:val="auto"/>
              </w:rPr>
            </w:pPr>
          </w:p>
        </w:tc>
        <w:tc>
          <w:tcPr>
            <w:tcW w:w="700" w:type="dxa"/>
            <w:vAlign w:val="bottom"/>
            <w:tcBorders>
              <w:bottom w:val="single" w:sz="8" w:color="0000EE"/>
            </w:tcBorders>
            <w:gridSpan w:val="2"/>
          </w:tcPr>
          <w:p>
            <w:pPr>
              <w:spacing w:after="0"/>
              <w:rPr>
                <w:rFonts w:ascii="Arial" w:cs="Arial" w:eastAsia="Arial" w:hAnsi="Arial"/>
                <w:sz w:val="18"/>
                <w:szCs w:val="18"/>
                <w:color w:val="0000EE"/>
                <w:w w:val="97"/>
              </w:rPr>
            </w:pPr>
            <w:hyperlink r:id="rId120">
              <w:r>
                <w:rPr>
                  <w:rFonts w:ascii="Arial" w:cs="Arial" w:eastAsia="Arial" w:hAnsi="Arial"/>
                  <w:sz w:val="18"/>
                  <w:szCs w:val="18"/>
                  <w:color w:val="0000EE"/>
                  <w:w w:val="97"/>
                </w:rPr>
                <w:t>2016). **</w:t>
              </w:r>
            </w:hyperlink>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6"/>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5"/>
              </w:rPr>
              <w:t>10.11*</w:t>
            </w:r>
          </w:p>
        </w:tc>
        <w:tc>
          <w:tcPr>
            <w:tcW w:w="7600" w:type="dxa"/>
            <w:vAlign w:val="bottom"/>
            <w:gridSpan w:val="29"/>
          </w:tcPr>
          <w:p>
            <w:pPr>
              <w:spacing w:after="0"/>
              <w:rPr>
                <w:rFonts w:ascii="Arial" w:cs="Arial" w:eastAsia="Arial" w:hAnsi="Arial"/>
                <w:sz w:val="18"/>
                <w:szCs w:val="18"/>
                <w:color w:val="0000EE"/>
              </w:rPr>
            </w:pPr>
            <w:hyperlink r:id="rId121">
              <w:r>
                <w:rPr>
                  <w:rFonts w:ascii="Arial" w:cs="Arial" w:eastAsia="Arial" w:hAnsi="Arial"/>
                  <w:sz w:val="18"/>
                  <w:szCs w:val="18"/>
                  <w:color w:val="0000EE"/>
                </w:rPr>
                <w:t>Description of the 2019 Long-Term Incentive Plan dated August 17, 2018 (incorporated by</w:t>
              </w:r>
            </w:hyperlink>
          </w:p>
        </w:tc>
      </w:tr>
      <w:tr>
        <w:trPr>
          <w:trHeight w:val="20"/>
        </w:trPr>
        <w:tc>
          <w:tcPr>
            <w:tcW w:w="1200" w:type="dxa"/>
            <w:vAlign w:val="bottom"/>
          </w:tcPr>
          <w:p>
            <w:pPr>
              <w:spacing w:after="0" w:line="20" w:lineRule="exact"/>
              <w:rPr>
                <w:sz w:val="1"/>
                <w:szCs w:val="1"/>
                <w:color w:val="auto"/>
              </w:rPr>
            </w:pPr>
          </w:p>
        </w:tc>
        <w:tc>
          <w:tcPr>
            <w:tcW w:w="7140" w:type="dxa"/>
            <w:vAlign w:val="bottom"/>
            <w:gridSpan w:val="12"/>
            <w:shd w:val="clear" w:color="auto" w:fill="0000EE"/>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7600" w:type="dxa"/>
            <w:vAlign w:val="bottom"/>
            <w:gridSpan w:val="29"/>
          </w:tcPr>
          <w:p>
            <w:pPr>
              <w:spacing w:after="0"/>
              <w:rPr>
                <w:rFonts w:ascii="Arial" w:cs="Arial" w:eastAsia="Arial" w:hAnsi="Arial"/>
                <w:sz w:val="18"/>
                <w:szCs w:val="18"/>
                <w:color w:val="0000EE"/>
              </w:rPr>
            </w:pPr>
            <w:hyperlink r:id="rId121">
              <w:r>
                <w:rPr>
                  <w:rFonts w:ascii="Arial" w:cs="Arial" w:eastAsia="Arial" w:hAnsi="Arial"/>
                  <w:sz w:val="18"/>
                  <w:szCs w:val="18"/>
                  <w:color w:val="0000EE"/>
                </w:rPr>
                <w:t>reference from the Current Report on Form 8-K of DISH Network Corporation filed August 23,</w:t>
              </w:r>
            </w:hyperlink>
          </w:p>
        </w:tc>
      </w:tr>
      <w:tr>
        <w:trPr>
          <w:trHeight w:val="210"/>
        </w:trPr>
        <w:tc>
          <w:tcPr>
            <w:tcW w:w="1200" w:type="dxa"/>
            <w:vAlign w:val="bottom"/>
          </w:tcPr>
          <w:p>
            <w:pPr>
              <w:spacing w:after="0"/>
              <w:rPr>
                <w:sz w:val="18"/>
                <w:szCs w:val="18"/>
                <w:color w:val="auto"/>
              </w:rPr>
            </w:pPr>
          </w:p>
        </w:tc>
        <w:tc>
          <w:tcPr>
            <w:tcW w:w="7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r:id="rId121">
              <w:r>
                <w:rPr>
                  <w:rFonts w:ascii="Arial" w:cs="Arial" w:eastAsia="Arial" w:hAnsi="Arial"/>
                  <w:sz w:val="18"/>
                  <w:szCs w:val="18"/>
                  <w:color w:val="0000EE"/>
                  <w:w w:val="97"/>
                </w:rPr>
                <w:t>2018). **</w:t>
              </w:r>
            </w:hyperlink>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right="419" w:hanging="860"/>
        <w:spacing w:after="0" w:line="30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3">
        <w:r>
          <w:rPr>
            <w:rFonts w:ascii="Arial" w:cs="Arial" w:eastAsia="Arial" w:hAnsi="Arial"/>
            <w:sz w:val="18"/>
            <w:szCs w:val="18"/>
            <w:u w:val="single" w:color="auto"/>
            <w:color w:val="0000EE"/>
          </w:rPr>
          <w:t>Incentive Stock Option Agreement (incorporated by reference from Exhibit 10.1 to the Quarterly</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Report on Form 10-Q of DISH Network Corporation filed November 6, 2020). **</w:t>
        </w:r>
      </w:hyperlink>
    </w:p>
    <w:p>
      <w:pPr>
        <w:spacing w:after="0" w:line="152" w:lineRule="exact"/>
        <w:rPr>
          <w:sz w:val="20"/>
          <w:szCs w:val="20"/>
          <w:color w:val="auto"/>
        </w:rPr>
      </w:pPr>
    </w:p>
    <w:p>
      <w:pPr>
        <w:ind w:left="1020" w:right="819" w:hanging="860"/>
        <w:spacing w:after="0" w:line="30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24">
        <w:r>
          <w:rPr>
            <w:rFonts w:ascii="Arial" w:cs="Arial" w:eastAsia="Arial" w:hAnsi="Arial"/>
            <w:sz w:val="18"/>
            <w:szCs w:val="18"/>
            <w:u w:val="single" w:color="auto"/>
            <w:color w:val="0000EE"/>
          </w:rPr>
          <w:t>Non-Qualified Stock Option Agreement (incorporated by reference from Exhibit 10.2 to the</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Quarterly Report on Form 10-Q of DISH Network Corporation filed November 6, 2020). **</w:t>
        </w:r>
      </w:hyperlink>
    </w:p>
    <w:p>
      <w:pPr>
        <w:spacing w:after="0" w:line="152" w:lineRule="exact"/>
        <w:rPr>
          <w:sz w:val="20"/>
          <w:szCs w:val="20"/>
          <w:color w:val="auto"/>
        </w:rPr>
      </w:pPr>
    </w:p>
    <w:p>
      <w:pPr>
        <w:ind w:left="1020" w:right="539" w:hanging="860"/>
        <w:spacing w:after="0" w:line="30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25">
        <w:r>
          <w:rPr>
            <w:rFonts w:ascii="Arial" w:cs="Arial" w:eastAsia="Arial" w:hAnsi="Arial"/>
            <w:sz w:val="18"/>
            <w:szCs w:val="18"/>
            <w:u w:val="single" w:color="auto"/>
            <w:color w:val="0000EE"/>
          </w:rPr>
          <w:t>Restricted Stock Unit Agreement (incorporated by reference from Exhibit 10.3 to the Quarterly</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Report on Form 10-Q of DISH Network Corporation filed November 6, 2020). **</w:t>
        </w:r>
      </w:hyperlink>
    </w:p>
    <w:p>
      <w:pPr>
        <w:spacing w:after="0" w:line="152" w:lineRule="exact"/>
        <w:rPr>
          <w:sz w:val="20"/>
          <w:szCs w:val="20"/>
          <w:color w:val="auto"/>
        </w:rPr>
      </w:pPr>
    </w:p>
    <w:p>
      <w:pPr>
        <w:ind w:left="1020" w:right="479" w:hanging="860"/>
        <w:spacing w:after="0" w:line="27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26">
        <w:r>
          <w:rPr>
            <w:rFonts w:ascii="Arial" w:cs="Arial" w:eastAsia="Arial" w:hAnsi="Arial"/>
            <w:sz w:val="18"/>
            <w:szCs w:val="18"/>
            <w:u w:val="single" w:color="auto"/>
            <w:color w:val="0000EE"/>
          </w:rPr>
          <w:t>Master Network Service Agreement, dated as of July 1, 2020, by and among DISH Network</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Corporation, DISH Purchasing Corporation, and T-Mobile USA, Inc. (incorporated by reference</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from Exhibit 10.4 to the Quarterly Report on Form 10-Q of DISH Network Corporation filed</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November 6, 2020).</w:t>
        </w:r>
      </w:hyperlink>
    </w:p>
    <w:p>
      <w:pPr>
        <w:spacing w:after="0" w:line="192" w:lineRule="exact"/>
        <w:rPr>
          <w:rFonts w:ascii="Arial" w:cs="Arial" w:eastAsia="Arial" w:hAnsi="Arial"/>
          <w:sz w:val="18"/>
          <w:szCs w:val="18"/>
          <w:u w:val="single" w:color="auto"/>
          <w:color w:val="0000EE"/>
        </w:rPr>
      </w:pPr>
    </w:p>
    <w:p>
      <w:pPr>
        <w:ind w:left="1020" w:right="199" w:hanging="860"/>
        <w:spacing w:after="0" w:line="28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27">
        <w:r>
          <w:rPr>
            <w:rFonts w:ascii="Arial" w:cs="Arial" w:eastAsia="Arial" w:hAnsi="Arial"/>
            <w:sz w:val="18"/>
            <w:szCs w:val="18"/>
            <w:u w:val="single" w:color="auto"/>
            <w:color w:val="0000EE"/>
          </w:rPr>
          <w:t>License Purchase Agreement, dated as of July 1, 2020, by and among DISH Network Corporation</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and T-Mobile USA, Inc. (incorporated by reference from Exhibit 10.5 to the Quarterly Report on</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Form 10-Q of DISH Network Corporation filed November 6, 2020).</w:t>
        </w:r>
      </w:hyperlink>
    </w:p>
    <w:p>
      <w:pPr>
        <w:spacing w:after="0" w:line="170" w:lineRule="exact"/>
        <w:rPr>
          <w:rFonts w:ascii="Arial" w:cs="Arial" w:eastAsia="Arial" w:hAnsi="Arial"/>
          <w:sz w:val="18"/>
          <w:szCs w:val="18"/>
          <w:u w:val="single" w:color="auto"/>
          <w:color w:val="0000EE"/>
        </w:rPr>
      </w:pPr>
    </w:p>
    <w:p>
      <w:pPr>
        <w:ind w:left="1020" w:right="219" w:hanging="860"/>
        <w:spacing w:after="0" w:line="28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28">
        <w:r>
          <w:rPr>
            <w:rFonts w:ascii="Arial" w:cs="Arial" w:eastAsia="Arial" w:hAnsi="Arial"/>
            <w:sz w:val="18"/>
            <w:szCs w:val="18"/>
            <w:u w:val="single" w:color="auto"/>
            <w:color w:val="0000EE"/>
          </w:rPr>
          <w:t>Network Services Agreement, dated as of July 14, 2021, by and among DISH Wireless L.L.C. and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AT&amp;T Mobility LLC (incorporated by reference from Exhibit 10.1 to the Quarterly Report on</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Form 10-Q of DISH Network Corporation filed November 4, 2021).***</w:t>
        </w:r>
      </w:hyperlink>
    </w:p>
    <w:p>
      <w:pPr>
        <w:spacing w:after="0" w:line="170" w:lineRule="exact"/>
        <w:rPr>
          <w:rFonts w:ascii="Arial" w:cs="Arial" w:eastAsia="Arial" w:hAnsi="Arial"/>
          <w:sz w:val="18"/>
          <w:szCs w:val="18"/>
          <w:u w:val="single" w:color="auto"/>
          <w:color w:val="0000EE"/>
        </w:rPr>
      </w:pPr>
    </w:p>
    <w:p>
      <w:pPr>
        <w:ind w:left="1020" w:right="279" w:hanging="860"/>
        <w:spacing w:after="0" w:line="27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29">
        <w:r>
          <w:rPr>
            <w:rFonts w:ascii="Arial" w:cs="Arial" w:eastAsia="Arial" w:hAnsi="Arial"/>
            <w:sz w:val="18"/>
            <w:szCs w:val="18"/>
            <w:u w:val="single" w:color="auto"/>
            <w:color w:val="0000EE"/>
          </w:rPr>
          <w:t>Amended and Restated Support Agreement, dated as of October 2, 2023, by and among DISH</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Network, EchoStar and the Ergen Stockholders (attached to the prospectus which forms a part of</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this registration statement as Annex B) (incorporated by reference from Exhibit 10.1 to the</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Amendment No. 1 on Form S-4 of EchoStar filed on November 6, 2023).</w:t>
        </w:r>
      </w:hyperlink>
    </w:p>
    <w:p>
      <w:pPr>
        <w:spacing w:after="0" w:line="192" w:lineRule="exact"/>
        <w:rPr>
          <w:rFonts w:ascii="Arial" w:cs="Arial" w:eastAsia="Arial" w:hAnsi="Arial"/>
          <w:sz w:val="18"/>
          <w:szCs w:val="18"/>
          <w:u w:val="single" w:color="auto"/>
          <w:color w:val="0000EE"/>
        </w:rPr>
      </w:pPr>
    </w:p>
    <w:p>
      <w:pPr>
        <w:ind w:left="1020" w:right="579" w:hanging="860"/>
        <w:spacing w:after="0" w:line="30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30">
        <w:r>
          <w:rPr>
            <w:rFonts w:ascii="Arial" w:cs="Arial" w:eastAsia="Arial" w:hAnsi="Arial"/>
            <w:sz w:val="18"/>
            <w:szCs w:val="18"/>
            <w:u w:val="single" w:color="auto"/>
            <w:color w:val="0000EE"/>
          </w:rPr>
          <w:t>Form of Warrant Amendment Letter Agreement (incorporated by reference from Exhibit 4.8 to</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EchoStar’s Current Report on Form 8-K filed on January 2, 2024).</w:t>
        </w:r>
      </w:hyperlink>
    </w:p>
    <w:p>
      <w:pPr>
        <w:spacing w:after="0" w:line="152" w:lineRule="exact"/>
        <w:rPr>
          <w:sz w:val="20"/>
          <w:szCs w:val="20"/>
          <w:color w:val="auto"/>
        </w:rPr>
      </w:pPr>
    </w:p>
    <w:p>
      <w:pPr>
        <w:ind w:left="1020" w:right="559" w:hanging="860"/>
        <w:spacing w:after="0" w:line="30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31">
        <w:r>
          <w:rPr>
            <w:rFonts w:ascii="Arial" w:cs="Arial" w:eastAsia="Arial" w:hAnsi="Arial"/>
            <w:sz w:val="18"/>
            <w:szCs w:val="18"/>
            <w:u w:val="single" w:color="auto"/>
            <w:color w:val="0000EE"/>
          </w:rPr>
          <w:t>Form of Warrant Guarantee (incorporated by reference from Exhibit 4.9 to EchoStar’s Current</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Report on Form 8-K filed on January 2, 2024).</w:t>
        </w:r>
      </w:hyperlink>
    </w:p>
    <w:p>
      <w:pPr>
        <w:spacing w:after="0" w:line="152" w:lineRule="exact"/>
        <w:rPr>
          <w:sz w:val="20"/>
          <w:szCs w:val="20"/>
          <w:color w:val="auto"/>
        </w:rPr>
      </w:pPr>
    </w:p>
    <w:p>
      <w:pPr>
        <w:ind w:left="1020" w:right="159" w:hanging="860"/>
        <w:spacing w:after="0" w:line="30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32">
        <w:r>
          <w:rPr>
            <w:rFonts w:ascii="Arial" w:cs="Arial" w:eastAsia="Arial" w:hAnsi="Arial"/>
            <w:sz w:val="18"/>
            <w:szCs w:val="18"/>
            <w:u w:val="single" w:color="auto"/>
            <w:color w:val="0000EE"/>
          </w:rPr>
          <w:t>Form of Note Hedge Amendment Letter Agreement (incorporated by reference from Exhibit 4.11 to</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EchoStar’s Current Report on Form 8-K filed on January 2, 2024).</w:t>
        </w:r>
      </w:hyperlink>
    </w:p>
    <w:p>
      <w:pPr>
        <w:spacing w:after="0" w:line="152" w:lineRule="exact"/>
        <w:rPr>
          <w:sz w:val="20"/>
          <w:szCs w:val="20"/>
          <w:color w:val="auto"/>
        </w:rPr>
      </w:pPr>
    </w:p>
    <w:p>
      <w:pPr>
        <w:ind w:left="1020" w:right="279" w:hanging="860"/>
        <w:spacing w:after="0" w:line="27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33">
        <w:r>
          <w:rPr>
            <w:rFonts w:ascii="Arial" w:cs="Arial" w:eastAsia="Arial" w:hAnsi="Arial"/>
            <w:sz w:val="18"/>
            <w:szCs w:val="18"/>
            <w:u w:val="single" w:color="auto"/>
            <w:color w:val="0000EE"/>
          </w:rPr>
          <w:t>Loan and Security Agreement, dated September 29, 2024, by and among DISH DBS Issuer LLC,</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as borrower, Alter Domus (US) LLC, as administrative agent, and the lenders party thereto</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(incorporated by reference from Exhibit 10.1 of the Current Report on Form 8-K of EchoStar</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Corporation filed September 30, 2024).</w:t>
        </w:r>
      </w:hyperlink>
    </w:p>
    <w:p>
      <w:pPr>
        <w:spacing w:after="0" w:line="192" w:lineRule="exact"/>
        <w:rPr>
          <w:rFonts w:ascii="Arial" w:cs="Arial" w:eastAsia="Arial" w:hAnsi="Arial"/>
          <w:sz w:val="18"/>
          <w:szCs w:val="18"/>
          <w:u w:val="single" w:color="auto"/>
          <w:color w:val="0000EE"/>
        </w:rPr>
      </w:pPr>
    </w:p>
    <w:p>
      <w:pPr>
        <w:jc w:val="both"/>
        <w:ind w:left="1020" w:right="179" w:hanging="739"/>
        <w:spacing w:after="0" w:line="28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19*</w:t>
      </w:r>
      <w:r>
        <w:rPr>
          <w:sz w:val="20"/>
          <w:szCs w:val="20"/>
          <w:color w:val="auto"/>
        </w:rPr>
        <w:tab/>
      </w:r>
      <w:hyperlink r:id="rId134">
        <w:r>
          <w:rPr>
            <w:rFonts w:ascii="Arial" w:cs="Arial" w:eastAsia="Arial" w:hAnsi="Arial"/>
            <w:sz w:val="18"/>
            <w:szCs w:val="18"/>
            <w:u w:val="single" w:color="auto"/>
            <w:color w:val="0000EE"/>
          </w:rPr>
          <w:t>EchoStar Corporation’s Insider Trading Policy (incorporated by reference to Exhibit 19 to EchoStar</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Corporation’s Annual Report on Form 10-K for the year ended December 31, 2024, filed February</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27, 2025).</w:t>
        </w:r>
      </w:hyperlink>
    </w:p>
    <w:p>
      <w:pPr>
        <w:spacing w:after="0" w:line="130" w:lineRule="exact"/>
        <w:rPr>
          <w:rFonts w:ascii="Arial" w:cs="Arial" w:eastAsia="Arial" w:hAnsi="Arial"/>
          <w:sz w:val="18"/>
          <w:szCs w:val="18"/>
          <w:u w:val="single" w:color="auto"/>
          <w:color w:val="0000EE"/>
        </w:rPr>
      </w:pPr>
    </w:p>
    <w:p>
      <w:pPr>
        <w:ind w:left="240"/>
        <w:spacing w:after="0" w:line="207" w:lineRule="exact"/>
        <w:tabs>
          <w:tab w:leader="none" w:pos="1000" w:val="left"/>
        </w:tabs>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u w:val="single" w:color="auto"/>
          <w:color w:val="0000EE"/>
        </w:rPr>
        <w:t>Subsidiaries of DISH Network Corporation.</w:t>
      </w:r>
    </w:p>
    <w:p>
      <w:pPr>
        <w:spacing w:after="0" w:line="252" w:lineRule="exact"/>
        <w:rPr>
          <w:rFonts w:ascii="Arial" w:cs="Arial" w:eastAsia="Arial" w:hAnsi="Arial"/>
          <w:sz w:val="18"/>
          <w:szCs w:val="18"/>
          <w:u w:val="single" w:color="auto"/>
          <w:color w:val="0000EE"/>
        </w:rPr>
      </w:pPr>
    </w:p>
    <w:p>
      <w:pPr>
        <w:ind w:left="160"/>
        <w:spacing w:after="0" w:line="207" w:lineRule="exact"/>
        <w:tabs>
          <w:tab w:leader="none" w:pos="1000" w:val="left"/>
        </w:tabs>
        <w:rPr>
          <w:sz w:val="20"/>
          <w:szCs w:val="20"/>
          <w:color w:val="auto"/>
        </w:rPr>
      </w:pPr>
      <w:r>
        <w:rPr>
          <w:rFonts w:ascii="Arial" w:cs="Arial" w:eastAsia="Arial" w:hAnsi="Arial"/>
          <w:sz w:val="18"/>
          <w:szCs w:val="18"/>
          <w:color w:val="auto"/>
        </w:rPr>
        <w:t>31.1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302 Certification of Chief Executive Officer.</w:t>
      </w:r>
    </w:p>
    <w:p>
      <w:pPr>
        <w:spacing w:after="0" w:line="252" w:lineRule="exact"/>
        <w:rPr>
          <w:rFonts w:ascii="Arial" w:cs="Arial" w:eastAsia="Arial" w:hAnsi="Arial"/>
          <w:sz w:val="18"/>
          <w:szCs w:val="18"/>
          <w:u w:val="single" w:color="auto"/>
          <w:color w:val="0000EE"/>
        </w:rPr>
      </w:pPr>
    </w:p>
    <w:p>
      <w:pPr>
        <w:ind w:left="160"/>
        <w:spacing w:after="0" w:line="207" w:lineRule="exact"/>
        <w:tabs>
          <w:tab w:leader="none" w:pos="1000" w:val="left"/>
        </w:tabs>
        <w:rPr>
          <w:sz w:val="20"/>
          <w:szCs w:val="20"/>
          <w:color w:val="auto"/>
        </w:rPr>
      </w:pPr>
      <w:r>
        <w:rPr>
          <w:rFonts w:ascii="Arial" w:cs="Arial" w:eastAsia="Arial" w:hAnsi="Arial"/>
          <w:sz w:val="18"/>
          <w:szCs w:val="18"/>
          <w:color w:val="auto"/>
        </w:rPr>
        <w:t>31.2</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302 Certification of Chief Financial Officer.</w:t>
      </w:r>
    </w:p>
    <w:p>
      <w:pPr>
        <w:spacing w:after="0" w:line="252" w:lineRule="exact"/>
        <w:rPr>
          <w:rFonts w:ascii="Arial" w:cs="Arial" w:eastAsia="Arial" w:hAnsi="Arial"/>
          <w:sz w:val="18"/>
          <w:szCs w:val="18"/>
          <w:u w:val="single" w:color="auto"/>
          <w:color w:val="0000EE"/>
        </w:rPr>
      </w:pPr>
    </w:p>
    <w:p>
      <w:pPr>
        <w:ind w:left="160"/>
        <w:spacing w:after="0" w:line="207" w:lineRule="exact"/>
        <w:tabs>
          <w:tab w:leader="none" w:pos="1000" w:val="left"/>
        </w:tabs>
        <w:rPr>
          <w:sz w:val="20"/>
          <w:szCs w:val="20"/>
          <w:color w:val="auto"/>
        </w:rPr>
      </w:pPr>
      <w:r>
        <w:rPr>
          <w:rFonts w:ascii="Arial" w:cs="Arial" w:eastAsia="Arial" w:hAnsi="Arial"/>
          <w:sz w:val="18"/>
          <w:szCs w:val="18"/>
          <w:color w:val="auto"/>
        </w:rPr>
        <w:t>32.1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906 Certification of Chief Executive Officer.</w:t>
      </w:r>
    </w:p>
    <w:p>
      <w:pPr>
        <w:spacing w:after="0" w:line="252" w:lineRule="exact"/>
        <w:rPr>
          <w:rFonts w:ascii="Arial" w:cs="Arial" w:eastAsia="Arial" w:hAnsi="Arial"/>
          <w:sz w:val="18"/>
          <w:szCs w:val="18"/>
          <w:u w:val="single" w:color="auto"/>
          <w:color w:val="0000EE"/>
        </w:rPr>
      </w:pPr>
    </w:p>
    <w:p>
      <w:pPr>
        <w:ind w:left="160"/>
        <w:spacing w:after="0" w:line="207" w:lineRule="exact"/>
        <w:tabs>
          <w:tab w:leader="none" w:pos="1000" w:val="left"/>
        </w:tabs>
        <w:rPr>
          <w:sz w:val="20"/>
          <w:szCs w:val="20"/>
          <w:color w:val="auto"/>
        </w:rPr>
      </w:pPr>
      <w:r>
        <w:rPr>
          <w:rFonts w:ascii="Arial" w:cs="Arial" w:eastAsia="Arial" w:hAnsi="Arial"/>
          <w:sz w:val="18"/>
          <w:szCs w:val="18"/>
          <w:color w:val="auto"/>
        </w:rPr>
        <w:t>32.2</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906 Certification of Chief Financial Officer.</w:t>
      </w:r>
    </w:p>
    <w:p>
      <w:pPr>
        <w:sectPr>
          <w:pgSz w:w="11900" w:h="16838" w:orient="portrait"/>
          <w:cols w:equalWidth="0" w:num="1">
            <w:col w:w="9019"/>
          </w:cols>
          <w:pgMar w:left="1440" w:top="512" w:right="1440" w:bottom="1440" w:gutter="0" w:footer="0" w:header="0"/>
        </w:sectPr>
      </w:pPr>
    </w:p>
    <w:p>
      <w:pPr>
        <w:spacing w:after="0" w:line="200" w:lineRule="exact"/>
        <w:rPr>
          <w:rFonts w:ascii="Arial" w:cs="Arial" w:eastAsia="Arial" w:hAnsi="Arial"/>
          <w:sz w:val="18"/>
          <w:szCs w:val="18"/>
          <w:u w:val="single" w:color="auto"/>
          <w:color w:val="0000EE"/>
        </w:rPr>
      </w:pPr>
    </w:p>
    <w:p>
      <w:pPr>
        <w:spacing w:after="0" w:line="390"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120" w:type="dxa"/>
            <w:vAlign w:val="bottom"/>
          </w:tcPr>
          <w:p>
            <w:pPr>
              <w:jc w:val="center"/>
              <w:ind w:right="4570"/>
              <w:spacing w:after="0"/>
              <w:rPr>
                <w:sz w:val="20"/>
                <w:szCs w:val="20"/>
                <w:color w:val="auto"/>
              </w:rPr>
            </w:pPr>
            <w:r>
              <w:rPr>
                <w:rFonts w:ascii="Arial" w:cs="Arial" w:eastAsia="Arial" w:hAnsi="Arial"/>
                <w:sz w:val="18"/>
                <w:szCs w:val="18"/>
                <w:color w:val="auto"/>
                <w:w w:val="99"/>
              </w:rPr>
              <w:t>99.1*</w:t>
            </w:r>
          </w:p>
        </w:tc>
        <w:tc>
          <w:tcPr>
            <w:tcW w:w="3640" w:type="dxa"/>
            <w:vAlign w:val="bottom"/>
            <w:gridSpan w:val="6"/>
          </w:tcPr>
          <w:p>
            <w:pPr>
              <w:spacing w:after="0"/>
              <w:rPr>
                <w:rFonts w:ascii="Arial" w:cs="Arial" w:eastAsia="Arial" w:hAnsi="Arial"/>
                <w:sz w:val="18"/>
                <w:szCs w:val="18"/>
                <w:color w:val="0000EE"/>
              </w:rPr>
            </w:pPr>
            <w:hyperlink r:id="rId136">
              <w:r>
                <w:rPr>
                  <w:rFonts w:ascii="Arial" w:cs="Arial" w:eastAsia="Arial" w:hAnsi="Arial"/>
                  <w:sz w:val="18"/>
                  <w:szCs w:val="18"/>
                  <w:color w:val="0000EE"/>
                </w:rPr>
                <w:t>Department of Justice CDMA Letter to</w:t>
              </w:r>
            </w:hyperlink>
          </w:p>
        </w:tc>
      </w:tr>
      <w:tr>
        <w:trPr>
          <w:trHeight w:val="20"/>
        </w:trPr>
        <w:tc>
          <w:tcPr>
            <w:tcW w:w="51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3560" w:type="dxa"/>
            <w:vAlign w:val="bottom"/>
            <w:tcBorders>
              <w:bottom w:val="single" w:sz="8" w:color="0000EE"/>
            </w:tcBorders>
            <w:gridSpan w:val="5"/>
          </w:tcPr>
          <w:p>
            <w:pPr>
              <w:spacing w:after="0"/>
              <w:rPr>
                <w:rFonts w:ascii="Arial" w:cs="Arial" w:eastAsia="Arial" w:hAnsi="Arial"/>
                <w:sz w:val="18"/>
                <w:szCs w:val="18"/>
                <w:color w:val="0000EE"/>
                <w:w w:val="99"/>
              </w:rPr>
            </w:pPr>
            <w:hyperlink r:id="rId136">
              <w:r>
                <w:rPr>
                  <w:rFonts w:ascii="Arial" w:cs="Arial" w:eastAsia="Arial" w:hAnsi="Arial"/>
                  <w:sz w:val="18"/>
                  <w:szCs w:val="18"/>
                  <w:color w:val="0000EE"/>
                  <w:w w:val="99"/>
                </w:rPr>
                <w:t>Defendants dated July 9, 2021 (incorporated</w:t>
              </w:r>
            </w:hyperlink>
          </w:p>
        </w:tc>
        <w:tc>
          <w:tcPr>
            <w:tcW w:w="80" w:type="dxa"/>
            <w:vAlign w:val="bottom"/>
          </w:tcPr>
          <w:p>
            <w:pPr>
              <w:spacing w:after="0"/>
              <w:rPr>
                <w:sz w:val="18"/>
                <w:szCs w:val="18"/>
                <w:color w:val="auto"/>
              </w:rPr>
            </w:pPr>
          </w:p>
        </w:tc>
      </w:tr>
      <w:tr>
        <w:trPr>
          <w:trHeight w:val="209"/>
        </w:trPr>
        <w:tc>
          <w:tcPr>
            <w:tcW w:w="5120" w:type="dxa"/>
            <w:vAlign w:val="bottom"/>
          </w:tcPr>
          <w:p>
            <w:pPr>
              <w:spacing w:after="0"/>
              <w:rPr>
                <w:sz w:val="18"/>
                <w:szCs w:val="18"/>
                <w:color w:val="auto"/>
              </w:rPr>
            </w:pPr>
          </w:p>
        </w:tc>
        <w:tc>
          <w:tcPr>
            <w:tcW w:w="3640" w:type="dxa"/>
            <w:vAlign w:val="bottom"/>
            <w:gridSpan w:val="6"/>
          </w:tcPr>
          <w:p>
            <w:pPr>
              <w:spacing w:after="0"/>
              <w:rPr>
                <w:rFonts w:ascii="Arial" w:cs="Arial" w:eastAsia="Arial" w:hAnsi="Arial"/>
                <w:sz w:val="18"/>
                <w:szCs w:val="18"/>
                <w:color w:val="0000EE"/>
              </w:rPr>
            </w:pPr>
            <w:hyperlink r:id="rId136">
              <w:r>
                <w:rPr>
                  <w:rFonts w:ascii="Arial" w:cs="Arial" w:eastAsia="Arial" w:hAnsi="Arial"/>
                  <w:sz w:val="18"/>
                  <w:szCs w:val="18"/>
                  <w:color w:val="0000EE"/>
                </w:rPr>
                <w:t>by reference from Exhibit 99.1 to the</w:t>
              </w:r>
            </w:hyperlink>
          </w:p>
        </w:tc>
      </w:tr>
      <w:tr>
        <w:trPr>
          <w:trHeight w:val="20"/>
        </w:trPr>
        <w:tc>
          <w:tcPr>
            <w:tcW w:w="51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5120" w:type="dxa"/>
            <w:vAlign w:val="bottom"/>
          </w:tcPr>
          <w:p>
            <w:pPr>
              <w:spacing w:after="0"/>
              <w:rPr>
                <w:sz w:val="17"/>
                <w:szCs w:val="17"/>
                <w:color w:val="auto"/>
              </w:rPr>
            </w:pPr>
          </w:p>
        </w:tc>
        <w:tc>
          <w:tcPr>
            <w:tcW w:w="3640" w:type="dxa"/>
            <w:vAlign w:val="bottom"/>
            <w:gridSpan w:val="6"/>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Quarterly Report on Form 10-Q of DISH</w:t>
              </w:r>
            </w:hyperlink>
          </w:p>
        </w:tc>
      </w:tr>
      <w:tr>
        <w:trPr>
          <w:trHeight w:val="20"/>
        </w:trPr>
        <w:tc>
          <w:tcPr>
            <w:tcW w:w="512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5120" w:type="dxa"/>
            <w:vAlign w:val="bottom"/>
          </w:tcPr>
          <w:p>
            <w:pPr>
              <w:spacing w:after="0"/>
              <w:rPr>
                <w:sz w:val="18"/>
                <w:szCs w:val="18"/>
                <w:color w:val="auto"/>
              </w:rPr>
            </w:pPr>
          </w:p>
        </w:tc>
        <w:tc>
          <w:tcPr>
            <w:tcW w:w="3640" w:type="dxa"/>
            <w:vAlign w:val="bottom"/>
            <w:gridSpan w:val="6"/>
          </w:tcPr>
          <w:p>
            <w:pPr>
              <w:spacing w:after="0"/>
              <w:rPr>
                <w:rFonts w:ascii="Arial" w:cs="Arial" w:eastAsia="Arial" w:hAnsi="Arial"/>
                <w:sz w:val="18"/>
                <w:szCs w:val="18"/>
                <w:color w:val="0000EE"/>
              </w:rPr>
            </w:pPr>
            <w:hyperlink r:id="rId136">
              <w:r>
                <w:rPr>
                  <w:rFonts w:ascii="Arial" w:cs="Arial" w:eastAsia="Arial" w:hAnsi="Arial"/>
                  <w:sz w:val="18"/>
                  <w:szCs w:val="18"/>
                  <w:color w:val="0000EE"/>
                </w:rPr>
                <w:t>Network Corporation filed August 9, 2021).</w:t>
              </w:r>
            </w:hyperlink>
          </w:p>
        </w:tc>
      </w:tr>
      <w:tr>
        <w:trPr>
          <w:trHeight w:val="461"/>
        </w:trPr>
        <w:tc>
          <w:tcPr>
            <w:tcW w:w="5120" w:type="dxa"/>
            <w:vAlign w:val="bottom"/>
          </w:tcPr>
          <w:p>
            <w:pPr>
              <w:jc w:val="center"/>
              <w:ind w:right="4570"/>
              <w:spacing w:after="0" w:line="207" w:lineRule="exact"/>
              <w:rPr>
                <w:sz w:val="20"/>
                <w:szCs w:val="20"/>
                <w:color w:val="auto"/>
              </w:rPr>
            </w:pPr>
            <w:r>
              <w:rPr>
                <w:rFonts w:ascii="Arial" w:cs="Arial" w:eastAsia="Arial" w:hAnsi="Arial"/>
                <w:sz w:val="18"/>
                <w:szCs w:val="18"/>
                <w:color w:val="auto"/>
                <w:w w:val="95"/>
              </w:rPr>
              <w:t>101</w:t>
            </w:r>
            <w:r>
              <w:rPr>
                <w:rFonts w:ascii="MS PGothic" w:cs="MS PGothic" w:eastAsia="MS PGothic" w:hAnsi="MS PGothic"/>
                <w:sz w:val="18"/>
                <w:szCs w:val="18"/>
                <w:color w:val="auto"/>
                <w:w w:val="95"/>
              </w:rPr>
              <w:t>☐</w:t>
            </w:r>
          </w:p>
        </w:tc>
        <w:tc>
          <w:tcPr>
            <w:tcW w:w="34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The following materials from the Annual</w:t>
            </w:r>
          </w:p>
        </w:tc>
        <w:tc>
          <w:tcPr>
            <w:tcW w:w="240" w:type="dxa"/>
            <w:vAlign w:val="bottom"/>
            <w:gridSpan w:val="2"/>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Report on Form 10-K of DISH Network</w:t>
            </w:r>
          </w:p>
        </w:tc>
      </w:tr>
      <w:tr>
        <w:trPr>
          <w:trHeight w:val="216"/>
        </w:trPr>
        <w:tc>
          <w:tcPr>
            <w:tcW w:w="5120" w:type="dxa"/>
            <w:vAlign w:val="bottom"/>
          </w:tcPr>
          <w:p>
            <w:pPr>
              <w:spacing w:after="0"/>
              <w:rPr>
                <w:sz w:val="18"/>
                <w:szCs w:val="18"/>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w w:val="99"/>
              </w:rPr>
              <w:t>Corporation for the year ended December 31,</w:t>
            </w:r>
          </w:p>
        </w:tc>
      </w:tr>
      <w:tr>
        <w:trPr>
          <w:trHeight w:val="230"/>
        </w:trPr>
        <w:tc>
          <w:tcPr>
            <w:tcW w:w="512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2024, filed on March 12, 2025, formatted in</w:t>
            </w:r>
          </w:p>
        </w:tc>
      </w:tr>
      <w:tr>
        <w:trPr>
          <w:trHeight w:val="229"/>
        </w:trPr>
        <w:tc>
          <w:tcPr>
            <w:tcW w:w="512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Inline eXtensible Business Reporting</w:t>
            </w:r>
          </w:p>
        </w:tc>
      </w:tr>
      <w:tr>
        <w:trPr>
          <w:trHeight w:val="216"/>
        </w:trPr>
        <w:tc>
          <w:tcPr>
            <w:tcW w:w="5120" w:type="dxa"/>
            <w:vAlign w:val="bottom"/>
          </w:tcPr>
          <w:p>
            <w:pPr>
              <w:spacing w:after="0"/>
              <w:rPr>
                <w:sz w:val="18"/>
                <w:szCs w:val="18"/>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Language (“iXBRL”): (i) Consolidated</w:t>
            </w:r>
          </w:p>
        </w:tc>
      </w:tr>
      <w:tr>
        <w:trPr>
          <w:trHeight w:val="230"/>
        </w:trPr>
        <w:tc>
          <w:tcPr>
            <w:tcW w:w="512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w w:val="99"/>
              </w:rPr>
              <w:t>Balance Sheets, (ii) Consolidated Statements</w:t>
            </w:r>
          </w:p>
        </w:tc>
      </w:tr>
      <w:tr>
        <w:trPr>
          <w:trHeight w:val="229"/>
        </w:trPr>
        <w:tc>
          <w:tcPr>
            <w:tcW w:w="512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of Operations and Comprehensive Income</w:t>
            </w:r>
          </w:p>
        </w:tc>
      </w:tr>
      <w:tr>
        <w:trPr>
          <w:trHeight w:val="216"/>
        </w:trPr>
        <w:tc>
          <w:tcPr>
            <w:tcW w:w="5120" w:type="dxa"/>
            <w:vAlign w:val="bottom"/>
          </w:tcPr>
          <w:p>
            <w:pPr>
              <w:spacing w:after="0"/>
              <w:rPr>
                <w:sz w:val="18"/>
                <w:szCs w:val="18"/>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(Loss), (iii) Consolidated Statement of</w:t>
            </w:r>
          </w:p>
        </w:tc>
      </w:tr>
      <w:tr>
        <w:trPr>
          <w:trHeight w:val="230"/>
        </w:trPr>
        <w:tc>
          <w:tcPr>
            <w:tcW w:w="512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Changes in Stockholder’s Equity (Deficit),</w:t>
            </w:r>
          </w:p>
        </w:tc>
      </w:tr>
      <w:tr>
        <w:trPr>
          <w:trHeight w:val="229"/>
        </w:trPr>
        <w:tc>
          <w:tcPr>
            <w:tcW w:w="512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(iv) Consolidated Statements of Cash Flows,</w:t>
            </w:r>
          </w:p>
        </w:tc>
      </w:tr>
      <w:tr>
        <w:trPr>
          <w:trHeight w:val="216"/>
        </w:trPr>
        <w:tc>
          <w:tcPr>
            <w:tcW w:w="5120" w:type="dxa"/>
            <w:vAlign w:val="bottom"/>
          </w:tcPr>
          <w:p>
            <w:pPr>
              <w:spacing w:after="0"/>
              <w:rPr>
                <w:sz w:val="18"/>
                <w:szCs w:val="18"/>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and (v) related notes to these financial</w:t>
            </w:r>
          </w:p>
        </w:tc>
      </w:tr>
      <w:tr>
        <w:trPr>
          <w:trHeight w:val="239"/>
        </w:trPr>
        <w:tc>
          <w:tcPr>
            <w:tcW w:w="512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statements.</w:t>
            </w:r>
          </w:p>
        </w:tc>
      </w:tr>
      <w:tr>
        <w:trPr>
          <w:trHeight w:val="450"/>
        </w:trPr>
        <w:tc>
          <w:tcPr>
            <w:tcW w:w="5120" w:type="dxa"/>
            <w:vAlign w:val="bottom"/>
          </w:tcPr>
          <w:p>
            <w:pPr>
              <w:jc w:val="center"/>
              <w:ind w:right="4570"/>
              <w:spacing w:after="0" w:line="207" w:lineRule="exact"/>
              <w:rPr>
                <w:sz w:val="20"/>
                <w:szCs w:val="20"/>
                <w:color w:val="auto"/>
              </w:rPr>
            </w:pPr>
            <w:r>
              <w:rPr>
                <w:rFonts w:ascii="Arial" w:cs="Arial" w:eastAsia="Arial" w:hAnsi="Arial"/>
                <w:sz w:val="18"/>
                <w:szCs w:val="18"/>
                <w:color w:val="auto"/>
                <w:w w:val="95"/>
              </w:rPr>
              <w:t>104</w:t>
            </w:r>
            <w:r>
              <w:rPr>
                <w:rFonts w:ascii="MS PGothic" w:cs="MS PGothic" w:eastAsia="MS PGothic" w:hAnsi="MS PGothic"/>
                <w:sz w:val="18"/>
                <w:szCs w:val="18"/>
                <w:color w:val="auto"/>
                <w:w w:val="95"/>
              </w:rPr>
              <w:t>☐</w:t>
            </w:r>
          </w:p>
        </w:tc>
        <w:tc>
          <w:tcPr>
            <w:tcW w:w="3640" w:type="dxa"/>
            <w:vAlign w:val="bottom"/>
            <w:gridSpan w:val="6"/>
          </w:tcPr>
          <w:p>
            <w:pPr>
              <w:spacing w:after="0"/>
              <w:rPr>
                <w:sz w:val="20"/>
                <w:szCs w:val="20"/>
                <w:color w:val="auto"/>
              </w:rPr>
            </w:pPr>
            <w:r>
              <w:rPr>
                <w:rFonts w:ascii="Arial" w:cs="Arial" w:eastAsia="Arial" w:hAnsi="Arial"/>
                <w:sz w:val="18"/>
                <w:szCs w:val="18"/>
                <w:color w:val="auto"/>
              </w:rPr>
              <w:t>Cover Page Interactive Data File (the cover</w:t>
            </w:r>
          </w:p>
        </w:tc>
      </w:tr>
      <w:tr>
        <w:trPr>
          <w:trHeight w:val="230"/>
        </w:trPr>
        <w:tc>
          <w:tcPr>
            <w:tcW w:w="512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page XBRL tags are embedded in the Inline</w:t>
            </w:r>
          </w:p>
        </w:tc>
      </w:tr>
      <w:tr>
        <w:trPr>
          <w:trHeight w:val="239"/>
        </w:trPr>
        <w:tc>
          <w:tcPr>
            <w:tcW w:w="512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14141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20" w:hanging="570"/>
        <w:spacing w:after="0"/>
        <w:tabs>
          <w:tab w:leader="none" w:pos="620" w:val="left"/>
        </w:tabs>
        <w:numPr>
          <w:ilvl w:val="0"/>
          <w:numId w:val="43"/>
        </w:numPr>
        <w:rPr>
          <w:rFonts w:ascii="MS PGothic" w:cs="MS PGothic" w:eastAsia="MS PGothic" w:hAnsi="MS PGothic"/>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ind w:left="620" w:hanging="570"/>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198" w:lineRule="exact"/>
        <w:rPr>
          <w:sz w:val="20"/>
          <w:szCs w:val="20"/>
          <w:color w:val="auto"/>
        </w:rPr>
      </w:pPr>
    </w:p>
    <w:p>
      <w:pPr>
        <w:ind w:left="620" w:hanging="570"/>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Constitutes a management contract or compensatory plan or arrangement.</w:t>
      </w:r>
    </w:p>
    <w:p>
      <w:pPr>
        <w:spacing w:after="0" w:line="198" w:lineRule="exact"/>
        <w:rPr>
          <w:rFonts w:ascii="Arial" w:cs="Arial" w:eastAsia="Arial" w:hAnsi="Arial"/>
          <w:sz w:val="18"/>
          <w:szCs w:val="18"/>
          <w:color w:val="auto"/>
        </w:rPr>
      </w:pPr>
    </w:p>
    <w:p>
      <w:pPr>
        <w:ind w:left="620" w:right="219" w:hanging="570"/>
        <w:spacing w:after="0" w:line="271" w:lineRule="auto"/>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and separately filed with the Securities and Exchange Commission with a request for confidential treatment.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DISH NETWORK CORPORATION</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8890</wp:posOffset>
            </wp:positionV>
            <wp:extent cx="25971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Paul W. Orban</w:t>
      </w:r>
    </w:p>
    <w:p>
      <w:pPr>
        <w:ind w:left="4860"/>
        <w:spacing w:after="0" w:line="234" w:lineRule="auto"/>
        <w:rPr>
          <w:sz w:val="20"/>
          <w:szCs w:val="20"/>
          <w:color w:val="auto"/>
        </w:rPr>
      </w:pPr>
      <w:r>
        <w:rPr>
          <w:rFonts w:ascii="Arial" w:cs="Arial" w:eastAsia="Arial" w:hAnsi="Arial"/>
          <w:sz w:val="18"/>
          <w:szCs w:val="18"/>
          <w:color w:val="auto"/>
        </w:rPr>
        <w:t>Executive Vice President and Chief Financial</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Officer, DISH</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12, 2025</w:t>
      </w:r>
    </w:p>
    <w:p>
      <w:pPr>
        <w:spacing w:after="0" w:line="198"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22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19"/>
                <w:szCs w:val="19"/>
                <w:color w:val="auto"/>
              </w:rPr>
            </w:pPr>
          </w:p>
        </w:tc>
        <w:tc>
          <w:tcPr>
            <w:tcW w:w="460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19"/>
                <w:szCs w:val="19"/>
                <w:color w:val="auto"/>
              </w:rPr>
            </w:pPr>
          </w:p>
        </w:tc>
        <w:tc>
          <w:tcPr>
            <w:tcW w:w="18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45"/>
        </w:trPr>
        <w:tc>
          <w:tcPr>
            <w:tcW w:w="2220" w:type="dxa"/>
            <w:vAlign w:val="bottom"/>
          </w:tcPr>
          <w:p>
            <w:pPr>
              <w:spacing w:after="0"/>
              <w:rPr>
                <w:sz w:val="20"/>
                <w:szCs w:val="20"/>
                <w:color w:val="auto"/>
              </w:rPr>
            </w:pPr>
            <w:r>
              <w:rPr>
                <w:rFonts w:ascii="Arial" w:cs="Arial" w:eastAsia="Arial" w:hAnsi="Arial"/>
                <w:sz w:val="18"/>
                <w:szCs w:val="18"/>
                <w:i w:val="1"/>
                <w:iCs w:val="1"/>
                <w:color w:val="auto"/>
              </w:rPr>
              <w:t>/s/ Hamid Akhavan</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820" w:type="dxa"/>
            <w:vAlign w:val="bottom"/>
          </w:tcPr>
          <w:p>
            <w:pPr>
              <w:spacing w:after="0"/>
              <w:rPr>
                <w:sz w:val="20"/>
                <w:szCs w:val="20"/>
                <w:color w:val="auto"/>
              </w:rPr>
            </w:pPr>
            <w:r>
              <w:rPr>
                <w:rFonts w:ascii="Arial" w:cs="Arial" w:eastAsia="Arial" w:hAnsi="Arial"/>
                <w:sz w:val="18"/>
                <w:szCs w:val="18"/>
                <w:color w:val="auto"/>
              </w:rPr>
              <w:t>March 12, 2025</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6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Executive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220" w:type="dxa"/>
            <w:vAlign w:val="bottom"/>
          </w:tcPr>
          <w:p>
            <w:pPr>
              <w:spacing w:after="0"/>
              <w:rPr>
                <w:sz w:val="20"/>
                <w:szCs w:val="20"/>
                <w:color w:val="auto"/>
              </w:rPr>
            </w:pPr>
            <w:r>
              <w:rPr>
                <w:rFonts w:ascii="Arial" w:cs="Arial" w:eastAsia="Arial" w:hAnsi="Arial"/>
                <w:sz w:val="18"/>
                <w:szCs w:val="18"/>
                <w:color w:val="auto"/>
              </w:rPr>
              <w:t>Hamid Akhavan</w:t>
            </w:r>
          </w:p>
        </w:tc>
        <w:tc>
          <w:tcPr>
            <w:tcW w:w="240" w:type="dxa"/>
            <w:vAlign w:val="bottom"/>
            <w:vMerge w:val="continue"/>
          </w:tcPr>
          <w:p>
            <w:pPr>
              <w:spacing w:after="0"/>
              <w:rPr>
                <w:sz w:val="20"/>
                <w:szCs w:val="20"/>
                <w:color w:val="auto"/>
              </w:rPr>
            </w:pPr>
          </w:p>
        </w:tc>
        <w:tc>
          <w:tcPr>
            <w:tcW w:w="462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220" w:type="dxa"/>
            <w:vAlign w:val="bottom"/>
          </w:tcPr>
          <w:p>
            <w:pPr>
              <w:spacing w:after="0"/>
              <w:rPr>
                <w:sz w:val="20"/>
                <w:szCs w:val="20"/>
                <w:color w:val="auto"/>
              </w:rPr>
            </w:pPr>
            <w:r>
              <w:rPr>
                <w:rFonts w:ascii="Arial" w:cs="Arial" w:eastAsia="Arial" w:hAnsi="Arial"/>
                <w:sz w:val="18"/>
                <w:szCs w:val="18"/>
                <w:i w:val="1"/>
                <w:iCs w:val="1"/>
                <w:color w:val="auto"/>
              </w:rPr>
              <w:t>/s/ Paul W. Orban</w:t>
            </w:r>
          </w:p>
        </w:tc>
        <w:tc>
          <w:tcPr>
            <w:tcW w:w="240" w:type="dxa"/>
            <w:vAlign w:val="bottom"/>
          </w:tcPr>
          <w:p>
            <w:pPr>
              <w:spacing w:after="0"/>
              <w:rPr>
                <w:sz w:val="23"/>
                <w:szCs w:val="23"/>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820" w:type="dxa"/>
            <w:vAlign w:val="bottom"/>
          </w:tcPr>
          <w:p>
            <w:pPr>
              <w:spacing w:after="0"/>
              <w:rPr>
                <w:sz w:val="20"/>
                <w:szCs w:val="20"/>
                <w:color w:val="auto"/>
              </w:rPr>
            </w:pPr>
            <w:r>
              <w:rPr>
                <w:rFonts w:ascii="Arial" w:cs="Arial" w:eastAsia="Arial" w:hAnsi="Arial"/>
                <w:sz w:val="18"/>
                <w:szCs w:val="18"/>
                <w:color w:val="auto"/>
              </w:rPr>
              <w:t>March 12, 2025</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20" w:type="dxa"/>
            <w:vAlign w:val="bottom"/>
            <w:gridSpan w:val="2"/>
          </w:tcPr>
          <w:p>
            <w:pPr>
              <w:spacing w:after="0" w:line="181" w:lineRule="exact"/>
              <w:rPr>
                <w:sz w:val="20"/>
                <w:szCs w:val="20"/>
                <w:color w:val="auto"/>
              </w:rPr>
            </w:pPr>
            <w:r>
              <w:rPr>
                <w:rFonts w:ascii="Arial" w:cs="Arial" w:eastAsia="Arial" w:hAnsi="Arial"/>
                <w:sz w:val="18"/>
                <w:szCs w:val="18"/>
                <w:color w:val="auto"/>
              </w:rPr>
              <w:t>DISH</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6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Financial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220" w:type="dxa"/>
            <w:vAlign w:val="bottom"/>
          </w:tcPr>
          <w:p>
            <w:pPr>
              <w:spacing w:after="0"/>
              <w:rPr>
                <w:sz w:val="20"/>
                <w:szCs w:val="20"/>
                <w:color w:val="auto"/>
              </w:rPr>
            </w:pPr>
            <w:r>
              <w:rPr>
                <w:rFonts w:ascii="Arial" w:cs="Arial" w:eastAsia="Arial" w:hAnsi="Arial"/>
                <w:sz w:val="18"/>
                <w:szCs w:val="18"/>
                <w:color w:val="auto"/>
              </w:rPr>
              <w:t>Paul W. Orban</w:t>
            </w:r>
          </w:p>
        </w:tc>
        <w:tc>
          <w:tcPr>
            <w:tcW w:w="240" w:type="dxa"/>
            <w:vAlign w:val="bottom"/>
            <w:vMerge w:val="continue"/>
          </w:tcPr>
          <w:p>
            <w:pPr>
              <w:spacing w:after="0"/>
              <w:rPr>
                <w:sz w:val="20"/>
                <w:szCs w:val="20"/>
                <w:color w:val="auto"/>
              </w:rPr>
            </w:pPr>
          </w:p>
        </w:tc>
        <w:tc>
          <w:tcPr>
            <w:tcW w:w="462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220" w:type="dxa"/>
            <w:vAlign w:val="bottom"/>
          </w:tcPr>
          <w:p>
            <w:pPr>
              <w:spacing w:after="0"/>
              <w:rPr>
                <w:sz w:val="20"/>
                <w:szCs w:val="20"/>
                <w:color w:val="auto"/>
              </w:rPr>
            </w:pPr>
            <w:r>
              <w:rPr>
                <w:rFonts w:ascii="Arial" w:cs="Arial" w:eastAsia="Arial" w:hAnsi="Arial"/>
                <w:sz w:val="18"/>
                <w:szCs w:val="18"/>
                <w:i w:val="1"/>
                <w:iCs w:val="1"/>
                <w:color w:val="auto"/>
              </w:rPr>
              <w:t>/s/ James S. Allen</w:t>
            </w:r>
          </w:p>
        </w:tc>
        <w:tc>
          <w:tcPr>
            <w:tcW w:w="240" w:type="dxa"/>
            <w:vAlign w:val="bottom"/>
          </w:tcPr>
          <w:p>
            <w:pPr>
              <w:spacing w:after="0"/>
              <w:rPr>
                <w:sz w:val="22"/>
                <w:szCs w:val="22"/>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Senior Vice President and Chief Accounting Officer</w:t>
            </w:r>
          </w:p>
        </w:tc>
        <w:tc>
          <w:tcPr>
            <w:tcW w:w="1820" w:type="dxa"/>
            <w:vAlign w:val="bottom"/>
          </w:tcPr>
          <w:p>
            <w:pPr>
              <w:spacing w:after="0"/>
              <w:rPr>
                <w:sz w:val="20"/>
                <w:szCs w:val="20"/>
                <w:color w:val="auto"/>
              </w:rPr>
            </w:pPr>
            <w:r>
              <w:rPr>
                <w:rFonts w:ascii="Arial" w:cs="Arial" w:eastAsia="Arial" w:hAnsi="Arial"/>
                <w:sz w:val="18"/>
                <w:szCs w:val="18"/>
                <w:color w:val="auto"/>
              </w:rPr>
              <w:t>March 12, 2025</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6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Accounting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220" w:type="dxa"/>
            <w:vAlign w:val="bottom"/>
          </w:tcPr>
          <w:p>
            <w:pPr>
              <w:spacing w:after="0"/>
              <w:rPr>
                <w:sz w:val="20"/>
                <w:szCs w:val="20"/>
                <w:color w:val="auto"/>
              </w:rPr>
            </w:pPr>
            <w:r>
              <w:rPr>
                <w:rFonts w:ascii="Arial" w:cs="Arial" w:eastAsia="Arial" w:hAnsi="Arial"/>
                <w:sz w:val="18"/>
                <w:szCs w:val="18"/>
                <w:color w:val="auto"/>
              </w:rPr>
              <w:t>James S. Allen</w:t>
            </w:r>
          </w:p>
        </w:tc>
        <w:tc>
          <w:tcPr>
            <w:tcW w:w="240" w:type="dxa"/>
            <w:vAlign w:val="bottom"/>
            <w:vMerge w:val="continue"/>
          </w:tcPr>
          <w:p>
            <w:pPr>
              <w:spacing w:after="0"/>
              <w:rPr>
                <w:sz w:val="20"/>
                <w:szCs w:val="20"/>
                <w:color w:val="auto"/>
              </w:rPr>
            </w:pPr>
          </w:p>
        </w:tc>
        <w:tc>
          <w:tcPr>
            <w:tcW w:w="462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W. Ergen</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1820" w:type="dxa"/>
            <w:vAlign w:val="bottom"/>
          </w:tcPr>
          <w:p>
            <w:pPr>
              <w:spacing w:after="0"/>
              <w:rPr>
                <w:sz w:val="20"/>
                <w:szCs w:val="20"/>
                <w:color w:val="auto"/>
              </w:rPr>
            </w:pPr>
            <w:r>
              <w:rPr>
                <w:rFonts w:ascii="Arial" w:cs="Arial" w:eastAsia="Arial" w:hAnsi="Arial"/>
                <w:sz w:val="18"/>
                <w:szCs w:val="18"/>
                <w:color w:val="auto"/>
              </w:rPr>
              <w:t>March 12, 2025</w:t>
            </w:r>
          </w:p>
        </w:tc>
        <w:tc>
          <w:tcPr>
            <w:tcW w:w="0" w:type="dxa"/>
            <w:vAlign w:val="bottom"/>
          </w:tcPr>
          <w:p>
            <w:pPr>
              <w:spacing w:after="0"/>
              <w:rPr>
                <w:sz w:val="1"/>
                <w:szCs w:val="1"/>
                <w:color w:val="auto"/>
              </w:rPr>
            </w:pPr>
          </w:p>
        </w:tc>
      </w:tr>
      <w:tr>
        <w:trPr>
          <w:trHeight w:val="232"/>
        </w:trPr>
        <w:tc>
          <w:tcPr>
            <w:tcW w:w="2220" w:type="dxa"/>
            <w:vAlign w:val="bottom"/>
          </w:tcPr>
          <w:p>
            <w:pPr>
              <w:spacing w:after="0"/>
              <w:rPr>
                <w:sz w:val="20"/>
                <w:szCs w:val="20"/>
                <w:color w:val="auto"/>
              </w:rPr>
            </w:pPr>
            <w:r>
              <w:rPr>
                <w:rFonts w:ascii="Arial" w:cs="Arial" w:eastAsia="Arial" w:hAnsi="Arial"/>
                <w:sz w:val="18"/>
                <w:szCs w:val="18"/>
                <w:color w:val="auto"/>
              </w:rPr>
              <w:t>Charles W. Ergen</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Tom A. Ortolf</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12, 2025</w:t>
            </w:r>
          </w:p>
        </w:tc>
        <w:tc>
          <w:tcPr>
            <w:tcW w:w="0" w:type="dxa"/>
            <w:vAlign w:val="bottom"/>
          </w:tcPr>
          <w:p>
            <w:pPr>
              <w:spacing w:after="0"/>
              <w:rPr>
                <w:sz w:val="1"/>
                <w:szCs w:val="1"/>
                <w:color w:val="auto"/>
              </w:rPr>
            </w:pPr>
          </w:p>
        </w:tc>
      </w:tr>
      <w:tr>
        <w:trPr>
          <w:trHeight w:val="232"/>
        </w:trPr>
        <w:tc>
          <w:tcPr>
            <w:tcW w:w="2220" w:type="dxa"/>
            <w:vAlign w:val="bottom"/>
          </w:tcPr>
          <w:p>
            <w:pPr>
              <w:spacing w:after="0"/>
              <w:rPr>
                <w:sz w:val="20"/>
                <w:szCs w:val="20"/>
                <w:color w:val="auto"/>
              </w:rPr>
            </w:pPr>
            <w:r>
              <w:rPr>
                <w:rFonts w:ascii="Arial" w:cs="Arial" w:eastAsia="Arial" w:hAnsi="Arial"/>
                <w:sz w:val="18"/>
                <w:szCs w:val="18"/>
                <w:color w:val="auto"/>
              </w:rPr>
              <w:t>Tom A. Ortolf</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9140" w:type="dxa"/>
            <w:vAlign w:val="bottom"/>
            <w:gridSpan w:val="8"/>
          </w:tcPr>
          <w:p>
            <w:pPr>
              <w:spacing w:after="0"/>
              <w:rPr>
                <w:sz w:val="20"/>
                <w:szCs w:val="20"/>
                <w:color w:val="auto"/>
              </w:rPr>
            </w:pPr>
            <w:r>
              <w:rPr>
                <w:rFonts w:ascii="Arial" w:cs="Arial" w:eastAsia="Arial" w:hAnsi="Arial"/>
                <w:sz w:val="18"/>
                <w:szCs w:val="18"/>
                <w:color w:val="0000EE"/>
              </w:rPr>
              <w:t>Table of Contents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4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6780" w:type="dxa"/>
            <w:vAlign w:val="bottom"/>
            <w:gridSpan w:val="6"/>
          </w:tcPr>
          <w:p>
            <w:pPr>
              <w:ind w:left="320"/>
              <w:spacing w:after="0"/>
              <w:rPr>
                <w:sz w:val="20"/>
                <w:szCs w:val="20"/>
                <w:color w:val="auto"/>
              </w:rPr>
            </w:pPr>
            <w:r>
              <w:rPr>
                <w:rFonts w:ascii="Arial" w:cs="Arial" w:eastAsia="Arial" w:hAnsi="Arial"/>
                <w:sz w:val="18"/>
                <w:szCs w:val="18"/>
                <w:b w:val="1"/>
                <w:bCs w:val="1"/>
                <w:color w:val="auto"/>
              </w:rPr>
              <w:t>INDEX TO CONSOLIDATED 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9140" w:type="dxa"/>
            <w:vAlign w:val="bottom"/>
            <w:gridSpan w:val="8"/>
          </w:tcPr>
          <w:p>
            <w:pPr>
              <w:spacing w:after="0"/>
              <w:rPr>
                <w:sz w:val="20"/>
                <w:szCs w:val="20"/>
                <w:color w:val="auto"/>
              </w:rPr>
            </w:pPr>
            <w:r>
              <w:rPr>
                <w:rFonts w:ascii="Arial" w:cs="Arial" w:eastAsia="Arial" w:hAnsi="Arial"/>
                <w:sz w:val="18"/>
                <w:szCs w:val="18"/>
                <w:color w:val="auto"/>
              </w:rPr>
              <w:t>Consolidated Financial Statements:</w:t>
            </w:r>
          </w:p>
        </w:tc>
        <w:tc>
          <w:tcPr>
            <w:tcW w:w="7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140" w:type="dxa"/>
            <w:vAlign w:val="bottom"/>
            <w:gridSpan w:val="8"/>
          </w:tcPr>
          <w:p>
            <w:pPr>
              <w:spacing w:after="0"/>
              <w:rPr>
                <w:sz w:val="20"/>
                <w:szCs w:val="20"/>
                <w:color w:val="auto"/>
              </w:rPr>
            </w:pPr>
            <w:r>
              <w:rPr>
                <w:rFonts w:ascii="Arial" w:cs="Arial" w:eastAsia="Arial" w:hAnsi="Arial"/>
                <w:sz w:val="18"/>
                <w:szCs w:val="18"/>
                <w:color w:val="0000EE"/>
              </w:rPr>
              <w:t xml:space="preserve">Report of KPMG LLP, Independent Registered Public Accounting Firm </w:t>
            </w:r>
            <w:r>
              <w:rPr>
                <w:rFonts w:ascii="Arial" w:cs="Arial" w:eastAsia="Arial" w:hAnsi="Arial"/>
                <w:sz w:val="18"/>
                <w:szCs w:val="18"/>
                <w:color w:val="000000"/>
              </w:rPr>
              <w:t>(PCAOB ID: 185)</w:t>
            </w:r>
          </w:p>
        </w:tc>
        <w:tc>
          <w:tcPr>
            <w:tcW w:w="780" w:type="dxa"/>
            <w:vAlign w:val="bottom"/>
          </w:tcPr>
          <w:p>
            <w:pPr>
              <w:ind w:left="50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83"/>
        </w:trPr>
        <w:tc>
          <w:tcPr>
            <w:tcW w:w="55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Consolidated Balance Sheets</w:t>
            </w:r>
          </w:p>
        </w:tc>
        <w:tc>
          <w:tcPr>
            <w:tcW w:w="4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0" w:type="dxa"/>
            <w:vAlign w:val="bottom"/>
          </w:tcPr>
          <w:p>
            <w:pPr>
              <w:ind w:left="500"/>
              <w:spacing w:after="0" w:line="182"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83"/>
        </w:trPr>
        <w:tc>
          <w:tcPr>
            <w:tcW w:w="23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6780" w:type="dxa"/>
            <w:vAlign w:val="bottom"/>
            <w:gridSpan w:val="6"/>
          </w:tcPr>
          <w:p>
            <w:pPr>
              <w:spacing w:after="0" w:line="182" w:lineRule="exact"/>
              <w:rPr>
                <w:sz w:val="20"/>
                <w:szCs w:val="20"/>
                <w:color w:val="auto"/>
              </w:rPr>
            </w:pPr>
            <w:r>
              <w:rPr>
                <w:rFonts w:ascii="Arial" w:cs="Arial" w:eastAsia="Arial" w:hAnsi="Arial"/>
                <w:sz w:val="18"/>
                <w:szCs w:val="18"/>
                <w:color w:val="0000EE"/>
              </w:rPr>
              <w:t>Operations and Comprehensive Income (Loss)</w:t>
            </w:r>
          </w:p>
        </w:tc>
        <w:tc>
          <w:tcPr>
            <w:tcW w:w="780" w:type="dxa"/>
            <w:vAlign w:val="bottom"/>
          </w:tcPr>
          <w:p>
            <w:pPr>
              <w:ind w:left="500"/>
              <w:spacing w:after="0" w:line="18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3"/>
        </w:trPr>
        <w:tc>
          <w:tcPr>
            <w:tcW w:w="6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Consolidated Statements of Changes in Stockholder’s Equity (Deficit)</w:t>
            </w:r>
          </w:p>
        </w:tc>
        <w:tc>
          <w:tcPr>
            <w:tcW w:w="3140" w:type="dxa"/>
            <w:vAlign w:val="bottom"/>
          </w:tcPr>
          <w:p>
            <w:pPr>
              <w:spacing w:after="0"/>
              <w:rPr>
                <w:sz w:val="15"/>
                <w:szCs w:val="15"/>
                <w:color w:val="auto"/>
              </w:rPr>
            </w:pPr>
          </w:p>
        </w:tc>
        <w:tc>
          <w:tcPr>
            <w:tcW w:w="780" w:type="dxa"/>
            <w:vAlign w:val="bottom"/>
          </w:tcPr>
          <w:p>
            <w:pPr>
              <w:ind w:left="500"/>
              <w:spacing w:after="0" w:line="18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83"/>
        </w:trPr>
        <w:tc>
          <w:tcPr>
            <w:tcW w:w="55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Consolidated Statements of Cash Flows</w:t>
            </w:r>
          </w:p>
        </w:tc>
        <w:tc>
          <w:tcPr>
            <w:tcW w:w="3600" w:type="dxa"/>
            <w:vAlign w:val="bottom"/>
            <w:gridSpan w:val="3"/>
          </w:tcPr>
          <w:p>
            <w:pPr>
              <w:spacing w:after="0"/>
              <w:rPr>
                <w:sz w:val="15"/>
                <w:szCs w:val="15"/>
                <w:color w:val="auto"/>
              </w:rPr>
            </w:pPr>
          </w:p>
        </w:tc>
        <w:tc>
          <w:tcPr>
            <w:tcW w:w="780" w:type="dxa"/>
            <w:vAlign w:val="bottom"/>
          </w:tcPr>
          <w:p>
            <w:pPr>
              <w:ind w:left="500"/>
              <w:spacing w:after="0" w:line="182"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32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780" w:type="dxa"/>
            <w:vAlign w:val="bottom"/>
            <w:vMerge w:val="restart"/>
          </w:tcPr>
          <w:p>
            <w:pPr>
              <w:ind w:left="500"/>
              <w:spacing w:after="0" w:line="202"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line="20" w:lineRule="exact"/>
              <w:rPr>
                <w:sz w:val="1"/>
                <w:szCs w:val="1"/>
                <w:color w:val="auto"/>
              </w:rPr>
            </w:pPr>
          </w:p>
        </w:tc>
      </w:tr>
      <w:tr>
        <w:trPr>
          <w:trHeight w:val="183"/>
        </w:trPr>
        <w:tc>
          <w:tcPr>
            <w:tcW w:w="9140" w:type="dxa"/>
            <w:vAlign w:val="bottom"/>
            <w:gridSpan w:val="8"/>
          </w:tcPr>
          <w:p>
            <w:pPr>
              <w:spacing w:after="0" w:line="182" w:lineRule="exact"/>
              <w:rPr>
                <w:sz w:val="20"/>
                <w:szCs w:val="20"/>
                <w:color w:val="auto"/>
              </w:rPr>
            </w:pPr>
            <w:r>
              <w:rPr>
                <w:rFonts w:ascii="Arial" w:cs="Arial" w:eastAsia="Arial" w:hAnsi="Arial"/>
                <w:sz w:val="18"/>
                <w:szCs w:val="18"/>
                <w:color w:val="0000EE"/>
              </w:rPr>
              <w:t>Notes to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DISH Network Corporation: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DISH Network Corporation and subsidiaries (the Company) as of December 31, 2024 and December 31, 2023, the related consolidated statements of operations and comprehensive income (loss), changes in stockholder’s equity (deficit),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December 31, 2023, and the results of its operations and its cash flows for each of the years in the three-year period ended December 31, 2024, in conformity with U.S. generally accepted accounting principles.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3"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2" w:right="10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2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Sufficiency of audit evidence over revenue</w:t>
      </w:r>
    </w:p>
    <w:p>
      <w:pPr>
        <w:spacing w:after="0" w:line="196" w:lineRule="exact"/>
        <w:rPr>
          <w:sz w:val="20"/>
          <w:szCs w:val="20"/>
          <w:color w:val="auto"/>
        </w:rPr>
      </w:pPr>
    </w:p>
    <w:p>
      <w:pPr>
        <w:ind w:left="660" w:right="160"/>
        <w:spacing w:after="0" w:line="247" w:lineRule="auto"/>
        <w:rPr>
          <w:sz w:val="20"/>
          <w:szCs w:val="20"/>
          <w:color w:val="auto"/>
        </w:rPr>
      </w:pPr>
      <w:r>
        <w:rPr>
          <w:rFonts w:ascii="Arial" w:cs="Arial" w:eastAsia="Arial" w:hAnsi="Arial"/>
          <w:sz w:val="18"/>
          <w:szCs w:val="18"/>
          <w:color w:val="auto"/>
        </w:rPr>
        <w:t>As discussed in Note 14 to the consolidated financial statements, the Company reported $14.3. billion in total revenue for the year ended December 31, 2024, which included Pay-TV and Wireless revenue of $10.7 billion and $3.6 billion, respectively. These categories of revenue have multiple revenue streams and certain aspects of the Company’s processes and information technology (IT) systems differ among the revenue streams.</w:t>
      </w:r>
    </w:p>
    <w:p>
      <w:pPr>
        <w:spacing w:after="0" w:line="160" w:lineRule="exact"/>
        <w:rPr>
          <w:sz w:val="20"/>
          <w:szCs w:val="20"/>
          <w:color w:val="auto"/>
        </w:rPr>
      </w:pPr>
    </w:p>
    <w:p>
      <w:pPr>
        <w:jc w:val="both"/>
        <w:ind w:left="660" w:right="140"/>
        <w:spacing w:after="0" w:line="247" w:lineRule="auto"/>
        <w:rPr>
          <w:sz w:val="20"/>
          <w:szCs w:val="20"/>
          <w:color w:val="auto"/>
        </w:rPr>
      </w:pPr>
      <w:r>
        <w:rPr>
          <w:rFonts w:ascii="Arial" w:cs="Arial" w:eastAsia="Arial" w:hAnsi="Arial"/>
          <w:sz w:val="18"/>
          <w:szCs w:val="18"/>
          <w:color w:val="auto"/>
        </w:rPr>
        <w:t>We identified the evaluation of sufficiency of audit evidence over certain revenue streams as a critical audit matter. Specifically, subjective auditor judgment was required to evaluate that revenue data was captured and aggregated throughout these various IT applications. Additionally, IT professionals with specialized skills and knowledge were required to evaluate the nature and extent of evidence obtained over certain revenue streams.</w:t>
      </w:r>
    </w:p>
    <w:p>
      <w:pPr>
        <w:spacing w:after="0" w:line="160"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revenue. For each revenue stream where procedures were performed, we evaluated the design and tested the operating effectiveness of certain internal controls related to the Company’s revenue recognition process, including recording of revenue. We also evaluated the design and tested the operating effectiveness of certain general IT and application controls. We involved IT professionals with specialized skills and knowledge, who assisted in testing certain IT applications used by the Company in its revenue recognition processes and the transfer of relevant revenue data between certain systems used in the revenue recognition processes. For certain revenue streams, we assessed the recorded revenue by comparing total cash received during the year, adjusted for reconciling items, to the revenue recognized. Such assessment also evaluated the relevance and reliability of reconciling items to underlying documentation, including the changes in accounts receivable and deferred revenue. For other revenue streams, we assessed the recorded amounts by sampling transactions or confirming the price and quantity of items sold with third-party customers. Additionally, for other revenue streams we performed a software-assisted data analysis to test relationships among certain revenue transactions. Through these procedures we then compared the amounts recognized for consistency with underlying documentation, including contracts or payment and transaction support. We evaluated the sufficiency of audit evidence obtained by assessing the results of the procedures performed, including the appropriateness of the nature and extent of such evidence.</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2" w:right="10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(Dollars in thousands, except share amounts)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ind w:lef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476,075</w:t>
            </w: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373,641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Current restricted cash and cash equivalents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150,898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Marketable investment securities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00" w:type="dxa"/>
            <w:vAlign w:val="bottom"/>
          </w:tcPr>
          <w:p>
            <w:pPr>
              <w:ind w:left="100"/>
              <w:spacing w:after="0" w:line="153" w:lineRule="exact"/>
              <w:rPr>
                <w:sz w:val="20"/>
                <w:szCs w:val="20"/>
                <w:color w:val="auto"/>
              </w:rPr>
            </w:pPr>
            <w:r>
              <w:rPr>
                <w:rFonts w:ascii="Arial" w:cs="Arial" w:eastAsia="Arial" w:hAnsi="Arial"/>
                <w:sz w:val="14"/>
                <w:szCs w:val="14"/>
                <w:color w:val="auto"/>
              </w:rPr>
              <w:t>Trade accounts receivable, net of allowance for credit losses of $71,314 and $53,991, respectively</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(Note 16)</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922,001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890,333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303,328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497,058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Prepaids and other assets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588,892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572,199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37,786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2,479,266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2,343,661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7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100" w:type="dxa"/>
            <w:vAlign w:val="bottom"/>
          </w:tcPr>
          <w:p>
            <w:pPr>
              <w:spacing w:after="0"/>
              <w:rPr>
                <w:sz w:val="20"/>
                <w:szCs w:val="20"/>
                <w:color w:val="auto"/>
              </w:rPr>
            </w:pPr>
            <w:r>
              <w:rPr>
                <w:rFonts w:ascii="Arial" w:cs="Arial" w:eastAsia="Arial" w:hAnsi="Arial"/>
                <w:sz w:val="14"/>
                <w:szCs w:val="14"/>
                <w:i w:val="1"/>
                <w:iCs w:val="1"/>
                <w:color w:val="auto"/>
              </w:rPr>
              <w:t>Noncurrent 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 cash, cash equivalents and marketable investment securities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127,698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108,879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7,229,089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7,401,947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Regulatory authorizations, net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30,840,398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38,114,249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Other investments, net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35,483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168,825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 assets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3,134,938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2,934,862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63,857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159,490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assets, net</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283,780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181,118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20" w:type="dxa"/>
            <w:vAlign w:val="bottom"/>
            <w:gridSpan w:val="2"/>
          </w:tcPr>
          <w:p>
            <w:pPr>
              <w:spacing w:after="0" w:line="155" w:lineRule="exact"/>
              <w:rPr>
                <w:sz w:val="20"/>
                <w:szCs w:val="20"/>
                <w:color w:val="auto"/>
              </w:rPr>
            </w:pPr>
            <w:r>
              <w:rPr>
                <w:rFonts w:ascii="Arial" w:cs="Arial" w:eastAsia="Arial" w:hAnsi="Arial"/>
                <w:sz w:val="14"/>
                <w:szCs w:val="14"/>
                <w:color w:val="auto"/>
              </w:rPr>
              <w:t>Total noncurrent assets</w:t>
            </w:r>
          </w:p>
        </w:tc>
        <w:tc>
          <w:tcPr>
            <w:tcW w:w="2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41,715,243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49,069,370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44,194,509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51,413,031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Trade accounts payable (Note 16)</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696,277</w:t>
            </w: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673,291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Deferred revenue and other</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569,071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638,471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programming</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1,339,072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1,427,762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206,492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258,603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DISH 2021 Intercompany Loan 2026 Tranche - Interest payable in cash (Note 9)</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Other accrued expenses and liabilities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1,641,168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1,552,610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portion of debt, finance lease and other obligations (Note 9)</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933,481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3,041,429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5,407,411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7,592,166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7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100" w:type="dxa"/>
            <w:vAlign w:val="bottom"/>
          </w:tcPr>
          <w:p>
            <w:pPr>
              <w:spacing w:after="0"/>
              <w:rPr>
                <w:sz w:val="20"/>
                <w:szCs w:val="20"/>
                <w:color w:val="auto"/>
              </w:rPr>
            </w:pPr>
            <w:r>
              <w:rPr>
                <w:rFonts w:ascii="Arial" w:cs="Arial" w:eastAsia="Arial" w:hAnsi="Arial"/>
                <w:sz w:val="14"/>
                <w:szCs w:val="14"/>
                <w:i w:val="1"/>
                <w:iCs w:val="1"/>
                <w:color w:val="auto"/>
              </w:rPr>
              <w:t>Long-Term Obligations, Net of Current Portion: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debt, finance lease and other obligations, net of current portion (Note 9)</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14,972,965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18,178,288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Intercompany Loans (Note 9)</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5,781,811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tax liabilities, net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8,312,490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4,557,262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Operating lease liabilities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3,089,950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2,992,863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deferred revenue and other long-term liabilities</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946,208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861,896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20" w:type="dxa"/>
            <w:vAlign w:val="bottom"/>
            <w:gridSpan w:val="2"/>
          </w:tcPr>
          <w:p>
            <w:pPr>
              <w:spacing w:after="0" w:line="155" w:lineRule="exact"/>
              <w:rPr>
                <w:sz w:val="20"/>
                <w:szCs w:val="20"/>
                <w:color w:val="auto"/>
              </w:rPr>
            </w:pPr>
            <w:r>
              <w:rPr>
                <w:rFonts w:ascii="Arial" w:cs="Arial" w:eastAsia="Arial" w:hAnsi="Arial"/>
                <w:sz w:val="14"/>
                <w:szCs w:val="14"/>
                <w:color w:val="auto"/>
              </w:rPr>
              <w:t>Total long-term obligations, net of current portion</w:t>
            </w:r>
          </w:p>
        </w:tc>
        <w:tc>
          <w:tcPr>
            <w:tcW w:w="2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33,103,424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26,590,309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38,510,835</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34,182,475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7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13)</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Redeemable noncontrolling interests (Note 2)</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438,382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Stockholder's Equity (Deficit):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Common stock, $0 par value, 1,000 shares authorized, 1,000 shares issued and outstanding</w:t>
            </w: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5,435,387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4,916,120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ind w:left="100"/>
              <w:spacing w:after="0"/>
              <w:rPr>
                <w:sz w:val="20"/>
                <w:szCs w:val="20"/>
                <w:color w:val="auto"/>
              </w:rPr>
            </w:pPr>
            <w:r>
              <w:rPr>
                <w:rFonts w:ascii="Arial" w:cs="Arial" w:eastAsia="Arial" w:hAnsi="Arial"/>
                <w:sz w:val="14"/>
                <w:szCs w:val="14"/>
                <w:color w:val="auto"/>
              </w:rPr>
              <w:t>Accumulated other comprehensive income (loss)</w:t>
            </w:r>
          </w:p>
        </w:tc>
        <w:tc>
          <w:tcPr>
            <w:tcW w:w="2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(2,759)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(2,676)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earnings (deficit)</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(193,030)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11,876,627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20" w:type="dxa"/>
            <w:vAlign w:val="bottom"/>
            <w:gridSpan w:val="2"/>
          </w:tcPr>
          <w:p>
            <w:pPr>
              <w:spacing w:after="0" w:line="155" w:lineRule="exact"/>
              <w:rPr>
                <w:sz w:val="20"/>
                <w:szCs w:val="20"/>
                <w:color w:val="auto"/>
              </w:rPr>
            </w:pPr>
            <w:r>
              <w:rPr>
                <w:rFonts w:ascii="Arial" w:cs="Arial" w:eastAsia="Arial" w:hAnsi="Arial"/>
                <w:sz w:val="14"/>
                <w:szCs w:val="14"/>
                <w:color w:val="auto"/>
              </w:rPr>
              <w:t>Total DISH Network stockholder's equity (deficit)</w:t>
            </w: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5,239,598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16,790,071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top w:val="single" w:sz="8" w:color="CCEEFF"/>
            </w:tcBorders>
            <w:shd w:val="clear" w:color="auto" w:fill="CCEEFF"/>
          </w:tcPr>
          <w:p>
            <w:pPr>
              <w:ind w:left="100"/>
              <w:spacing w:after="0" w:line="155" w:lineRule="exact"/>
              <w:rPr>
                <w:sz w:val="20"/>
                <w:szCs w:val="20"/>
                <w:color w:val="auto"/>
              </w:rPr>
            </w:pPr>
            <w:r>
              <w:rPr>
                <w:rFonts w:ascii="Arial" w:cs="Arial" w:eastAsia="Arial" w:hAnsi="Arial"/>
                <w:sz w:val="14"/>
                <w:szCs w:val="14"/>
                <w:color w:val="auto"/>
              </w:rPr>
              <w:t>Noncontrolling interests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444,076</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2,103</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20" w:type="dxa"/>
            <w:vAlign w:val="bottom"/>
            <w:gridSpan w:val="2"/>
          </w:tcPr>
          <w:p>
            <w:pPr>
              <w:spacing w:after="0" w:line="155" w:lineRule="exact"/>
              <w:rPr>
                <w:sz w:val="20"/>
                <w:szCs w:val="20"/>
                <w:color w:val="auto"/>
              </w:rPr>
            </w:pPr>
            <w:r>
              <w:rPr>
                <w:rFonts w:ascii="Arial" w:cs="Arial" w:eastAsia="Arial" w:hAnsi="Arial"/>
                <w:sz w:val="14"/>
                <w:szCs w:val="14"/>
                <w:color w:val="auto"/>
              </w:rPr>
              <w:t>Total stockholder's equity (deficit)</w:t>
            </w:r>
          </w:p>
        </w:tc>
        <w:tc>
          <w:tcPr>
            <w:tcW w:w="2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5,683,674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16,792,174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 (deficit)</w:t>
            </w: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44,194,509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51,413,031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8"/>
          </w:tcPr>
          <w:p>
            <w:pPr>
              <w:ind w:left="600"/>
              <w:spacing w:after="0"/>
              <w:rPr>
                <w:sz w:val="20"/>
                <w:szCs w:val="20"/>
                <w:color w:val="auto"/>
              </w:rPr>
            </w:pPr>
            <w:r>
              <w:rPr>
                <w:rFonts w:ascii="Arial" w:cs="Arial" w:eastAsia="Arial" w:hAnsi="Arial"/>
                <w:sz w:val="16"/>
                <w:szCs w:val="16"/>
                <w:b w:val="1"/>
                <w:bCs w:val="1"/>
                <w:color w:val="auto"/>
              </w:rPr>
              <w:t>For the Years Ended December 31,</w:t>
            </w: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4"/>
                <w:szCs w:val="14"/>
                <w:color w:val="auto"/>
              </w:rPr>
              <w:t>Service 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13,770,400</w:t>
            </w:r>
          </w:p>
        </w:tc>
        <w:tc>
          <w:tcPr>
            <w:tcW w:w="120" w:type="dxa"/>
            <w:vAlign w:val="bottom"/>
          </w:tcPr>
          <w:p>
            <w:pPr>
              <w:spacing w:after="0"/>
              <w:rPr>
                <w:sz w:val="16"/>
                <w:szCs w:val="16"/>
                <w:color w:val="auto"/>
              </w:rPr>
            </w:pP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14,721,682</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16,014,284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Equipment sales and other revenue</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522,258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573,406</w:t>
            </w: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665,123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14,292,658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15,295,088</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16,679,407</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4"/>
                <w:szCs w:val="14"/>
                <w:b w:val="1"/>
                <w:bCs w:val="1"/>
                <w:color w:val="auto"/>
              </w:rPr>
              <w:t>Costs and Expenses (exclusive of depreciation and amortization):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Cost of services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9,641,235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8,989,961</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9,558,484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4"/>
                <w:szCs w:val="14"/>
                <w:color w:val="auto"/>
              </w:rPr>
              <w:t>Cost of sales - equipment and other</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1,330,927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2,201,870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1,812,591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 expenses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2,027,917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2,521,062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2,545,593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1,472,204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1,181,921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717,073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Impairment of long-lived assets and goodwill</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225,017</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costs and expenses</w:t>
            </w: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14,472,283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15,119,831</w:t>
            </w:r>
          </w:p>
        </w:tc>
        <w:tc>
          <w:tcPr>
            <w:tcW w:w="2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14,633,741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4"/>
                <w:szCs w:val="14"/>
                <w:color w:val="auto"/>
              </w:rPr>
              <w:t>Operating income (loss)</w:t>
            </w:r>
          </w:p>
        </w:tc>
        <w:tc>
          <w:tcPr>
            <w:tcW w:w="2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(179,625)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175,257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2,045,666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105,416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4"/>
                <w:szCs w:val="14"/>
                <w:color w:val="auto"/>
              </w:rPr>
              <w:t>Interest expense, net of amounts capitalized (Note 2)</w:t>
            </w:r>
          </w:p>
        </w:tc>
        <w:tc>
          <w:tcPr>
            <w:tcW w:w="2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(690,222)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(38,881)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(22,781)</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Other, net (Note 5)</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742,705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(1,741,876)</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1,038,982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other income (expense)</w:t>
            </w: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106,542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(1,675,341)</w:t>
            </w:r>
          </w:p>
        </w:tc>
        <w:tc>
          <w:tcPr>
            <w:tcW w:w="2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1,058,977</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2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(73,083)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(1,500,084)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3,104,643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Income tax (provision) benefit, net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371,662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(731,736)</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(62,693)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(1,128,422)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2,372,907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(loss) attributable to noncontrolling interests, net of tax</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83,801</w:t>
            </w: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69,674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income (loss) attributable to DISH Network</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(66,430)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(1,212,223)</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2,303,233</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4"/>
                <w:szCs w:val="14"/>
                <w:b w:val="1"/>
                <w:bCs w:val="1"/>
                <w:color w:val="auto"/>
              </w:rPr>
              <w:t>Comprehensive Income (Loss):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(62,693)</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(1,128,422)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2,372,907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4"/>
                <w:szCs w:val="14"/>
                <w:i w:val="1"/>
                <w:iCs w:val="1"/>
                <w:color w:val="auto"/>
              </w:rPr>
              <w:t>Other comprehensive income (loss):</w:t>
            </w: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(4,160)</w:t>
            </w:r>
          </w:p>
        </w:tc>
        <w:tc>
          <w:tcPr>
            <w:tcW w:w="0" w:type="dxa"/>
            <w:vAlign w:val="bottom"/>
          </w:tcPr>
          <w:p>
            <w:pPr>
              <w:spacing w:after="0"/>
              <w:rPr>
                <w:sz w:val="1"/>
                <w:szCs w:val="1"/>
                <w:color w:val="auto"/>
              </w:rPr>
            </w:pPr>
          </w:p>
        </w:tc>
      </w:tr>
      <w:tr>
        <w:trPr>
          <w:trHeight w:val="189"/>
        </w:trPr>
        <w:tc>
          <w:tcPr>
            <w:tcW w:w="5440" w:type="dxa"/>
            <w:vAlign w:val="bottom"/>
          </w:tcPr>
          <w:p>
            <w:pPr>
              <w:ind w:left="120"/>
              <w:spacing w:after="0"/>
              <w:rPr>
                <w:sz w:val="20"/>
                <w:szCs w:val="20"/>
                <w:color w:val="auto"/>
              </w:rPr>
            </w:pPr>
            <w:r>
              <w:rPr>
                <w:rFonts w:ascii="Arial" w:cs="Arial" w:eastAsia="Arial" w:hAnsi="Arial"/>
                <w:sz w:val="14"/>
                <w:szCs w:val="14"/>
                <w:color w:val="auto"/>
              </w:rPr>
              <w:t>Unrealized holding gains (losses) on available-for-sale debt securities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(267)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Recognition of previously unrealized (gains) losses on available-for-sale</w:t>
            </w:r>
          </w:p>
        </w:tc>
        <w:tc>
          <w:tcPr>
            <w:tcW w:w="28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(1,758)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1"/>
        </w:trPr>
        <w:tc>
          <w:tcPr>
            <w:tcW w:w="5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securities included in net income (loss)</w:t>
            </w:r>
          </w:p>
        </w:tc>
        <w:tc>
          <w:tcPr>
            <w:tcW w:w="28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120"/>
              <w:spacing w:after="0"/>
              <w:rPr>
                <w:sz w:val="20"/>
                <w:szCs w:val="20"/>
                <w:color w:val="auto"/>
              </w:rPr>
            </w:pPr>
            <w:r>
              <w:rPr>
                <w:rFonts w:ascii="Arial" w:cs="Arial" w:eastAsia="Arial" w:hAnsi="Arial"/>
                <w:sz w:val="14"/>
                <w:szCs w:val="14"/>
                <w:color w:val="auto"/>
              </w:rPr>
              <w:t>Deferred income tax (expense) benefit, net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i w:val="1"/>
                <w:iCs w:val="1"/>
                <w:color w:val="auto"/>
              </w:rPr>
              <w:t>Total other comprehensive income (loss), net of tax</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353</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(3,310)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28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(62,776)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(1,128,069)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2,369,597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Less: Comprehensive income (loss) attributable to noncontrolling interests, net</w:t>
            </w:r>
          </w:p>
        </w:tc>
        <w:tc>
          <w:tcPr>
            <w:tcW w:w="2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83,801</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69,674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tax</w:t>
            </w: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4"/>
                <w:szCs w:val="14"/>
                <w:color w:val="auto"/>
              </w:rPr>
              <w:t>Comprehensive income (loss) attributable to DISH Network</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(66,513)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(1,211,870)</w:t>
            </w:r>
          </w:p>
        </w:tc>
        <w:tc>
          <w:tcPr>
            <w:tcW w:w="2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2,299,923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DISH NETWORK </w:t>
      </w:r>
      <w:r>
        <w:rPr>
          <w:rFonts w:ascii="Times New Roman" w:cs="Times New Roman" w:eastAsia="Times New Roman" w:hAnsi="Times New Roman"/>
          <w:sz w:val="16"/>
          <w:szCs w:val="16"/>
          <w:b w:val="1"/>
          <w:bCs w:val="1"/>
          <w:color w:val="auto"/>
        </w:rPr>
        <w:t>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 (DEFICIT)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Class A and B</w:t>
            </w:r>
          </w:p>
        </w:tc>
        <w:tc>
          <w:tcPr>
            <w:tcW w:w="76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Accumulated</w:t>
            </w: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Other</w:t>
            </w:r>
          </w:p>
        </w:tc>
        <w:tc>
          <w:tcPr>
            <w:tcW w:w="800" w:type="dxa"/>
            <w:vAlign w:val="bottom"/>
            <w:gridSpan w:val="2"/>
            <w:vMerge w:val="continue"/>
          </w:tcPr>
          <w:p>
            <w:pPr>
              <w:spacing w:after="0"/>
              <w:rPr>
                <w:sz w:val="11"/>
                <w:szCs w:val="11"/>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7"/>
              </w:rPr>
              <w:t>Noncontrolling</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1"/>
                <w:szCs w:val="11"/>
                <w:color w:val="auto"/>
              </w:rPr>
            </w:pP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Paid-In</w:t>
            </w:r>
          </w:p>
        </w:tc>
        <w:tc>
          <w:tcPr>
            <w:tcW w:w="122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Earnings</w:t>
            </w:r>
          </w:p>
        </w:tc>
        <w:tc>
          <w:tcPr>
            <w:tcW w:w="11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1080" w:type="dxa"/>
            <w:vAlign w:val="bottom"/>
            <w:gridSpan w:val="4"/>
          </w:tcPr>
          <w:p>
            <w:pPr>
              <w:jc w:val="center"/>
              <w:ind w:left="57"/>
              <w:spacing w:after="0" w:line="135" w:lineRule="exact"/>
              <w:rPr>
                <w:sz w:val="20"/>
                <w:szCs w:val="20"/>
                <w:color w:val="auto"/>
              </w:rPr>
            </w:pPr>
            <w:r>
              <w:rPr>
                <w:rFonts w:ascii="Arial" w:cs="Arial" w:eastAsia="Arial" w:hAnsi="Arial"/>
                <w:sz w:val="13"/>
                <w:szCs w:val="13"/>
                <w:b w:val="1"/>
                <w:bCs w:val="1"/>
                <w:color w:val="auto"/>
                <w:w w:val="95"/>
              </w:rPr>
              <w:t>Noncontrolling</w:t>
            </w: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Stock</w:t>
            </w:r>
          </w:p>
        </w:tc>
        <w:tc>
          <w:tcPr>
            <w:tcW w:w="80" w:type="dxa"/>
            <w:vAlign w:val="bottom"/>
          </w:tcPr>
          <w:p>
            <w:pPr>
              <w:spacing w:after="0"/>
              <w:rPr>
                <w:sz w:val="13"/>
                <w:szCs w:val="13"/>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b w:val="1"/>
                <w:bCs w:val="1"/>
                <w:color w:val="auto"/>
              </w:rPr>
              <w:t>Income (Loss)</w:t>
            </w:r>
          </w:p>
        </w:tc>
        <w:tc>
          <w:tcPr>
            <w:tcW w:w="80" w:type="dxa"/>
            <w:vAlign w:val="bottom"/>
          </w:tcPr>
          <w:p>
            <w:pPr>
              <w:spacing w:after="0"/>
              <w:rPr>
                <w:sz w:val="13"/>
                <w:szCs w:val="13"/>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Interests</w:t>
            </w: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28"/>
        </w:trPr>
        <w:tc>
          <w:tcPr>
            <w:tcW w:w="32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2021</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5,289</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4,735,484</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10,785,617</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1,220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15,527,891</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395,222</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line="129" w:lineRule="exact"/>
              <w:rPr>
                <w:sz w:val="20"/>
                <w:szCs w:val="20"/>
                <w:color w:val="auto"/>
              </w:rPr>
            </w:pPr>
            <w:r>
              <w:rPr>
                <w:rFonts w:ascii="Arial" w:cs="Arial" w:eastAsia="Arial" w:hAnsi="Arial"/>
                <w:sz w:val="13"/>
                <w:szCs w:val="13"/>
                <w:color w:val="auto"/>
              </w:rPr>
              <w:t>Issuance of Class A common stock</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22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44,458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44,480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stock-based compensation</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71,450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71,450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Other comprehensive income (loss)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(3,310)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(3,310)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(loss) attributable to noncontrolling interests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69,137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Net income (loss) attributable to DISH Network</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2,303,233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2,303,233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2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2022</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5,311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4,851,392</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(3,029)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13,088,850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1,757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17,944,281</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464,359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line="129" w:lineRule="exact"/>
              <w:rPr>
                <w:sz w:val="20"/>
                <w:szCs w:val="20"/>
                <w:color w:val="auto"/>
              </w:rPr>
            </w:pPr>
            <w:r>
              <w:rPr>
                <w:rFonts w:ascii="Arial" w:cs="Arial" w:eastAsia="Arial" w:hAnsi="Arial"/>
                <w:sz w:val="13"/>
                <w:szCs w:val="13"/>
                <w:color w:val="auto"/>
              </w:rPr>
              <w:t>Issuance of Class A common stock</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33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23,241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23,274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stock-based compensation</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36,143</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36,143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Other comprehensive income (loss)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353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8"/>
              </w:rPr>
              <w:t>Purchase of Northstar Manager, LLC's ownership interest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in Northstar Spectrum</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(109,432)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line="117" w:lineRule="exact"/>
              <w:rPr>
                <w:sz w:val="20"/>
                <w:szCs w:val="20"/>
                <w:color w:val="auto"/>
              </w:rPr>
            </w:pPr>
            <w:r>
              <w:rPr>
                <w:rFonts w:ascii="Arial" w:cs="Arial" w:eastAsia="Arial" w:hAnsi="Arial"/>
                <w:sz w:val="13"/>
                <w:szCs w:val="13"/>
                <w:color w:val="auto"/>
              </w:rPr>
              <w:t>Extinguishment of stock related to the merger with</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20"/>
                <w:szCs w:val="20"/>
                <w:color w:val="auto"/>
              </w:rPr>
            </w:pPr>
            <w:r>
              <w:rPr>
                <w:rFonts w:ascii="Arial" w:cs="Arial" w:eastAsia="Arial" w:hAnsi="Arial"/>
                <w:sz w:val="13"/>
                <w:szCs w:val="13"/>
                <w:color w:val="auto"/>
              </w:rPr>
              <w:t>EchoStar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(5,344)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5,344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(loss) attributable to noncontrolling interests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83,455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Net income (loss) attributable to DISH Network</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(1,212,223)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(1,212,223)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32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2023</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4,916,120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(2,676)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11,876,627</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2,103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16,792,174</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438,382</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line="129" w:lineRule="exact"/>
              <w:rPr>
                <w:sz w:val="20"/>
                <w:szCs w:val="20"/>
                <w:color w:val="auto"/>
              </w:rPr>
            </w:pPr>
            <w:r>
              <w:rPr>
                <w:rFonts w:ascii="Arial" w:cs="Arial" w:eastAsia="Arial" w:hAnsi="Arial"/>
                <w:sz w:val="13"/>
                <w:szCs w:val="13"/>
                <w:color w:val="auto"/>
              </w:rPr>
              <w:t>Non-cash, stock-based compensation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24,945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24,945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 (loss) and other</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3280" w:type="dxa"/>
            <w:vAlign w:val="bottom"/>
          </w:tcPr>
          <w:p>
            <w:pPr>
              <w:spacing w:after="0" w:line="117" w:lineRule="exact"/>
              <w:rPr>
                <w:sz w:val="20"/>
                <w:szCs w:val="20"/>
                <w:color w:val="auto"/>
              </w:rPr>
            </w:pPr>
            <w:r>
              <w:rPr>
                <w:rFonts w:ascii="Arial" w:cs="Arial" w:eastAsia="Arial" w:hAnsi="Arial"/>
                <w:sz w:val="13"/>
                <w:szCs w:val="13"/>
                <w:color w:val="auto"/>
              </w:rPr>
              <w:t>Asset Transfer to EchoStar, including deferred taxes of</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20"/>
                <w:szCs w:val="20"/>
                <w:color w:val="auto"/>
              </w:rPr>
            </w:pPr>
            <w:r>
              <w:rPr>
                <w:rFonts w:ascii="Arial" w:cs="Arial" w:eastAsia="Arial" w:hAnsi="Arial"/>
                <w:sz w:val="13"/>
                <w:szCs w:val="13"/>
                <w:color w:val="auto"/>
              </w:rPr>
              <w:t>$3,775,370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6"/>
              </w:rPr>
              <w:t>(3,775,370)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4"/>
              </w:rPr>
              <w:t>(12,003,227)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4"/>
              </w:rPr>
              <w:t>(15,778,363)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Sale of Assets to EchoStar, net of deferred taxes of</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$3,857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5,513</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3280" w:type="dxa"/>
            <w:vAlign w:val="bottom"/>
          </w:tcPr>
          <w:p>
            <w:pPr>
              <w:spacing w:after="0" w:line="117" w:lineRule="exact"/>
              <w:rPr>
                <w:sz w:val="20"/>
                <w:szCs w:val="20"/>
                <w:color w:val="auto"/>
              </w:rPr>
            </w:pPr>
            <w:r>
              <w:rPr>
                <w:rFonts w:ascii="Arial" w:cs="Arial" w:eastAsia="Arial" w:hAnsi="Arial"/>
                <w:sz w:val="13"/>
                <w:szCs w:val="13"/>
                <w:color w:val="auto"/>
              </w:rPr>
              <w:t>700 MHz Spectrum Sale to EchoStar, net of deferred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20"/>
                <w:szCs w:val="20"/>
                <w:color w:val="auto"/>
              </w:rPr>
            </w:pPr>
            <w:r>
              <w:rPr>
                <w:rFonts w:ascii="Arial" w:cs="Arial" w:eastAsia="Arial" w:hAnsi="Arial"/>
                <w:sz w:val="13"/>
                <w:szCs w:val="13"/>
                <w:color w:val="auto"/>
              </w:rPr>
              <w:t>taxes of $37,681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114,831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114,831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Conversion of outstanding redeemable noncontrolling</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interest in SNR HoldCo to noncontrolling interest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Orbital II Transfer from EchoStar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140,510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140,510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Release of valuation allowance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23,234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23,234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EchoStar Exchange Offers debt extinguishment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3,985,665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3,985,665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(loss) attributable to noncontrolling interests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3,616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Net income (loss) attributable to DISH Network</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(66,430)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(66,430)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3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5,435,387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(2,759)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(193,030)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444,076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5,683,674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2" w:right="8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3"/>
                <w:szCs w:val="13"/>
                <w:b w:val="1"/>
                <w:bCs w:val="1"/>
                <w:color w:val="auto"/>
              </w:rPr>
              <w:t>For the Years Ended December 31,</w:t>
            </w: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5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CCEEFF"/>
            </w:tcBorders>
          </w:tcPr>
          <w:p>
            <w:pPr>
              <w:spacing w:after="0"/>
              <w:rPr>
                <w:sz w:val="15"/>
                <w:szCs w:val="15"/>
                <w:color w:val="auto"/>
              </w:rPr>
            </w:pPr>
          </w:p>
        </w:tc>
      </w:tr>
      <w:tr>
        <w:trPr>
          <w:trHeight w:val="169"/>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9"/>
        </w:trPr>
        <w:tc>
          <w:tcPr>
            <w:tcW w:w="5960" w:type="dxa"/>
            <w:vAlign w:val="bottom"/>
          </w:tcPr>
          <w:p>
            <w:pPr>
              <w:spacing w:after="0"/>
              <w:rPr>
                <w:sz w:val="20"/>
                <w:szCs w:val="20"/>
                <w:color w:val="auto"/>
              </w:rPr>
            </w:pPr>
            <w:r>
              <w:rPr>
                <w:rFonts w:ascii="Arial" w:cs="Arial" w:eastAsia="Arial" w:hAnsi="Arial"/>
                <w:sz w:val="13"/>
                <w:szCs w:val="13"/>
                <w:color w:val="auto"/>
              </w:rPr>
              <w:t>Net income (loss)</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(62,693)</w:t>
            </w: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(1,128,422)</w:t>
            </w: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2,372,907</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Adjustments to reconcile net income (loss) to net cash flows from operating activities: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1,472,204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1,181,921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717,073</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Impairment of long-lived assets and goodwill</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225,017</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5960" w:type="dxa"/>
            <w:vAlign w:val="bottom"/>
          </w:tcPr>
          <w:p>
            <w:pPr>
              <w:ind w:left="120"/>
              <w:spacing w:after="0"/>
              <w:rPr>
                <w:sz w:val="20"/>
                <w:szCs w:val="20"/>
                <w:color w:val="auto"/>
              </w:rPr>
            </w:pPr>
            <w:r>
              <w:rPr>
                <w:rFonts w:ascii="Arial" w:cs="Arial" w:eastAsia="Arial" w:hAnsi="Arial"/>
                <w:sz w:val="13"/>
                <w:szCs w:val="13"/>
                <w:color w:val="auto"/>
              </w:rPr>
              <w:t>Realized and unrealized losses (gains) on investments, impairments and other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30,730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(77,109)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(25,264)</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Realized and unrealized losses (gains) on derivatives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1,693,387</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(1,015,387)</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ind w:left="120"/>
              <w:spacing w:after="0"/>
              <w:rPr>
                <w:sz w:val="20"/>
                <w:szCs w:val="20"/>
                <w:color w:val="auto"/>
              </w:rPr>
            </w:pPr>
            <w:r>
              <w:rPr>
                <w:rFonts w:ascii="Arial" w:cs="Arial" w:eastAsia="Arial" w:hAnsi="Arial"/>
                <w:sz w:val="13"/>
                <w:szCs w:val="13"/>
                <w:color w:val="auto"/>
              </w:rPr>
              <w:t>Realized losses (gains) on Sale of Assets to EchoStar (Note 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(128,788)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5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Liberty Puerto Rico Asset Sale losses (gains) (Note 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(21,310)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5960" w:type="dxa"/>
            <w:vAlign w:val="bottom"/>
          </w:tcPr>
          <w:p>
            <w:pPr>
              <w:ind w:left="120"/>
              <w:spacing w:after="0"/>
              <w:rPr>
                <w:sz w:val="20"/>
                <w:szCs w:val="20"/>
                <w:color w:val="auto"/>
              </w:rPr>
            </w:pPr>
            <w:r>
              <w:rPr>
                <w:rFonts w:ascii="Arial" w:cs="Arial" w:eastAsia="Arial" w:hAnsi="Arial"/>
                <w:sz w:val="13"/>
                <w:szCs w:val="13"/>
                <w:color w:val="auto"/>
              </w:rPr>
              <w:t>EchoStar Exchange Offers debt extinguishment losses (gains) (Note 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(688,661)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5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Non-cash, stock-based compensation</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24,945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36,143</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71,450</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ind w:left="120"/>
              <w:spacing w:after="0"/>
              <w:rPr>
                <w:sz w:val="20"/>
                <w:szCs w:val="20"/>
                <w:color w:val="auto"/>
              </w:rPr>
            </w:pPr>
            <w:r>
              <w:rPr>
                <w:rFonts w:ascii="Arial" w:cs="Arial" w:eastAsia="Arial" w:hAnsi="Arial"/>
                <w:sz w:val="13"/>
                <w:szCs w:val="13"/>
                <w:color w:val="auto"/>
              </w:rPr>
              <w:t>Deferred tax expense (benefit)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(16,251)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(374,910)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702,735</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Equity in (earnings) losses of affiliates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67,214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3,835</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(2,616)</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ind w:left="120"/>
              <w:spacing w:after="0"/>
              <w:rPr>
                <w:sz w:val="20"/>
                <w:szCs w:val="20"/>
                <w:color w:val="auto"/>
              </w:rPr>
            </w:pPr>
            <w:r>
              <w:rPr>
                <w:rFonts w:ascii="Arial" w:cs="Arial" w:eastAsia="Arial" w:hAnsi="Arial"/>
                <w:sz w:val="13"/>
                <w:szCs w:val="13"/>
                <w:color w:val="auto"/>
              </w:rPr>
              <w:t>Changes in allowance for credit losses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17,323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9,560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5,819</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 in long-term deferred revenue and other long-term liabilities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82,368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24,436</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86,039</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ind w:left="120"/>
              <w:spacing w:after="0"/>
              <w:rPr>
                <w:sz w:val="20"/>
                <w:szCs w:val="20"/>
                <w:color w:val="auto"/>
              </w:rPr>
            </w:pPr>
            <w:r>
              <w:rPr>
                <w:rFonts w:ascii="Arial" w:cs="Arial" w:eastAsia="Arial" w:hAnsi="Arial"/>
                <w:sz w:val="13"/>
                <w:szCs w:val="13"/>
                <w:color w:val="auto"/>
              </w:rPr>
              <w:t>Other, net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152,144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205,199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238,472</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current assets and current liabilities: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ind w:left="220"/>
              <w:spacing w:after="0"/>
              <w:rPr>
                <w:sz w:val="20"/>
                <w:szCs w:val="20"/>
                <w:color w:val="auto"/>
              </w:rPr>
            </w:pPr>
            <w:r>
              <w:rPr>
                <w:rFonts w:ascii="Arial" w:cs="Arial" w:eastAsia="Arial" w:hAnsi="Arial"/>
                <w:sz w:val="13"/>
                <w:szCs w:val="13"/>
                <w:color w:val="auto"/>
              </w:rPr>
              <w:t>Trade accounts receivable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(130,900)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33,189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(24,234)</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and accrued income taxes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44,977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3,053</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(36,115)</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ind w:left="220"/>
              <w:spacing w:after="0"/>
              <w:rPr>
                <w:sz w:val="20"/>
                <w:szCs w:val="20"/>
                <w:color w:val="auto"/>
              </w:rPr>
            </w:pPr>
            <w:r>
              <w:rPr>
                <w:rFonts w:ascii="Arial" w:cs="Arial" w:eastAsia="Arial" w:hAnsi="Arial"/>
                <w:sz w:val="13"/>
                <w:szCs w:val="13"/>
                <w:color w:val="auto"/>
              </w:rPr>
              <w:t>Inventory</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176,191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2,658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36,722</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current assets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(61,058)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(36,967)</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27,992</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ind w:left="220"/>
              <w:spacing w:after="0"/>
              <w:rPr>
                <w:sz w:val="20"/>
                <w:szCs w:val="20"/>
                <w:color w:val="auto"/>
              </w:rPr>
            </w:pPr>
            <w:r>
              <w:rPr>
                <w:rFonts w:ascii="Arial" w:cs="Arial" w:eastAsia="Arial" w:hAnsi="Arial"/>
                <w:sz w:val="13"/>
                <w:szCs w:val="13"/>
                <w:color w:val="auto"/>
              </w:rPr>
              <w:t>Trade accounts payable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108,124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13,507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79,116</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revenue and other</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(68,591)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(73,003)</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(52,105)</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Accrued programming and other accrued expenses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(252,855)</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255,545</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(90,504)</w:t>
            </w:r>
          </w:p>
        </w:tc>
        <w:tc>
          <w:tcPr>
            <w:tcW w:w="60" w:type="dxa"/>
            <w:vAlign w:val="bottom"/>
            <w:tcBorders>
              <w:bottom w:val="single" w:sz="8" w:color="CCEEFF"/>
            </w:tcBorders>
          </w:tcPr>
          <w:p>
            <w:pPr>
              <w:spacing w:after="0"/>
              <w:rPr>
                <w:sz w:val="16"/>
                <w:szCs w:val="16"/>
                <w:color w:val="auto"/>
              </w:rPr>
            </w:pPr>
          </w:p>
        </w:tc>
      </w:tr>
      <w:tr>
        <w:trPr>
          <w:trHeight w:val="169"/>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flows from operating activities</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745,113</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1,997,039</w:t>
            </w:r>
          </w:p>
        </w:tc>
        <w:tc>
          <w:tcPr>
            <w:tcW w:w="2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3,092,100</w:t>
            </w:r>
          </w:p>
        </w:tc>
        <w:tc>
          <w:tcPr>
            <w:tcW w:w="60" w:type="dxa"/>
            <w:vAlign w:val="bottom"/>
            <w:shd w:val="clear" w:color="auto" w:fill="CCEEFF"/>
          </w:tcPr>
          <w:p>
            <w:pPr>
              <w:spacing w:after="0"/>
              <w:rPr>
                <w:sz w:val="14"/>
                <w:szCs w:val="14"/>
                <w:color w:val="auto"/>
              </w:rPr>
            </w:pPr>
          </w:p>
        </w:tc>
      </w:tr>
      <w:tr>
        <w:trPr>
          <w:trHeight w:val="169"/>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spacing w:after="0"/>
              <w:rPr>
                <w:sz w:val="20"/>
                <w:szCs w:val="20"/>
                <w:color w:val="auto"/>
              </w:rPr>
            </w:pPr>
            <w:r>
              <w:rPr>
                <w:rFonts w:ascii="Arial" w:cs="Arial" w:eastAsia="Arial" w:hAnsi="Arial"/>
                <w:sz w:val="13"/>
                <w:szCs w:val="13"/>
                <w:color w:val="auto"/>
              </w:rPr>
              <w:t>Purchases of marketable investment securities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(33,696)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(1,383,102)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(898,326)</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Sales and maturities of marketable investment securities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36,842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2,253,639</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3,023,236</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spacing w:after="0"/>
              <w:rPr>
                <w:sz w:val="20"/>
                <w:szCs w:val="20"/>
                <w:color w:val="auto"/>
              </w:rPr>
            </w:pPr>
            <w:r>
              <w:rPr>
                <w:rFonts w:ascii="Arial" w:cs="Arial" w:eastAsia="Arial" w:hAnsi="Arial"/>
                <w:sz w:val="13"/>
                <w:szCs w:val="13"/>
                <w:color w:val="auto"/>
              </w:rPr>
              <w:t>Purchases of property and equipment (Note 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(1,286,132)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(2,828,887)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(2,727,302)</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Capitalized interest related to regulatory authorizations (Note 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(871,807)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(1,162,473)</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(984,309)</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spacing w:after="0"/>
              <w:rPr>
                <w:sz w:val="20"/>
                <w:szCs w:val="20"/>
                <w:color w:val="auto"/>
              </w:rPr>
            </w:pPr>
            <w:r>
              <w:rPr>
                <w:rFonts w:ascii="Arial" w:cs="Arial" w:eastAsia="Arial" w:hAnsi="Arial"/>
                <w:sz w:val="13"/>
                <w:szCs w:val="13"/>
                <w:color w:val="auto"/>
              </w:rPr>
              <w:t>Purchases of regulatory authorizations, including deposits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(1,104)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(2,009)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(7,206,865)</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Sale of Assets to EchoStar (Note 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245,800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5960" w:type="dxa"/>
            <w:vAlign w:val="bottom"/>
          </w:tcPr>
          <w:p>
            <w:pPr>
              <w:spacing w:after="0"/>
              <w:rPr>
                <w:sz w:val="20"/>
                <w:szCs w:val="20"/>
                <w:color w:val="auto"/>
              </w:rPr>
            </w:pPr>
            <w:r>
              <w:rPr>
                <w:rFonts w:ascii="Arial" w:cs="Arial" w:eastAsia="Arial" w:hAnsi="Arial"/>
                <w:sz w:val="13"/>
                <w:szCs w:val="13"/>
                <w:color w:val="auto"/>
              </w:rPr>
              <w:t>700 MHz Spectrum Sale to EchoStar (Note 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1,036,500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Liberty Puerto Rico Asset Sale (Note 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95,435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59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net (Note 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(36,066)</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14,075</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6,527</w:t>
            </w:r>
          </w:p>
        </w:tc>
        <w:tc>
          <w:tcPr>
            <w:tcW w:w="60" w:type="dxa"/>
            <w:vAlign w:val="bottom"/>
            <w:tcBorders>
              <w:bottom w:val="single" w:sz="8" w:color="CCEEFF"/>
            </w:tcBorders>
          </w:tcPr>
          <w:p>
            <w:pPr>
              <w:spacing w:after="0"/>
              <w:rPr>
                <w:sz w:val="16"/>
                <w:szCs w:val="16"/>
                <w:color w:val="auto"/>
              </w:rPr>
            </w:pPr>
          </w:p>
        </w:tc>
      </w:tr>
      <w:tr>
        <w:trPr>
          <w:trHeight w:val="169"/>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flows from investing activities</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(814,228)</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(3,108,757)</w:t>
            </w:r>
          </w:p>
        </w:tc>
        <w:tc>
          <w:tcPr>
            <w:tcW w:w="2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(8,787,039)</w:t>
            </w:r>
          </w:p>
        </w:tc>
        <w:tc>
          <w:tcPr>
            <w:tcW w:w="60" w:type="dxa"/>
            <w:vAlign w:val="bottom"/>
            <w:shd w:val="clear" w:color="auto" w:fill="CCEEFF"/>
          </w:tcPr>
          <w:p>
            <w:pPr>
              <w:spacing w:after="0"/>
              <w:rPr>
                <w:sz w:val="14"/>
                <w:szCs w:val="14"/>
                <w:color w:val="auto"/>
              </w:rPr>
            </w:pPr>
          </w:p>
        </w:tc>
      </w:tr>
      <w:tr>
        <w:trPr>
          <w:trHeight w:val="169"/>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spacing w:after="0"/>
              <w:rPr>
                <w:sz w:val="20"/>
                <w:szCs w:val="20"/>
                <w:color w:val="auto"/>
              </w:rPr>
            </w:pPr>
            <w:r>
              <w:rPr>
                <w:rFonts w:ascii="Arial" w:cs="Arial" w:eastAsia="Arial" w:hAnsi="Arial"/>
                <w:sz w:val="13"/>
                <w:szCs w:val="13"/>
                <w:color w:val="auto"/>
              </w:rPr>
              <w:t>Repayment of long-term debt, finance lease and other obligations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(104,015)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(119,202)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(83,117)</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Redemption and repurchases of convertible and senior notes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(2,933,714)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(1,643,469)</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(2,056,821)</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spacing w:after="0"/>
              <w:rPr>
                <w:sz w:val="20"/>
                <w:szCs w:val="20"/>
                <w:color w:val="auto"/>
              </w:rPr>
            </w:pPr>
            <w:r>
              <w:rPr>
                <w:rFonts w:ascii="Arial" w:cs="Arial" w:eastAsia="Arial" w:hAnsi="Arial"/>
                <w:sz w:val="13"/>
                <w:szCs w:val="13"/>
                <w:color w:val="auto"/>
              </w:rPr>
              <w:t>Proceeds from issuance of senior notes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2,000,000</w:t>
            </w:r>
          </w:p>
        </w:tc>
        <w:tc>
          <w:tcPr>
            <w:tcW w:w="60" w:type="dxa"/>
            <w:vAlign w:val="bottom"/>
          </w:tcPr>
          <w:p>
            <w:pPr>
              <w:spacing w:after="0"/>
              <w:rPr>
                <w:sz w:val="16"/>
                <w:szCs w:val="16"/>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Debt issuance costs and debt (discount) premium</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21,635</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(51,121)</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Pr>
          <w:p>
            <w:pPr>
              <w:spacing w:after="0"/>
              <w:rPr>
                <w:sz w:val="20"/>
                <w:szCs w:val="20"/>
                <w:color w:val="auto"/>
              </w:rPr>
            </w:pPr>
            <w:r>
              <w:rPr>
                <w:rFonts w:ascii="Arial" w:cs="Arial" w:eastAsia="Arial" w:hAnsi="Arial"/>
                <w:sz w:val="13"/>
                <w:szCs w:val="13"/>
                <w:color w:val="auto"/>
              </w:rPr>
              <w:t>Proceeds from New DISH DBS Financing (Note 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2,500,000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Debt issuance costs and debt (discount) premium from New DISH DBS Financing</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(134,510)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5960" w:type="dxa"/>
            <w:vAlign w:val="bottom"/>
          </w:tcPr>
          <w:p>
            <w:pPr>
              <w:spacing w:after="0"/>
              <w:rPr>
                <w:sz w:val="20"/>
                <w:szCs w:val="20"/>
                <w:color w:val="auto"/>
              </w:rPr>
            </w:pPr>
            <w:r>
              <w:rPr>
                <w:rFonts w:ascii="Arial" w:cs="Arial" w:eastAsia="Arial" w:hAnsi="Arial"/>
                <w:sz w:val="13"/>
                <w:szCs w:val="13"/>
                <w:color w:val="auto"/>
              </w:rPr>
              <w:t>Proceeds from EchoStar 2024 Intercompany Loan (Note 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1,009,460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Early debt extinguishment gains (losses) of convertible and senior notes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73,024</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17"/>
        </w:trPr>
        <w:tc>
          <w:tcPr>
            <w:tcW w:w="5960" w:type="dxa"/>
            <w:vAlign w:val="bottom"/>
          </w:tcPr>
          <w:p>
            <w:pPr>
              <w:spacing w:after="0" w:line="117" w:lineRule="exact"/>
              <w:rPr>
                <w:sz w:val="20"/>
                <w:szCs w:val="20"/>
                <w:color w:val="auto"/>
              </w:rPr>
            </w:pPr>
            <w:r>
              <w:rPr>
                <w:rFonts w:ascii="Arial" w:cs="Arial" w:eastAsia="Arial" w:hAnsi="Arial"/>
                <w:sz w:val="13"/>
                <w:szCs w:val="13"/>
                <w:color w:val="auto"/>
                <w:w w:val="98"/>
              </w:rPr>
              <w:t>Net proceeds from Class A common stock options exercised and stock issued under the Employee Stock</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5960" w:type="dxa"/>
            <w:vAlign w:val="bottom"/>
          </w:tcPr>
          <w:p>
            <w:pPr>
              <w:spacing w:after="0"/>
              <w:rPr>
                <w:sz w:val="20"/>
                <w:szCs w:val="20"/>
                <w:color w:val="auto"/>
              </w:rPr>
            </w:pPr>
            <w:r>
              <w:rPr>
                <w:rFonts w:ascii="Arial" w:cs="Arial" w:eastAsia="Arial" w:hAnsi="Arial"/>
                <w:sz w:val="13"/>
                <w:szCs w:val="13"/>
                <w:color w:val="auto"/>
              </w:rPr>
              <w:t>Purchase Plan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8,594</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18,132</w:t>
            </w:r>
          </w:p>
        </w:tc>
        <w:tc>
          <w:tcPr>
            <w:tcW w:w="60" w:type="dxa"/>
            <w:vAlign w:val="bottom"/>
          </w:tcPr>
          <w:p>
            <w:pPr>
              <w:spacing w:after="0"/>
              <w:rPr>
                <w:sz w:val="13"/>
                <w:szCs w:val="13"/>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Purchase of Northstar Manager, LLC's ownership interest in Northstar Spectrum</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(109,432)</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59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net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(4,665)</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(18,413)</w:t>
            </w:r>
          </w:p>
        </w:tc>
        <w:tc>
          <w:tcPr>
            <w:tcW w:w="60" w:type="dxa"/>
            <w:vAlign w:val="bottom"/>
            <w:tcBorders>
              <w:bottom w:val="single" w:sz="8" w:color="CCEEFF"/>
            </w:tcBorders>
          </w:tcPr>
          <w:p>
            <w:pPr>
              <w:spacing w:after="0"/>
              <w:rPr>
                <w:sz w:val="16"/>
                <w:szCs w:val="16"/>
                <w:color w:val="auto"/>
              </w:rPr>
            </w:pPr>
          </w:p>
        </w:tc>
      </w:tr>
      <w:tr>
        <w:trPr>
          <w:trHeight w:val="169"/>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flows from financing activities</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337,156</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(273,515)</w:t>
            </w:r>
          </w:p>
        </w:tc>
        <w:tc>
          <w:tcPr>
            <w:tcW w:w="2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(191,340)</w:t>
            </w:r>
          </w:p>
        </w:tc>
        <w:tc>
          <w:tcPr>
            <w:tcW w:w="60" w:type="dxa"/>
            <w:vAlign w:val="bottom"/>
            <w:shd w:val="clear" w:color="auto" w:fill="CCEEFF"/>
          </w:tcPr>
          <w:p>
            <w:pPr>
              <w:spacing w:after="0"/>
              <w:rPr>
                <w:sz w:val="14"/>
                <w:szCs w:val="14"/>
                <w:color w:val="auto"/>
              </w:rPr>
            </w:pPr>
          </w:p>
        </w:tc>
      </w:tr>
      <w:tr>
        <w:trPr>
          <w:trHeight w:val="169"/>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 (decrease) in cash, cash equivalents, restricted cash and cash equivalents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268,041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(1,385,233)</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(5,886,279)</w:t>
            </w:r>
          </w:p>
        </w:tc>
        <w:tc>
          <w:tcPr>
            <w:tcW w:w="60" w:type="dxa"/>
            <w:vAlign w:val="bottom"/>
            <w:shd w:val="clear" w:color="auto" w:fill="CCEEFF"/>
          </w:tcPr>
          <w:p>
            <w:pPr>
              <w:spacing w:after="0"/>
              <w:rPr>
                <w:sz w:val="16"/>
                <w:szCs w:val="16"/>
                <w:color w:val="auto"/>
              </w:rPr>
            </w:pPr>
          </w:p>
        </w:tc>
      </w:tr>
      <w:tr>
        <w:trPr>
          <w:trHeight w:val="189"/>
        </w:trPr>
        <w:tc>
          <w:tcPr>
            <w:tcW w:w="59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cash equivalents, restricted cash and cash equivalents, beginning of period (Note 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462,748</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1,847,981</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7,734,260</w:t>
            </w:r>
          </w:p>
        </w:tc>
        <w:tc>
          <w:tcPr>
            <w:tcW w:w="60" w:type="dxa"/>
            <w:vAlign w:val="bottom"/>
            <w:tcBorders>
              <w:bottom w:val="single" w:sz="8" w:color="CCEEFF"/>
            </w:tcBorders>
          </w:tcPr>
          <w:p>
            <w:pPr>
              <w:spacing w:after="0"/>
              <w:rPr>
                <w:sz w:val="16"/>
                <w:szCs w:val="16"/>
                <w:color w:val="auto"/>
              </w:rPr>
            </w:pPr>
          </w:p>
        </w:tc>
      </w:tr>
      <w:tr>
        <w:trPr>
          <w:trHeight w:val="155"/>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restricted cash and cash equivalents, end of period (Note 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730,789</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462,748</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1,847,981</w:t>
            </w:r>
          </w:p>
        </w:tc>
        <w:tc>
          <w:tcPr>
            <w:tcW w:w="60" w:type="dxa"/>
            <w:vAlign w:val="bottom"/>
            <w:shd w:val="clear" w:color="auto" w:fill="CCEEFF"/>
          </w:tcPr>
          <w:p>
            <w:pPr>
              <w:spacing w:after="0"/>
              <w:rPr>
                <w:sz w:val="13"/>
                <w:szCs w:val="13"/>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87" w:name="page88"/>
    <w:bookmarkEnd w:id="8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ind w:left="600" w:hanging="391"/>
        <w:spacing w:after="0"/>
        <w:tabs>
          <w:tab w:leader="none" w:pos="6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Activities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Principal Business</w:t>
      </w:r>
    </w:p>
    <w:p>
      <w:pPr>
        <w:spacing w:after="0" w:line="196" w:lineRule="exact"/>
        <w:rPr>
          <w:sz w:val="20"/>
          <w:szCs w:val="20"/>
          <w:color w:val="auto"/>
        </w:rPr>
      </w:pPr>
    </w:p>
    <w:p>
      <w:pPr>
        <w:ind w:left="200" w:right="399"/>
        <w:spacing w:after="0" w:line="244" w:lineRule="auto"/>
        <w:rPr>
          <w:sz w:val="20"/>
          <w:szCs w:val="20"/>
          <w:color w:val="auto"/>
        </w:rPr>
      </w:pPr>
      <w:r>
        <w:rPr>
          <w:rFonts w:ascii="Arial" w:cs="Arial" w:eastAsia="Arial" w:hAnsi="Arial"/>
          <w:sz w:val="18"/>
          <w:szCs w:val="18"/>
          <w:color w:val="auto"/>
        </w:rPr>
        <w:t>DISH Network Corporation is a holding company. Its subsidiaries (which together with DISH Network Corporation are referred to as “DISH Network,” the “Company,” “we,” “us” and/or “our,” unless otherwise required by the context) currently operate two primary business segments. DISH Network is a wholly-owned subsidiary of EchoStar Corporation (“EchoStar”), a publicly traded company listed on the NASDAQ Global Select Market (“NASDAQ”) under the symbol “SATS.”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Merger with EchoStar</w:t>
      </w:r>
    </w:p>
    <w:p>
      <w:pPr>
        <w:spacing w:after="0" w:line="196" w:lineRule="exact"/>
        <w:rPr>
          <w:sz w:val="20"/>
          <w:szCs w:val="20"/>
          <w:color w:val="auto"/>
        </w:rPr>
      </w:pPr>
    </w:p>
    <w:p>
      <w:pPr>
        <w:ind w:left="200" w:right="359"/>
        <w:spacing w:after="0"/>
        <w:rPr>
          <w:sz w:val="20"/>
          <w:szCs w:val="20"/>
          <w:color w:val="auto"/>
        </w:rPr>
      </w:pPr>
      <w:r>
        <w:rPr>
          <w:rFonts w:ascii="Arial" w:cs="Arial" w:eastAsia="Arial" w:hAnsi="Arial"/>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 For further information, refer to the Consolidated Financial Statements and notes thereto included in our Annual Report on Form 10-K for the year ended December 31, 2023.</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02429"/>
        </w:rPr>
        <w:t>DIRECTV Transaction</w:t>
      </w:r>
    </w:p>
    <w:p>
      <w:pPr>
        <w:spacing w:after="0" w:line="196" w:lineRule="exact"/>
        <w:rPr>
          <w:sz w:val="20"/>
          <w:szCs w:val="20"/>
          <w:color w:val="auto"/>
        </w:rPr>
      </w:pPr>
    </w:p>
    <w:p>
      <w:pPr>
        <w:ind w:left="200" w:right="259"/>
        <w:spacing w:after="0" w:line="244" w:lineRule="auto"/>
        <w:rPr>
          <w:sz w:val="20"/>
          <w:szCs w:val="20"/>
          <w:color w:val="auto"/>
        </w:rPr>
      </w:pPr>
      <w:r>
        <w:rPr>
          <w:rFonts w:ascii="Arial" w:cs="Arial" w:eastAsia="Arial" w:hAnsi="Arial"/>
          <w:sz w:val="18"/>
          <w:szCs w:val="18"/>
          <w:color w:val="auto"/>
        </w:rPr>
        <w:t>On September 29, 2024, we and DIRECTV Holdings, LLC (“DTV”), entered into an Equity Purchase Agreement (the “Purchase Agreement”). Pursuant to the terms and subject to the conditions set forth in the Purchase Agreement, DTV agreed to acquire from us all of the issued and outstanding equity interests of DISH DBS Corporation (“DISH DBS”), which operates our Pay-TV business (the “Business” and such acquisition of the Business the “DIRECTV Transaction”).</w:t>
      </w:r>
    </w:p>
    <w:p>
      <w:pPr>
        <w:spacing w:after="0" w:line="163" w:lineRule="exact"/>
        <w:rPr>
          <w:sz w:val="20"/>
          <w:szCs w:val="20"/>
          <w:color w:val="auto"/>
        </w:rPr>
      </w:pPr>
    </w:p>
    <w:p>
      <w:pPr>
        <w:ind w:left="200" w:right="279"/>
        <w:spacing w:after="0" w:line="290" w:lineRule="auto"/>
        <w:rPr>
          <w:sz w:val="20"/>
          <w:szCs w:val="20"/>
          <w:color w:val="auto"/>
        </w:rPr>
      </w:pPr>
      <w:r>
        <w:rPr>
          <w:rFonts w:ascii="Arial" w:cs="Arial" w:eastAsia="Arial" w:hAnsi="Arial"/>
          <w:sz w:val="17"/>
          <w:szCs w:val="17"/>
          <w:color w:val="auto"/>
        </w:rPr>
        <w:t>Following written notice from DTV received on November 20, 2024, DTV terminated the Purchase Agreement effective at 11:59 pm ET on November 22, 2024 pursuant to Section 7.01(a)(iv) of the Purchase Agreement because the DISH DBS Exchange Offers (as defined in Note 9) were not consummated by the Exchange Offer Settlement Date (as defined in the Purchase Agreement). No termination fee or other payment was due from either party to the other as a result of the termination of the Purchase Agreement.</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 and Transfer of Assets</w:t>
      </w:r>
    </w:p>
    <w:p>
      <w:pPr>
        <w:spacing w:after="0" w:line="196"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color w:val="auto"/>
        </w:rPr>
        <w:t xml:space="preserve">In accordance with Accounting Standards Codification </w:t>
      </w:r>
      <w:r>
        <w:rPr>
          <w:rFonts w:ascii="Arial" w:cs="Arial" w:eastAsia="Arial" w:hAnsi="Arial"/>
          <w:sz w:val="18"/>
          <w:szCs w:val="18"/>
          <w:i w:val="1"/>
          <w:iCs w:val="1"/>
          <w:color w:val="auto"/>
        </w:rPr>
        <w:t>805-50 Business Combinations – Related Issues,</w:t>
      </w:r>
      <w:r>
        <w:rPr>
          <w:rFonts w:ascii="Arial" w:cs="Arial" w:eastAsia="Arial" w:hAnsi="Arial"/>
          <w:sz w:val="18"/>
          <w:szCs w:val="18"/>
          <w:color w:val="auto"/>
        </w:rPr>
        <w:t xml:space="preserve"> for transactions among entities under common control, generally the assets transferred and/or sold are recorded at the net carrying value of the assets. The difference between the net carrying value and the fair value of the assets transferred and/or sold is recorded in “Additional paid-in capital” or “Accumulated earnings (deficit)” on our Consolidated Balance Sheets. If an asset transferred and/or sold among entities under common control is determined to be a financial asset, any gain or loss on the sale of the financial asset is recorded in “Other, net” within “Other Income (Expense)” on our Consolidated Statements of Operations and Comprehensive Income (Loss). All transactions detailed below are transactions among entities under common control.</w:t>
      </w:r>
    </w:p>
    <w:p>
      <w:pPr>
        <w:spacing w:after="0" w:line="170" w:lineRule="exact"/>
        <w:rPr>
          <w:sz w:val="20"/>
          <w:szCs w:val="20"/>
          <w:color w:val="auto"/>
        </w:rPr>
      </w:pPr>
    </w:p>
    <w:p>
      <w:pPr>
        <w:ind w:left="200" w:right="219"/>
        <w:spacing w:after="0" w:line="253" w:lineRule="auto"/>
        <w:rPr>
          <w:sz w:val="20"/>
          <w:szCs w:val="20"/>
          <w:color w:val="auto"/>
        </w:rPr>
      </w:pPr>
      <w:r>
        <w:rPr>
          <w:rFonts w:ascii="Arial" w:cs="Arial" w:eastAsia="Arial" w:hAnsi="Arial"/>
          <w:sz w:val="18"/>
          <w:szCs w:val="18"/>
          <w:i w:val="1"/>
          <w:iCs w:val="1"/>
          <w:color w:val="auto"/>
        </w:rPr>
        <w:t xml:space="preserve">Sale of Assets to EchoStar. </w:t>
      </w:r>
      <w:r>
        <w:rPr>
          <w:rFonts w:ascii="Arial" w:cs="Arial" w:eastAsia="Arial" w:hAnsi="Arial"/>
          <w:sz w:val="18"/>
          <w:szCs w:val="18"/>
          <w:color w:val="auto"/>
        </w:rPr>
        <w:t>On January 10, 2024, we sold certain assets and equity interests to EchoStar,</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included the sale of a financial asset (the “Sale of Assets to EchoStar”), for fair value of approximately $246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559"/>
        <w:spacing w:after="0" w:line="244" w:lineRule="auto"/>
        <w:rPr>
          <w:sz w:val="20"/>
          <w:szCs w:val="20"/>
          <w:color w:val="auto"/>
        </w:rPr>
      </w:pPr>
      <w:r>
        <w:rPr>
          <w:rFonts w:ascii="Arial" w:cs="Arial" w:eastAsia="Arial" w:hAnsi="Arial"/>
          <w:sz w:val="18"/>
          <w:szCs w:val="18"/>
          <w:color w:val="auto"/>
        </w:rPr>
        <w:t>The difference between our net carrying value of the assets sold to their fair value was $138 million, of which $6 million, net of deferred tax, was recorded in “Additional paid-in capital” on our Consolidated Balance Sheets as of December 31, 2024 and a $129 million gain related to the financial asset was recorded in “Other, net” within “Other Income (Expense)” on our Consolidated Statements of Operations and Comprehensive Income (Loss) for the year ended December 31, 2024.</w:t>
      </w:r>
    </w:p>
    <w:p>
      <w:pPr>
        <w:spacing w:after="0" w:line="163" w:lineRule="exact"/>
        <w:rPr>
          <w:sz w:val="20"/>
          <w:szCs w:val="20"/>
          <w:color w:val="auto"/>
        </w:rPr>
      </w:pPr>
    </w:p>
    <w:p>
      <w:pPr>
        <w:ind w:left="200" w:right="259"/>
        <w:spacing w:after="0" w:line="242" w:lineRule="auto"/>
        <w:rPr>
          <w:sz w:val="20"/>
          <w:szCs w:val="20"/>
          <w:color w:val="auto"/>
        </w:rPr>
      </w:pPr>
      <w:r>
        <w:rPr>
          <w:rFonts w:ascii="Arial" w:cs="Arial" w:eastAsia="Arial" w:hAnsi="Arial"/>
          <w:sz w:val="18"/>
          <w:szCs w:val="18"/>
          <w:i w:val="1"/>
          <w:iCs w:val="1"/>
          <w:color w:val="222222"/>
        </w:rPr>
        <w:t xml:space="preserve">Asset Transfer to EchoStar. </w:t>
      </w:r>
      <w:r>
        <w:rPr>
          <w:rFonts w:ascii="Arial" w:cs="Arial" w:eastAsia="Arial" w:hAnsi="Arial"/>
          <w:sz w:val="18"/>
          <w:szCs w:val="18"/>
          <w:color w:val="000000"/>
        </w:rPr>
        <w:t>On January 10, 2024, we transferred our wholly-owned subsidiaries that hold</w:t>
      </w:r>
      <w:r>
        <w:rPr>
          <w:rFonts w:ascii="Arial" w:cs="Arial" w:eastAsia="Arial" w:hAnsi="Arial"/>
          <w:sz w:val="18"/>
          <w:szCs w:val="18"/>
          <w:i w:val="1"/>
          <w:iCs w:val="1"/>
          <w:color w:val="222222"/>
        </w:rPr>
        <w:t xml:space="preserve"> </w:t>
      </w:r>
      <w:r>
        <w:rPr>
          <w:rFonts w:ascii="Arial" w:cs="Arial" w:eastAsia="Arial" w:hAnsi="Arial"/>
          <w:sz w:val="18"/>
          <w:szCs w:val="18"/>
          <w:color w:val="000000"/>
        </w:rPr>
        <w:t>certain assets, including the EchoStar XXV satellite currently under construction, and our wireless spectrum licenses, including AWS-4, H-Block, CBRS (3550-3650 MHz), C-Band – Cheyenne (3.7-3.98 GHz), 12GHz (MVDDS), LMDS, 24 GHz, 28 GHz, 37GHz, 39GHz and 47GHz to EchoStar Wireless Holding L.L.C., a direct wholly-owned subsidiary of our parent, EchoStar (together with the “DISH 2021 Intercompany Loan 2026 Tranche” defined below, the “Asset Transfer to EchoStar”).</w:t>
      </w:r>
    </w:p>
    <w:p>
      <w:pPr>
        <w:spacing w:after="0" w:line="165"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In addition, DISH DBS, in its capacity as “Lender” under the terms of the Loan and Security Agreement related to the Intercompany Loan between DISH Network and DISH DBS, has consummated the assignment pursuant to such terms, without any modification or amendment thereto, of its receivable in respect to the 2026 Tranche of $4.7 billion (the “DISH 2021 Intercompany Loan 2026 Tranche”) to DBS Intercompany Receivable L.L.C. DBS Intercompany Receivable L.L.C. has subsequently assigned its rights as lender thereunder to EchoStar Intercompany Receivable Company L.L.C., our parent, EchoStar’s direct wholly-owned subsidiary, such that amounts owed in respect of the DISH 2021 Intercompany Loan 2026 Tranche will now be paid by us to EchoStar Intercompany Receivable L.L.C.</w:t>
      </w:r>
    </w:p>
    <w:p>
      <w:pPr>
        <w:spacing w:after="0" w:line="167" w:lineRule="exact"/>
        <w:rPr>
          <w:sz w:val="20"/>
          <w:szCs w:val="20"/>
          <w:color w:val="auto"/>
        </w:rPr>
      </w:pPr>
    </w:p>
    <w:p>
      <w:pPr>
        <w:ind w:left="200" w:right="419"/>
        <w:spacing w:after="0" w:line="253" w:lineRule="auto"/>
        <w:rPr>
          <w:sz w:val="20"/>
          <w:szCs w:val="20"/>
          <w:color w:val="auto"/>
        </w:rPr>
      </w:pPr>
      <w:r>
        <w:rPr>
          <w:rFonts w:ascii="Arial" w:cs="Arial" w:eastAsia="Arial" w:hAnsi="Arial"/>
          <w:sz w:val="18"/>
          <w:szCs w:val="18"/>
          <w:color w:val="auto"/>
        </w:rPr>
        <w:t>The transferred amount equals our historical net carrying value of these assets, which was $12.003 billion with the offset recorded as a dividend in “Accumulated earnings (deficit)” on our Consolidated Balance Sheets as of December 31, 2024.</w:t>
      </w:r>
    </w:p>
    <w:p>
      <w:pPr>
        <w:spacing w:after="0" w:line="155" w:lineRule="exact"/>
        <w:rPr>
          <w:sz w:val="20"/>
          <w:szCs w:val="20"/>
          <w:color w:val="auto"/>
        </w:rPr>
      </w:pPr>
    </w:p>
    <w:p>
      <w:pPr>
        <w:ind w:left="200" w:right="319"/>
        <w:spacing w:after="0" w:line="266" w:lineRule="auto"/>
        <w:rPr>
          <w:sz w:val="20"/>
          <w:szCs w:val="20"/>
          <w:color w:val="auto"/>
        </w:rPr>
      </w:pPr>
      <w:r>
        <w:rPr>
          <w:rFonts w:ascii="Arial" w:cs="Arial" w:eastAsia="Arial" w:hAnsi="Arial"/>
          <w:sz w:val="17"/>
          <w:szCs w:val="17"/>
          <w:i w:val="1"/>
          <w:iCs w:val="1"/>
          <w:color w:val="auto"/>
        </w:rPr>
        <w:t xml:space="preserve">Tax Associated with the </w:t>
      </w:r>
      <w:r>
        <w:rPr>
          <w:rFonts w:ascii="Arial" w:cs="Arial" w:eastAsia="Arial" w:hAnsi="Arial"/>
          <w:sz w:val="17"/>
          <w:szCs w:val="17"/>
          <w:i w:val="1"/>
          <w:iCs w:val="1"/>
          <w:color w:val="222222"/>
        </w:rPr>
        <w:t>Asset Transfer to EchoStar</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year ended December 31, 2024,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recorded $3.775 billion in “Deferred tax liabilities, net” on our Consolidated Balance Sheets resulting from the step up in basis due to the difference in the fair value compared to the book value of the </w:t>
      </w:r>
      <w:r>
        <w:rPr>
          <w:rFonts w:ascii="Arial" w:cs="Arial" w:eastAsia="Arial" w:hAnsi="Arial"/>
          <w:sz w:val="17"/>
          <w:szCs w:val="17"/>
          <w:color w:val="222222"/>
        </w:rPr>
        <w:t>Asset Transfer</w:t>
      </w:r>
      <w:r>
        <w:rPr>
          <w:rFonts w:ascii="Arial" w:cs="Arial" w:eastAsia="Arial" w:hAnsi="Arial"/>
          <w:sz w:val="17"/>
          <w:szCs w:val="17"/>
          <w:color w:val="auto"/>
        </w:rPr>
        <w:t xml:space="preserve"> </w:t>
      </w:r>
      <w:r>
        <w:rPr>
          <w:rFonts w:ascii="Arial" w:cs="Arial" w:eastAsia="Arial" w:hAnsi="Arial"/>
          <w:sz w:val="17"/>
          <w:szCs w:val="17"/>
          <w:color w:val="222222"/>
        </w:rPr>
        <w:t>to EchoStar</w:t>
      </w:r>
      <w:r>
        <w:rPr>
          <w:rFonts w:ascii="Arial" w:cs="Arial" w:eastAsia="Arial" w:hAnsi="Arial"/>
          <w:sz w:val="17"/>
          <w:szCs w:val="17"/>
          <w:color w:val="000000"/>
        </w:rPr>
        <w:t>, with the offset recorded in “Additional paid-in capital” on our Consolidated Balance Sheets.</w:t>
      </w:r>
    </w:p>
    <w:p>
      <w:pPr>
        <w:spacing w:after="0" w:line="146" w:lineRule="exact"/>
        <w:rPr>
          <w:sz w:val="20"/>
          <w:szCs w:val="20"/>
          <w:color w:val="auto"/>
        </w:rPr>
      </w:pPr>
    </w:p>
    <w:p>
      <w:pPr>
        <w:ind w:left="200" w:right="219"/>
        <w:spacing w:after="0" w:line="242" w:lineRule="auto"/>
        <w:rPr>
          <w:sz w:val="20"/>
          <w:szCs w:val="20"/>
          <w:color w:val="auto"/>
        </w:rPr>
      </w:pPr>
      <w:r>
        <w:rPr>
          <w:rFonts w:ascii="Arial" w:cs="Arial" w:eastAsia="Arial" w:hAnsi="Arial"/>
          <w:sz w:val="18"/>
          <w:szCs w:val="18"/>
          <w:i w:val="1"/>
          <w:iCs w:val="1"/>
          <w:color w:val="auto"/>
        </w:rPr>
        <w:t xml:space="preserve">700 MHz Spectrum Sale to EchoStar. </w:t>
      </w:r>
      <w:r>
        <w:rPr>
          <w:rFonts w:ascii="Arial" w:cs="Arial" w:eastAsia="Arial" w:hAnsi="Arial"/>
          <w:sz w:val="18"/>
          <w:szCs w:val="18"/>
          <w:color w:val="auto"/>
        </w:rPr>
        <w:t>On March 12, 2024, we sold our wholly-owned subsidiary which holds</w:t>
      </w:r>
      <w:r>
        <w:rPr>
          <w:rFonts w:ascii="Arial" w:cs="Arial" w:eastAsia="Arial" w:hAnsi="Arial"/>
          <w:sz w:val="18"/>
          <w:szCs w:val="18"/>
          <w:i w:val="1"/>
          <w:iCs w:val="1"/>
          <w:color w:val="auto"/>
        </w:rPr>
        <w:t xml:space="preserve"> </w:t>
      </w:r>
      <w:r>
        <w:rPr>
          <w:rFonts w:ascii="Arial" w:cs="Arial" w:eastAsia="Arial" w:hAnsi="Arial"/>
          <w:sz w:val="18"/>
          <w:szCs w:val="18"/>
          <w:color w:val="auto"/>
        </w:rPr>
        <w:t>the 700 MHz spectrum to a wholly-owned subsidiary of our parent, EchoStar (the “700 MHz Spectrum Sale to EchoStar”), for fair value of approximately $1.037 billion. The difference between our net carrying value of the assets sold to their fair value of $115 million, net of deferred tax, was recorded in “Additional paid-in capital” on our Consolidated Balance Sheets as of December 31, 2024. The proceeds were used to pay the remaining balance of $951 million on our 2 3/8% Convertible Note which matured on March 15, 2024.</w:t>
      </w:r>
    </w:p>
    <w:p>
      <w:pPr>
        <w:spacing w:after="0" w:line="165" w:lineRule="exact"/>
        <w:rPr>
          <w:sz w:val="20"/>
          <w:szCs w:val="20"/>
          <w:color w:val="auto"/>
        </w:rPr>
      </w:pPr>
    </w:p>
    <w:p>
      <w:pPr>
        <w:ind w:left="200" w:right="719"/>
        <w:spacing w:after="0" w:line="271" w:lineRule="auto"/>
        <w:rPr>
          <w:sz w:val="20"/>
          <w:szCs w:val="20"/>
          <w:color w:val="auto"/>
        </w:rPr>
      </w:pPr>
      <w:r>
        <w:rPr>
          <w:rFonts w:ascii="Arial" w:cs="Arial" w:eastAsia="Arial" w:hAnsi="Arial"/>
          <w:sz w:val="18"/>
          <w:szCs w:val="18"/>
          <w:color w:val="auto"/>
        </w:rPr>
        <w:t xml:space="preserve">The Sale of Assets to EchoStar, </w:t>
      </w:r>
      <w:r>
        <w:rPr>
          <w:rFonts w:ascii="Arial" w:cs="Arial" w:eastAsia="Arial" w:hAnsi="Arial"/>
          <w:sz w:val="18"/>
          <w:szCs w:val="18"/>
          <w:color w:val="222222"/>
        </w:rPr>
        <w:t>Asset Transfer to EchoStar and</w:t>
      </w:r>
      <w:r>
        <w:rPr>
          <w:rFonts w:ascii="Arial" w:cs="Arial" w:eastAsia="Arial" w:hAnsi="Arial"/>
          <w:sz w:val="18"/>
          <w:szCs w:val="18"/>
          <w:color w:val="auto"/>
        </w:rPr>
        <w:t xml:space="preserve"> 700 MHz Spectrum Sale to EchoStar together are referred to as (the “Sale and Transfer of Assets to EchoStar”).</w:t>
      </w:r>
    </w:p>
    <w:p>
      <w:pPr>
        <w:spacing w:after="0" w:line="140" w:lineRule="exact"/>
        <w:rPr>
          <w:sz w:val="20"/>
          <w:szCs w:val="20"/>
          <w:color w:val="auto"/>
        </w:rPr>
      </w:pPr>
    </w:p>
    <w:p>
      <w:pPr>
        <w:ind w:left="200" w:right="379"/>
        <w:spacing w:after="0" w:line="247" w:lineRule="auto"/>
        <w:rPr>
          <w:sz w:val="20"/>
          <w:szCs w:val="20"/>
          <w:color w:val="auto"/>
        </w:rPr>
      </w:pPr>
      <w:r>
        <w:rPr>
          <w:rFonts w:ascii="Arial" w:cs="Arial" w:eastAsia="Arial" w:hAnsi="Arial"/>
          <w:sz w:val="18"/>
          <w:szCs w:val="18"/>
          <w:i w:val="1"/>
          <w:iCs w:val="1"/>
          <w:color w:val="auto"/>
        </w:rPr>
        <w:t xml:space="preserve">Orbital II Transfer from EchoStar. </w:t>
      </w:r>
      <w:r>
        <w:rPr>
          <w:rFonts w:ascii="Arial" w:cs="Arial" w:eastAsia="Arial" w:hAnsi="Arial"/>
          <w:sz w:val="18"/>
          <w:szCs w:val="18"/>
          <w:color w:val="auto"/>
        </w:rPr>
        <w:t>On May 2, 2024, EchoStar transferred certain assets to us,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 satellite currently under construction. The transferred amount equals our historical net carrying value of these assets, which was $141 million with the offset recorded as a capital contribution in “Additional paid-in capital” on our Consolidated Balance Sheets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Transactions</w:t>
      </w:r>
    </w:p>
    <w:p>
      <w:pPr>
        <w:spacing w:after="0" w:line="196" w:lineRule="exact"/>
        <w:rPr>
          <w:sz w:val="20"/>
          <w:szCs w:val="20"/>
          <w:color w:val="auto"/>
        </w:rPr>
      </w:pPr>
    </w:p>
    <w:p>
      <w:pPr>
        <w:ind w:left="200" w:right="299"/>
        <w:spacing w:after="0" w:line="239" w:lineRule="auto"/>
        <w:rPr>
          <w:sz w:val="20"/>
          <w:szCs w:val="20"/>
          <w:color w:val="auto"/>
        </w:rPr>
      </w:pPr>
      <w:r>
        <w:rPr>
          <w:rFonts w:ascii="Arial" w:cs="Arial" w:eastAsia="Arial" w:hAnsi="Arial"/>
          <w:sz w:val="18"/>
          <w:szCs w:val="18"/>
          <w:color w:val="222222"/>
        </w:rPr>
        <w:t xml:space="preserve">During the third and fourth quarter of 2024, </w:t>
      </w:r>
      <w:r>
        <w:rPr>
          <w:rFonts w:ascii="Arial" w:cs="Arial" w:eastAsia="Arial" w:hAnsi="Arial"/>
          <w:sz w:val="18"/>
          <w:szCs w:val="18"/>
          <w:color w:val="000000"/>
        </w:rPr>
        <w:t>we and our parent EchoStar</w:t>
      </w:r>
      <w:r>
        <w:rPr>
          <w:rFonts w:ascii="Arial" w:cs="Arial" w:eastAsia="Arial" w:hAnsi="Arial"/>
          <w:sz w:val="18"/>
          <w:szCs w:val="18"/>
          <w:color w:val="222222"/>
        </w:rPr>
        <w:t xml:space="preserve"> completed several financing transactions, including, but not limited to: (i) our $2.5 billion issuance of New DISH DBS Financing (defined in Note 9), which included $ 2.047 billion of funds used for the redemption of our 5 7/8% Senior Notes due November 15, 2024, (ii) </w:t>
      </w:r>
      <w:r>
        <w:rPr>
          <w:rFonts w:ascii="Arial" w:cs="Arial" w:eastAsia="Arial" w:hAnsi="Arial"/>
          <w:sz w:val="18"/>
          <w:szCs w:val="18"/>
          <w:color w:val="000000"/>
        </w:rPr>
        <w:t>the EchoStar 2024 Intercompany Loan (defined in Note 9) for a borrowing principal</w:t>
      </w:r>
      <w:r>
        <w:rPr>
          <w:rFonts w:ascii="Arial" w:cs="Arial" w:eastAsia="Arial" w:hAnsi="Arial"/>
          <w:sz w:val="18"/>
          <w:szCs w:val="18"/>
          <w:color w:val="222222"/>
        </w:rPr>
        <w:t xml:space="preserve"> </w:t>
      </w:r>
      <w:r>
        <w:rPr>
          <w:rFonts w:ascii="Arial" w:cs="Arial" w:eastAsia="Arial" w:hAnsi="Arial"/>
          <w:sz w:val="18"/>
          <w:szCs w:val="18"/>
          <w:color w:val="000000"/>
        </w:rPr>
        <w:t xml:space="preserve">amount of up to $4.500 billion, of which $1.015 billion is currently outstanding as of December 31, 2024, and our parent, EchoStar’s </w:t>
      </w:r>
      <w:r>
        <w:rPr>
          <w:rFonts w:ascii="Arial" w:cs="Arial" w:eastAsia="Arial" w:hAnsi="Arial"/>
          <w:sz w:val="18"/>
          <w:szCs w:val="18"/>
          <w:color w:val="222222"/>
        </w:rPr>
        <w:t>(i) $5.356 billion issuance of its 10 3/4% Senior Secured Notes due 2029, (ii)</w:t>
      </w:r>
      <w:r>
        <w:rPr>
          <w:rFonts w:ascii="Arial" w:cs="Arial" w:eastAsia="Arial" w:hAnsi="Arial"/>
          <w:sz w:val="18"/>
          <w:szCs w:val="18"/>
          <w:color w:val="000000"/>
        </w:rPr>
        <w:t xml:space="preserve"> </w:t>
      </w:r>
      <w:r>
        <w:rPr>
          <w:rFonts w:ascii="Arial" w:cs="Arial" w:eastAsia="Arial" w:hAnsi="Arial"/>
          <w:sz w:val="18"/>
          <w:szCs w:val="18"/>
          <w:color w:val="222222"/>
        </w:rPr>
        <w:t xml:space="preserve">$30 million issuance of its 3 7/8% Convertible Secured Notes due 2030 and (iii) PIPE Investment for an aggregate cash purchase price of approximately $400 million. </w:t>
      </w:r>
      <w:r>
        <w:rPr>
          <w:rFonts w:ascii="Arial" w:cs="Arial" w:eastAsia="Arial" w:hAnsi="Arial"/>
          <w:sz w:val="18"/>
          <w:szCs w:val="18"/>
          <w:color w:val="000000"/>
        </w:rPr>
        <w:t>For further information on our parent,</w:t>
      </w:r>
      <w:r>
        <w:rPr>
          <w:rFonts w:ascii="Arial" w:cs="Arial" w:eastAsia="Arial" w:hAnsi="Arial"/>
          <w:sz w:val="18"/>
          <w:szCs w:val="18"/>
          <w:color w:val="222222"/>
        </w:rPr>
        <w:t xml:space="preserve"> </w:t>
      </w:r>
      <w:r>
        <w:rPr>
          <w:rFonts w:ascii="Arial" w:cs="Arial" w:eastAsia="Arial" w:hAnsi="Arial"/>
          <w:sz w:val="18"/>
          <w:szCs w:val="18"/>
          <w:color w:val="000000"/>
        </w:rPr>
        <w:t>EchoStar’s, financing transactions refer to EchoStar’s Annual Report on Form 10-K for the year ended December 31, 2024.</w:t>
      </w:r>
    </w:p>
    <w:p>
      <w:pPr>
        <w:spacing w:after="0" w:line="166" w:lineRule="exact"/>
        <w:rPr>
          <w:sz w:val="20"/>
          <w:szCs w:val="20"/>
          <w:color w:val="auto"/>
        </w:rPr>
      </w:pPr>
    </w:p>
    <w:p>
      <w:pPr>
        <w:ind w:left="200" w:right="319"/>
        <w:spacing w:after="0" w:line="244" w:lineRule="auto"/>
        <w:rPr>
          <w:sz w:val="20"/>
          <w:szCs w:val="20"/>
          <w:color w:val="auto"/>
        </w:rPr>
      </w:pPr>
      <w:r>
        <w:rPr>
          <w:rFonts w:ascii="Arial" w:cs="Arial" w:eastAsia="Arial" w:hAnsi="Arial"/>
          <w:sz w:val="18"/>
          <w:szCs w:val="18"/>
          <w:color w:val="222222"/>
        </w:rPr>
        <w:t xml:space="preserve">In addition, </w:t>
      </w:r>
      <w:r>
        <w:rPr>
          <w:rFonts w:ascii="Arial" w:cs="Arial" w:eastAsia="Arial" w:hAnsi="Arial"/>
          <w:sz w:val="18"/>
          <w:szCs w:val="18"/>
          <w:color w:val="000000"/>
        </w:rPr>
        <w:t>as a result of the consummation of the EchoStar Exchange Offers, as detailed and defined in</w:t>
      </w:r>
      <w:r>
        <w:rPr>
          <w:rFonts w:ascii="Arial" w:cs="Arial" w:eastAsia="Arial" w:hAnsi="Arial"/>
          <w:sz w:val="18"/>
          <w:szCs w:val="18"/>
          <w:color w:val="222222"/>
        </w:rPr>
        <w:t xml:space="preserve"> </w:t>
      </w:r>
      <w:r>
        <w:rPr>
          <w:rFonts w:ascii="Arial" w:cs="Arial" w:eastAsia="Arial" w:hAnsi="Arial"/>
          <w:sz w:val="18"/>
          <w:szCs w:val="18"/>
          <w:color w:val="000000"/>
        </w:rPr>
        <w:t xml:space="preserve">Note 9, </w:t>
      </w:r>
      <w:r>
        <w:rPr>
          <w:rFonts w:ascii="Arial" w:cs="Arial" w:eastAsia="Arial" w:hAnsi="Arial"/>
          <w:sz w:val="18"/>
          <w:szCs w:val="18"/>
          <w:color w:val="222222"/>
        </w:rPr>
        <w:t>$1.819 billion aggregate principal amount of our</w:t>
      </w:r>
      <w:r>
        <w:rPr>
          <w:rFonts w:ascii="Arial" w:cs="Arial" w:eastAsia="Arial" w:hAnsi="Arial"/>
          <w:sz w:val="18"/>
          <w:szCs w:val="18"/>
          <w:color w:val="000000"/>
        </w:rPr>
        <w:t xml:space="preserve"> 0% Convertible Notes due 2025 and </w:t>
      </w:r>
      <w:r>
        <w:rPr>
          <w:rFonts w:ascii="Arial" w:cs="Arial" w:eastAsia="Arial" w:hAnsi="Arial"/>
          <w:sz w:val="18"/>
          <w:szCs w:val="18"/>
          <w:color w:val="222222"/>
        </w:rPr>
        <w:t>$2.863 billion</w:t>
      </w:r>
      <w:r>
        <w:rPr>
          <w:rFonts w:ascii="Arial" w:cs="Arial" w:eastAsia="Arial" w:hAnsi="Arial"/>
          <w:sz w:val="18"/>
          <w:szCs w:val="18"/>
          <w:color w:val="000000"/>
        </w:rPr>
        <w:t xml:space="preserve"> </w:t>
      </w:r>
      <w:r>
        <w:rPr>
          <w:rFonts w:ascii="Arial" w:cs="Arial" w:eastAsia="Arial" w:hAnsi="Arial"/>
          <w:sz w:val="18"/>
          <w:szCs w:val="18"/>
          <w:color w:val="222222"/>
        </w:rPr>
        <w:t xml:space="preserve">aggregate principal amount of our </w:t>
      </w:r>
      <w:r>
        <w:rPr>
          <w:rFonts w:ascii="Arial" w:cs="Arial" w:eastAsia="Arial" w:hAnsi="Arial"/>
          <w:sz w:val="18"/>
          <w:szCs w:val="18"/>
          <w:color w:val="000000"/>
        </w:rPr>
        <w:t>3 3/8% Convertible Notes due 2026</w:t>
      </w:r>
      <w:r>
        <w:rPr>
          <w:rFonts w:ascii="Arial" w:cs="Arial" w:eastAsia="Arial" w:hAnsi="Arial"/>
          <w:sz w:val="18"/>
          <w:szCs w:val="18"/>
          <w:color w:val="222222"/>
        </w:rPr>
        <w:t xml:space="preserve"> were cancelled and forgiven by our parent, EchoStar, and </w:t>
      </w:r>
      <w:r>
        <w:rPr>
          <w:rFonts w:ascii="Arial" w:cs="Arial" w:eastAsia="Arial" w:hAnsi="Arial"/>
          <w:sz w:val="18"/>
          <w:szCs w:val="18"/>
          <w:color w:val="000000"/>
        </w:rPr>
        <w:t>recorded in “Additional paid-in capital” on our Consolidated Balance Sheets as of</w:t>
      </w:r>
      <w:r>
        <w:rPr>
          <w:rFonts w:ascii="Arial" w:cs="Arial" w:eastAsia="Arial" w:hAnsi="Arial"/>
          <w:sz w:val="18"/>
          <w:szCs w:val="18"/>
          <w:color w:val="222222"/>
        </w:rPr>
        <w:t xml:space="preserve"> </w:t>
      </w:r>
      <w:r>
        <w:rPr>
          <w:rFonts w:ascii="Arial" w:cs="Arial" w:eastAsia="Arial" w:hAnsi="Arial"/>
          <w:sz w:val="18"/>
          <w:szCs w:val="18"/>
          <w:color w:val="000000"/>
        </w:rPr>
        <w:t>December 31, 2024</w:t>
      </w:r>
      <w:r>
        <w:rPr>
          <w:rFonts w:ascii="Arial" w:cs="Arial" w:eastAsia="Arial" w:hAnsi="Arial"/>
          <w:sz w:val="18"/>
          <w:szCs w:val="18"/>
          <w:color w:val="222222"/>
        </w:rPr>
        <w: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Segments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currently operate two primary business segments: (1) Pay-TV and (2) Wireless. Historically, we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reported three primary business segments: (1) Pay-TV; (2) Retail Wireless and (3) 5G Network Deployment.</w:t>
      </w:r>
    </w:p>
    <w:p>
      <w:pPr>
        <w:ind w:left="200"/>
        <w:spacing w:after="0"/>
        <w:rPr>
          <w:sz w:val="20"/>
          <w:szCs w:val="20"/>
          <w:color w:val="auto"/>
        </w:rPr>
      </w:pPr>
      <w:r>
        <w:rPr>
          <w:rFonts w:ascii="Arial" w:cs="Arial" w:eastAsia="Arial" w:hAnsi="Arial"/>
          <w:sz w:val="18"/>
          <w:szCs w:val="18"/>
          <w:color w:val="auto"/>
        </w:rPr>
        <w:t>See Note 14 for further information.</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Pay-TV</w:t>
      </w:r>
    </w:p>
    <w:p>
      <w:pPr>
        <w:spacing w:after="0" w:line="196" w:lineRule="exact"/>
        <w:rPr>
          <w:sz w:val="20"/>
          <w:szCs w:val="20"/>
          <w:color w:val="auto"/>
        </w:rPr>
      </w:pPr>
    </w:p>
    <w:p>
      <w:pPr>
        <w:ind w:left="200" w:right="319"/>
        <w:spacing w:after="0" w:line="238" w:lineRule="auto"/>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December 31, 2024, we had 7.778 million Pay-TV subscribers in the United States, including 5.686 million DISH TV subscribers and 2.092 million SLING TV subscribers.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Wireless</w:t>
      </w:r>
    </w:p>
    <w:p>
      <w:pPr>
        <w:spacing w:after="0" w:line="196" w:lineRule="exact"/>
        <w:rPr>
          <w:sz w:val="20"/>
          <w:szCs w:val="20"/>
          <w:color w:val="auto"/>
        </w:rPr>
      </w:pPr>
    </w:p>
    <w:p>
      <w:pPr>
        <w:jc w:val="both"/>
        <w:ind w:left="200" w:right="439"/>
        <w:spacing w:after="0" w:line="247" w:lineRule="auto"/>
        <w:rPr>
          <w:sz w:val="20"/>
          <w:szCs w:val="20"/>
          <w:color w:val="auto"/>
        </w:rPr>
      </w:pPr>
      <w:r>
        <w:rPr>
          <w:rFonts w:ascii="Arial" w:cs="Arial" w:eastAsia="Arial" w:hAnsi="Arial"/>
          <w:sz w:val="18"/>
          <w:szCs w:val="18"/>
          <w:color w:val="auto"/>
        </w:rPr>
        <w:t>Our Wireless segment provides wireless communication services (“Wireless” services) and products. We currently offer our Wireless services for 5G voice over new radio (“VoNR”) to over 220 million Americans and for 5G broadband service to over 268 million Americans, as well as a competitive portfolio of wireless devices.</w:t>
      </w:r>
    </w:p>
    <w:p>
      <w:pPr>
        <w:spacing w:after="0" w:line="160" w:lineRule="exact"/>
        <w:rPr>
          <w:sz w:val="20"/>
          <w:szCs w:val="20"/>
          <w:color w:val="auto"/>
        </w:rPr>
      </w:pPr>
    </w:p>
    <w:p>
      <w:pPr>
        <w:ind w:left="200" w:right="279" w:hanging="7"/>
        <w:spacing w:after="0" w:line="247" w:lineRule="auto"/>
        <w:rPr>
          <w:sz w:val="20"/>
          <w:szCs w:val="20"/>
          <w:color w:val="auto"/>
        </w:rPr>
      </w:pPr>
      <w:r>
        <w:rPr>
          <w:rFonts w:ascii="Arial" w:cs="Arial" w:eastAsia="Arial" w:hAnsi="Arial"/>
          <w:sz w:val="18"/>
          <w:szCs w:val="18"/>
          <w:color w:val="auto"/>
        </w:rPr>
        <w:t>We offer nationwide Wireless services to subscribers primarily under our Boost Mobile® and Gen Mobile® brands. Prepaid Wireless subscribers generally pay in advance for monthly access to wireless talk, text and data services. Postpaid Wireless subscribers are qualified to pay after receiving wireless talk, text and data services, and may also qualify for certain device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We are currently operating primarily as a mobile virtual network operator (“MVNO”) as we continue our 5G Network Deployment and commercialize and grow customer traffic on our 5G Network. We are transitioning to a mobile network operator (“MNO”) as our 5G Network, defined below, has become commercially available and we grow customer traffic on our 5G Network. We are currently activating Boost Mobile subscribers with compatible devices onto our 5G Network in markets where we have reached VoNR. We currently offer a broad range of premium wireless devices on our 5G Network, including the Apple iPhone 15 and newer generation iPhones.</w:t>
      </w:r>
    </w:p>
    <w:p>
      <w:pPr>
        <w:spacing w:after="0" w:line="171" w:lineRule="exact"/>
        <w:rPr>
          <w:sz w:val="20"/>
          <w:szCs w:val="20"/>
          <w:color w:val="auto"/>
        </w:rPr>
      </w:pPr>
    </w:p>
    <w:p>
      <w:pPr>
        <w:ind w:left="200" w:right="359"/>
        <w:spacing w:after="0" w:line="247" w:lineRule="auto"/>
        <w:rPr>
          <w:sz w:val="20"/>
          <w:szCs w:val="20"/>
          <w:color w:val="auto"/>
        </w:rPr>
      </w:pPr>
      <w:r>
        <w:rPr>
          <w:rFonts w:ascii="Arial" w:cs="Arial" w:eastAsia="Arial" w:hAnsi="Arial"/>
          <w:sz w:val="18"/>
          <w:szCs w:val="18"/>
          <w:color w:val="auto"/>
        </w:rPr>
        <w:t>We have deployed 5G VoNR covering over 220 million Americans. Within our MVNO operations, today we depend in part on T-Mobile and AT&amp;T to provide us with network services under the amended Master Network Services Agreement (“MNSA”) and Network Services Agreement (the “NSA”), respectively. As of December 31, 2024, we had 6.995 million Wireless subscribers.</w:t>
      </w:r>
    </w:p>
    <w:p>
      <w:pPr>
        <w:spacing w:after="0" w:line="187" w:lineRule="exact"/>
        <w:rPr>
          <w:sz w:val="20"/>
          <w:szCs w:val="20"/>
          <w:color w:val="auto"/>
        </w:rPr>
      </w:pPr>
    </w:p>
    <w:p>
      <w:pPr>
        <w:ind w:left="200" w:right="399"/>
        <w:spacing w:after="0" w:line="269" w:lineRule="auto"/>
        <w:rPr>
          <w:sz w:val="20"/>
          <w:szCs w:val="20"/>
          <w:color w:val="auto"/>
        </w:rPr>
      </w:pPr>
      <w:r>
        <w:rPr>
          <w:rFonts w:ascii="Arial" w:cs="Arial" w:eastAsia="Arial" w:hAnsi="Arial"/>
          <w:sz w:val="18"/>
          <w:szCs w:val="18"/>
          <w:color w:val="auto"/>
        </w:rPr>
        <w:t xml:space="preserve">We initially invested a total of over </w:t>
      </w:r>
      <w:r>
        <w:rPr>
          <w:rFonts w:ascii="Arial" w:cs="Arial" w:eastAsia="Arial" w:hAnsi="Arial"/>
          <w:sz w:val="18"/>
          <w:szCs w:val="18"/>
          <w:color w:val="222222"/>
        </w:rPr>
        <w:t>$30 billion</w:t>
      </w:r>
      <w:r>
        <w:rPr>
          <w:rFonts w:ascii="Arial" w:cs="Arial" w:eastAsia="Arial" w:hAnsi="Arial"/>
          <w:sz w:val="18"/>
          <w:szCs w:val="18"/>
          <w:color w:val="auto"/>
        </w:rPr>
        <w:t xml:space="preserve"> in Wireless spectrum licenses, and a portion of these licenses were included in the Sale and Transfer of Assets to EchoStar. We currently have $24 billion of investments related to Wireless spectrum licenses, which does not include </w:t>
      </w:r>
      <w:r>
        <w:rPr>
          <w:rFonts w:ascii="Arial" w:cs="Arial" w:eastAsia="Arial" w:hAnsi="Arial"/>
          <w:sz w:val="18"/>
          <w:szCs w:val="18"/>
          <w:color w:val="222222"/>
        </w:rPr>
        <w:t>$7 billion</w:t>
      </w:r>
      <w:r>
        <w:rPr>
          <w:rFonts w:ascii="Arial" w:cs="Arial" w:eastAsia="Arial" w:hAnsi="Arial"/>
          <w:sz w:val="18"/>
          <w:szCs w:val="18"/>
          <w:color w:val="auto"/>
        </w:rPr>
        <w:t xml:space="preserve"> of capitalized interest related to the carrying value of such licenses. See Note 1, Note 2 and Note 13 </w:t>
      </w:r>
      <w:r>
        <w:rPr>
          <w:rFonts w:ascii="Arial" w:cs="Arial" w:eastAsia="Arial" w:hAnsi="Arial"/>
          <w:sz w:val="18"/>
          <w:szCs w:val="18"/>
          <w:color w:val="222222"/>
        </w:rPr>
        <w:t>for further information.</w:t>
      </w:r>
      <w:r>
        <w:rPr>
          <w:rFonts w:ascii="Arial" w:cs="Arial" w:eastAsia="Arial" w:hAnsi="Arial"/>
          <w:sz w:val="18"/>
          <w:szCs w:val="18"/>
          <w:color w:val="auto"/>
        </w:rPr>
        <w:t xml:space="preserve"> We continue to commercialize our Wireless spectrum licenses through the completion of the nation’s first cloud-native, Open Radio Access Network (“O-RAN”) based 5G network (our “5G Network Deployment”). We have committed to the FCC to deploy a facilities-based 5G broadband network (our “5G Network”) capable of serving increasingly larger portions of the U.S. population at different deadlines.</w:t>
      </w:r>
    </w:p>
    <w:p>
      <w:pPr>
        <w:spacing w:after="0" w:line="196" w:lineRule="exact"/>
        <w:rPr>
          <w:sz w:val="20"/>
          <w:szCs w:val="20"/>
          <w:color w:val="auto"/>
        </w:rPr>
      </w:pPr>
    </w:p>
    <w:p>
      <w:pPr>
        <w:ind w:left="200" w:right="279"/>
        <w:spacing w:after="0" w:line="242" w:lineRule="auto"/>
        <w:rPr>
          <w:sz w:val="20"/>
          <w:szCs w:val="20"/>
          <w:color w:val="auto"/>
        </w:rPr>
      </w:pPr>
      <w:r>
        <w:rPr>
          <w:rFonts w:ascii="Arial" w:cs="Arial" w:eastAsia="Arial" w:hAnsi="Arial"/>
          <w:sz w:val="18"/>
          <w:szCs w:val="18"/>
          <w:color w:val="auto"/>
        </w:rPr>
        <w:t>We may need to raise additional capital in the future,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13 for further information.</w:t>
      </w:r>
    </w:p>
    <w:p>
      <w:pPr>
        <w:spacing w:after="0" w:line="165" w:lineRule="exact"/>
        <w:rPr>
          <w:sz w:val="20"/>
          <w:szCs w:val="20"/>
          <w:color w:val="auto"/>
        </w:rPr>
      </w:pPr>
    </w:p>
    <w:p>
      <w:pPr>
        <w:ind w:left="200" w:right="299"/>
        <w:spacing w:after="0"/>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On September 29, 2023, the FCC confirmed we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currently have the largest</w:t>
      </w:r>
      <w:r>
        <w:rPr>
          <w:rFonts w:ascii="Arial" w:cs="Arial" w:eastAsia="Arial" w:hAnsi="Arial"/>
          <w:sz w:val="18"/>
          <w:szCs w:val="18"/>
          <w:color w:val="auto"/>
        </w:rPr>
        <w:t xml:space="preserve"> </w:t>
      </w:r>
      <w:r>
        <w:rPr>
          <w:rFonts w:ascii="Arial" w:cs="Arial" w:eastAsia="Arial" w:hAnsi="Arial"/>
          <w:sz w:val="18"/>
          <w:szCs w:val="18"/>
          <w:color w:val="0A0A0A"/>
        </w:rPr>
        <w:t xml:space="preserve">commercial deployment of 5G VoNR in the world covering over </w:t>
      </w:r>
      <w:r>
        <w:rPr>
          <w:rFonts w:ascii="Arial" w:cs="Arial" w:eastAsia="Arial" w:hAnsi="Arial"/>
          <w:sz w:val="18"/>
          <w:szCs w:val="18"/>
          <w:color w:val="000000"/>
        </w:rPr>
        <w:t>220 million Americans</w:t>
      </w:r>
      <w:r>
        <w:rPr>
          <w:rFonts w:ascii="Arial" w:cs="Arial" w:eastAsia="Arial" w:hAnsi="Arial"/>
          <w:sz w:val="18"/>
          <w:szCs w:val="18"/>
          <w:color w:val="0A0A0A"/>
        </w:rPr>
        <w:t xml:space="preserve"> and </w:t>
      </w:r>
      <w:r>
        <w:rPr>
          <w:rFonts w:ascii="Arial" w:cs="Arial" w:eastAsia="Arial" w:hAnsi="Arial"/>
          <w:sz w:val="18"/>
          <w:szCs w:val="18"/>
          <w:color w:val="000000"/>
        </w:rPr>
        <w:t>5G broadband</w:t>
      </w:r>
      <w:r>
        <w:rPr>
          <w:rFonts w:ascii="Arial" w:cs="Arial" w:eastAsia="Arial" w:hAnsi="Arial"/>
          <w:sz w:val="18"/>
          <w:szCs w:val="18"/>
          <w:color w:val="0A0A0A"/>
        </w:rPr>
        <w:t xml:space="preserve"> </w:t>
      </w:r>
      <w:r>
        <w:rPr>
          <w:rFonts w:ascii="Arial" w:cs="Arial" w:eastAsia="Arial" w:hAnsi="Arial"/>
          <w:sz w:val="18"/>
          <w:szCs w:val="18"/>
          <w:color w:val="000000"/>
        </w:rPr>
        <w:t xml:space="preserve">service </w:t>
      </w:r>
      <w:r>
        <w:rPr>
          <w:rFonts w:ascii="Arial" w:cs="Arial" w:eastAsia="Arial" w:hAnsi="Arial"/>
          <w:sz w:val="18"/>
          <w:szCs w:val="18"/>
          <w:color w:val="0A0A0A"/>
        </w:rPr>
        <w:t>covering over</w:t>
      </w:r>
      <w:r>
        <w:rPr>
          <w:rFonts w:ascii="Arial" w:cs="Arial" w:eastAsia="Arial" w:hAnsi="Arial"/>
          <w:sz w:val="18"/>
          <w:szCs w:val="18"/>
          <w:color w:val="000000"/>
        </w:rPr>
        <w:t xml:space="preserve"> 268 million Americans.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-267335</wp:posOffset>
            </wp:positionV>
            <wp:extent cx="11830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1183005" cy="12890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-139065</wp:posOffset>
            </wp:positionV>
            <wp:extent cx="117475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1174750" cy="128905"/>
                    </a:xfrm>
                    <a:prstGeom prst="rect">
                      <a:avLst/>
                    </a:prstGeom>
                    <a:noFill/>
                  </pic:spPr>
                </pic:pic>
              </a:graphicData>
            </a:graphic>
          </wp:anchor>
        </w:drawing>
      </w:r>
    </w:p>
    <w:p>
      <w:pPr>
        <w:spacing w:after="0" w:line="147" w:lineRule="exact"/>
        <w:rPr>
          <w:sz w:val="20"/>
          <w:szCs w:val="20"/>
          <w:color w:val="auto"/>
        </w:rPr>
      </w:pPr>
    </w:p>
    <w:p>
      <w:pPr>
        <w:ind w:left="200" w:right="239"/>
        <w:spacing w:after="0" w:line="239" w:lineRule="auto"/>
        <w:rPr>
          <w:sz w:val="20"/>
          <w:szCs w:val="20"/>
          <w:color w:val="auto"/>
        </w:rPr>
      </w:pPr>
      <w:r>
        <w:rPr>
          <w:rFonts w:ascii="Arial" w:cs="Arial" w:eastAsia="Arial" w:hAnsi="Arial"/>
          <w:sz w:val="18"/>
          <w:szCs w:val="18"/>
          <w:color w:val="0A0A0A"/>
        </w:rPr>
        <w:t xml:space="preserve">In September 2024, the FCC conditionally granted our requests to extend the 5G 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 January 10, 2025 filing to</w:t>
      </w:r>
      <w:r>
        <w:rPr>
          <w:rFonts w:ascii="Arial" w:cs="Arial" w:eastAsia="Arial" w:hAnsi="Arial"/>
          <w:sz w:val="18"/>
          <w:szCs w:val="18"/>
          <w:color w:val="0A0A0A"/>
        </w:rPr>
        <w:t xml:space="preserve"> </w:t>
      </w:r>
      <w:r>
        <w:rPr>
          <w:rFonts w:ascii="Arial" w:cs="Arial" w:eastAsia="Arial" w:hAnsi="Arial"/>
          <w:sz w:val="18"/>
          <w:szCs w:val="18"/>
          <w:color w:val="222222"/>
        </w:rPr>
        <w:t>the 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w:t>
      </w:r>
      <w:r>
        <w:rPr>
          <w:rFonts w:ascii="Arial" w:cs="Arial" w:eastAsia="Arial" w:hAnsi="Arial"/>
          <w:sz w:val="18"/>
          <w:szCs w:val="18"/>
          <w:color w:val="222222"/>
        </w:rPr>
        <w:t xml:space="preserve"> </w:t>
      </w:r>
      <w:r>
        <w:rPr>
          <w:rFonts w:ascii="Arial" w:cs="Arial" w:eastAsia="Arial" w:hAnsi="Arial"/>
          <w:sz w:val="18"/>
          <w:szCs w:val="18"/>
          <w:color w:val="000000"/>
        </w:rPr>
        <w:t xml:space="preserve">December 31, 2024. Thus, pursuant to the Extension 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See Note 13 </w:t>
      </w:r>
      <w:r>
        <w:rPr>
          <w:rFonts w:ascii="Arial" w:cs="Arial" w:eastAsia="Arial" w:hAnsi="Arial"/>
          <w:sz w:val="18"/>
          <w:szCs w:val="18"/>
          <w:color w:val="0A0A0A"/>
        </w:rPr>
        <w:t>for definitions and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1" w:name="page92"/>
    <w:bookmarkEnd w:id="9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20" w:right="259" w:hanging="7"/>
        <w:spacing w:after="0" w:line="238" w:lineRule="auto"/>
        <w:rPr>
          <w:sz w:val="20"/>
          <w:szCs w:val="20"/>
          <w:color w:val="auto"/>
        </w:rPr>
      </w:pPr>
      <w:r>
        <w:rPr>
          <w:rFonts w:ascii="Arial" w:cs="Arial" w:eastAsia="Arial" w:hAnsi="Arial"/>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186" w:lineRule="exact"/>
        <w:rPr>
          <w:sz w:val="20"/>
          <w:szCs w:val="20"/>
          <w:color w:val="auto"/>
        </w:rPr>
      </w:pPr>
    </w:p>
    <w:p>
      <w:pPr>
        <w:ind w:left="600" w:hanging="391"/>
        <w:spacing w:after="0"/>
        <w:tabs>
          <w:tab w:leader="none" w:pos="6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96" w:lineRule="exact"/>
        <w:rPr>
          <w:sz w:val="20"/>
          <w:szCs w:val="20"/>
          <w:color w:val="auto"/>
        </w:rPr>
      </w:pPr>
    </w:p>
    <w:p>
      <w:pPr>
        <w:ind w:left="200" w:right="219"/>
        <w:spacing w:after="0" w:line="237" w:lineRule="auto"/>
        <w:rPr>
          <w:sz w:val="20"/>
          <w:szCs w:val="20"/>
          <w:color w:val="auto"/>
        </w:rPr>
      </w:pPr>
      <w:r>
        <w:rPr>
          <w:rFonts w:ascii="Arial" w:cs="Arial" w:eastAsia="Arial" w:hAnsi="Arial"/>
          <w:sz w:val="18"/>
          <w:szCs w:val="18"/>
          <w:color w:val="auto"/>
        </w:rPr>
        <w:t>The accompanying consolidated financial statements include all balances and results of operations of DISH Network and our consolidated subsidiaries and are prepared in conformity with U.S. generally accepted accounting principles (“GAAP”). We consolidate all majority owned subsidiaries, investments in entities in which we have controlling influence and VIEs where we have been determined to be the primary beneficiary. Minority interests 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Consolidated Statements of Operations and Comprehensive Income (Loss). All significant intercompany accounts and transactions have been eliminated in consolidation. Certain prior period amounts have been reclassified to conform to the current period presentation.</w:t>
      </w:r>
    </w:p>
    <w:p>
      <w:pPr>
        <w:spacing w:after="0" w:line="176" w:lineRule="exact"/>
        <w:rPr>
          <w:sz w:val="20"/>
          <w:szCs w:val="20"/>
          <w:color w:val="auto"/>
        </w:rPr>
      </w:pPr>
    </w:p>
    <w:p>
      <w:pPr>
        <w:ind w:left="200" w:right="239"/>
        <w:spacing w:after="0" w:line="238"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Historically, as we built-out our 5G Network, certain direct costs related to our 5G</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Deployment, including lease expense on communication towers, transport, cloud services and other costs, were presented within “Cost of sales – equipment and other” on our Consolidated Statements of Operations and Comprehensive Income (Loss) as our 5G Network service had not commenced. As a significant portion of our 5G Network has been placed into service, such amounts now represent costs of operating our 5G Network and are, beginning on January 1, 2024, presented within the “Cost of services” on our Consolidated Statements of Operations and Comprehensive Income (Loss). The change has no impact on net income. For the years ended December 31, 2023 and 2022, the direct costs related to our 5G Network Deployment included within the “Cost of sales – equipment and other” on our Consolidated Statements of Operations and Comprehensive Income (Loss) were $977 million and $522 million, respectively.</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69" w:lineRule="exact"/>
        <w:rPr>
          <w:sz w:val="20"/>
          <w:szCs w:val="20"/>
          <w:color w:val="auto"/>
        </w:rPr>
      </w:pPr>
    </w:p>
    <w:p>
      <w:pPr>
        <w:ind w:left="200" w:right="879"/>
        <w:spacing w:after="0" w:line="259" w:lineRule="auto"/>
        <w:rPr>
          <w:sz w:val="20"/>
          <w:szCs w:val="20"/>
          <w:color w:val="auto"/>
        </w:rPr>
      </w:pPr>
      <w:r>
        <w:rPr>
          <w:rFonts w:ascii="Arial" w:cs="Arial" w:eastAsia="Arial" w:hAnsi="Arial"/>
          <w:sz w:val="17"/>
          <w:szCs w:val="17"/>
          <w:i w:val="1"/>
          <w:iCs w:val="1"/>
          <w:color w:val="auto"/>
        </w:rPr>
        <w:t>Northstar Wireless</w:t>
      </w:r>
      <w:r>
        <w:rPr>
          <w:rFonts w:ascii="Arial" w:cs="Arial" w:eastAsia="Arial" w:hAnsi="Arial"/>
          <w:sz w:val="17"/>
          <w:szCs w:val="17"/>
          <w:color w:val="auto"/>
        </w:rPr>
        <w:t>. Northstar Wireless, L.L.C. (“Northstar Wireless”) is a wholly-owned subsidiary of</w:t>
      </w:r>
      <w:r>
        <w:rPr>
          <w:rFonts w:ascii="Arial" w:cs="Arial" w:eastAsia="Arial" w:hAnsi="Arial"/>
          <w:sz w:val="17"/>
          <w:szCs w:val="17"/>
          <w:i w:val="1"/>
          <w:iCs w:val="1"/>
          <w:color w:val="auto"/>
        </w:rPr>
        <w:t xml:space="preserve"> </w:t>
      </w:r>
      <w:r>
        <w:rPr>
          <w:rFonts w:ascii="Arial" w:cs="Arial" w:eastAsia="Arial" w:hAnsi="Arial"/>
          <w:sz w:val="17"/>
          <w:szCs w:val="17"/>
          <w:color w:val="auto"/>
        </w:rPr>
        <w:t>Northstar Spectrum, LLC (“Northstar Spectrum”), which is an entity wholly-owned by us and, prior to</w:t>
      </w:r>
    </w:p>
    <w:p>
      <w:pPr>
        <w:spacing w:after="0" w:line="1" w:lineRule="exact"/>
        <w:rPr>
          <w:sz w:val="20"/>
          <w:szCs w:val="20"/>
          <w:color w:val="auto"/>
        </w:rPr>
      </w:pPr>
    </w:p>
    <w:p>
      <w:pPr>
        <w:ind w:left="200" w:right="559"/>
        <w:spacing w:after="0" w:line="226" w:lineRule="auto"/>
        <w:rPr>
          <w:sz w:val="20"/>
          <w:szCs w:val="20"/>
          <w:color w:val="auto"/>
        </w:rPr>
      </w:pPr>
      <w:r>
        <w:rPr>
          <w:rFonts w:ascii="Arial" w:cs="Arial" w:eastAsia="Arial" w:hAnsi="Arial"/>
          <w:sz w:val="18"/>
          <w:szCs w:val="18"/>
          <w:color w:val="auto"/>
        </w:rPr>
        <w:t>October 12, 2023, by us and Northstar Manager, LLC (“NorthStar Manager”). On October 12, 2023, the FCC consented to the sale of Northstar Manager’s ownership interests in Northstar Spectrum, which we</w:t>
      </w:r>
    </w:p>
    <w:p>
      <w:pPr>
        <w:ind w:left="200"/>
        <w:spacing w:after="0" w:line="236" w:lineRule="auto"/>
        <w:rPr>
          <w:sz w:val="20"/>
          <w:szCs w:val="20"/>
          <w:color w:val="auto"/>
        </w:rPr>
      </w:pPr>
      <w:r>
        <w:rPr>
          <w:rFonts w:ascii="Arial" w:cs="Arial" w:eastAsia="Arial" w:hAnsi="Arial"/>
          <w:sz w:val="18"/>
          <w:szCs w:val="18"/>
          <w:color w:val="auto"/>
        </w:rPr>
        <w:t>purchased for a total of approximately $109 million. This purchase resulted in the elimination of all of our</w:t>
      </w:r>
    </w:p>
    <w:p>
      <w:pPr>
        <w:spacing w:after="0" w:line="1" w:lineRule="exact"/>
        <w:rPr>
          <w:sz w:val="20"/>
          <w:szCs w:val="20"/>
          <w:color w:val="auto"/>
        </w:rPr>
      </w:pPr>
    </w:p>
    <w:p>
      <w:pPr>
        <w:ind w:left="200" w:right="699"/>
        <w:spacing w:after="0" w:line="237" w:lineRule="auto"/>
        <w:rPr>
          <w:sz w:val="20"/>
          <w:szCs w:val="20"/>
          <w:color w:val="auto"/>
        </w:rPr>
      </w:pPr>
      <w:r>
        <w:rPr>
          <w:rFonts w:ascii="Arial" w:cs="Arial" w:eastAsia="Arial" w:hAnsi="Arial"/>
          <w:sz w:val="18"/>
          <w:szCs w:val="18"/>
          <w:color w:val="auto"/>
        </w:rPr>
        <w:t>redeemable noncontrolling interest as it related to Northstar Spectrum as of the purchase date and we continue to consolidate the Northstar Entities as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279"/>
        <w:spacing w:after="0" w:line="239" w:lineRule="auto"/>
        <w:rPr>
          <w:sz w:val="20"/>
          <w:szCs w:val="20"/>
          <w:color w:val="auto"/>
        </w:rPr>
      </w:pPr>
      <w:r>
        <w:rPr>
          <w:rFonts w:ascii="Arial" w:cs="Arial" w:eastAsia="Arial" w:hAnsi="Arial"/>
          <w:sz w:val="18"/>
          <w:szCs w:val="18"/>
          <w:i w:val="1"/>
          <w:iCs w:val="1"/>
          <w:color w:val="auto"/>
        </w:rPr>
        <w:t>SNR Wireless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SNR Wireless LicenseCo, LLC (“SNR Wireless”) is a wholly-owned subsidiary of SNR</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HoldCo, LLC (“SNR HoldCo”), which is an entity owned by us and our parent’s direct wholly-owned subsidiary, EchoStar SNR Holdco L.L.C. and, prior to February 16, 2024, by us and SNR Wireless Management, LLC (“SNR Management”). On February 16, 2024, the FCC consented to the sale of SNR Management’s ownership interests in SNR HoldCo, which was purchased by EchoStar SNR HoldCo L.L.C. for a total of approximately $442 million. This purchase resulted in the conversion of our outstanding redeemable noncontrolling interest as it relates to SNR HoldCo to noncontrolling interest, which is now held by our parent, EchoStar, as of the purchase date and we continue to consolidate the SNR Entities into our financial statements.</w:t>
      </w:r>
    </w:p>
    <w:p>
      <w:pPr>
        <w:spacing w:after="0" w:line="170" w:lineRule="exact"/>
        <w:rPr>
          <w:sz w:val="20"/>
          <w:szCs w:val="20"/>
          <w:color w:val="auto"/>
        </w:rPr>
      </w:pPr>
    </w:p>
    <w:p>
      <w:pPr>
        <w:ind w:left="200" w:right="559"/>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including embedded derivatives, fair value of options granted under EchoStar’s stock-based compensation plans, fair value of assets and liabilities acquired in business combinations,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estimates of the timing of future cash flows used to pay principal on certain debt obligations, estimated credit risk underlying installment receivables, nonrefundable upfront fees, independent third-party retailer incentives, programming expenses, subscriber lives and likelihood of certain contingent events. Economic conditions may increase the inherent uncertainty in the estimates and assumptions indicated above. Actual results may differ from previously estimated amounts, and such differences may be material to our consolidated financial statements. Estimates and assumptions are reviewed periodically, and the effects of revisions are reflected prospectively in the period they occur.</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6" w:lineRule="exact"/>
        <w:rPr>
          <w:sz w:val="20"/>
          <w:szCs w:val="20"/>
          <w:color w:val="auto"/>
        </w:rPr>
      </w:pPr>
    </w:p>
    <w:p>
      <w:pPr>
        <w:jc w:val="both"/>
        <w:ind w:left="200" w:right="519"/>
        <w:spacing w:after="0" w:line="247" w:lineRule="auto"/>
        <w:rPr>
          <w:sz w:val="20"/>
          <w:szCs w:val="20"/>
          <w:color w:val="auto"/>
        </w:rPr>
      </w:pPr>
      <w:r>
        <w:rPr>
          <w:rFonts w:ascii="Arial" w:cs="Arial" w:eastAsia="Arial" w:hAnsi="Arial"/>
          <w:sz w:val="18"/>
          <w:szCs w:val="18"/>
          <w:color w:val="auto"/>
        </w:rPr>
        <w:t>We consider all liquid investments purchased with a remaining maturity of 90 days or less at the date of acquisition to be cash equivalents. Cash equivalents as of December 31, 2024 and 2023 may consist of money market funds, government bonds, corporate notes and commercial paper. The amortized cost of these investments approximates their fair value.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6" w:lineRule="exact"/>
        <w:rPr>
          <w:sz w:val="20"/>
          <w:szCs w:val="20"/>
          <w:color w:val="auto"/>
        </w:rPr>
      </w:pPr>
    </w:p>
    <w:p>
      <w:pPr>
        <w:ind w:left="200" w:right="219"/>
        <w:spacing w:after="0" w:line="242" w:lineRule="auto"/>
        <w:rPr>
          <w:sz w:val="20"/>
          <w:szCs w:val="20"/>
          <w:color w:val="auto"/>
        </w:rPr>
      </w:pPr>
      <w:r>
        <w:rPr>
          <w:rFonts w:ascii="Arial" w:cs="Arial" w:eastAsia="Arial" w:hAnsi="Arial"/>
          <w:sz w:val="18"/>
          <w:szCs w:val="18"/>
          <w:color w:val="auto"/>
        </w:rPr>
        <w:t>Cash and cash equivalents are maintained with several financial institutions domestically and internationally. Deposits held with banks may exceed the amount of insurance provided on such deposits. Generally, these deposits may be redeemed upon demand and are maintained with financial institutions with investment-grade credit ratings. We routinely assess the financial strength of significant customers, and this assessment, combined with the large number and geographical diversity of its customers, limits our concentration of risk with respect to receivables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3" w:name="page94"/>
    <w:bookmarkEnd w:id="9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96" w:lineRule="exact"/>
        <w:rPr>
          <w:sz w:val="20"/>
          <w:szCs w:val="20"/>
          <w:color w:val="auto"/>
        </w:rPr>
      </w:pPr>
    </w:p>
    <w:p>
      <w:pPr>
        <w:jc w:val="both"/>
        <w:ind w:left="200" w:right="679"/>
        <w:spacing w:after="0" w:line="253" w:lineRule="auto"/>
        <w:rPr>
          <w:sz w:val="20"/>
          <w:szCs w:val="20"/>
          <w:color w:val="auto"/>
        </w:rPr>
      </w:pPr>
      <w:r>
        <w:rPr>
          <w:rFonts w:ascii="Arial" w:cs="Arial" w:eastAsia="Arial" w:hAnsi="Arial"/>
          <w:sz w:val="18"/>
          <w:szCs w:val="18"/>
          <w:color w:val="auto"/>
        </w:rPr>
        <w:t>All equity securities are carried at fair value, with changes in fair value recognized in “Other, net” within “Other Income (Expense)” on our Consolidated Statements of Operations and Comprehensive Income (Loss).</w:t>
      </w:r>
    </w:p>
    <w:p>
      <w:pPr>
        <w:spacing w:after="0" w:line="155" w:lineRule="exact"/>
        <w:rPr>
          <w:sz w:val="20"/>
          <w:szCs w:val="20"/>
          <w:color w:val="auto"/>
        </w:rPr>
      </w:pPr>
    </w:p>
    <w:p>
      <w:pPr>
        <w:ind w:left="200" w:right="339"/>
        <w:spacing w:after="0"/>
        <w:rPr>
          <w:sz w:val="20"/>
          <w:szCs w:val="20"/>
          <w:color w:val="auto"/>
        </w:rPr>
      </w:pPr>
      <w:r>
        <w:rPr>
          <w:rFonts w:ascii="Arial" w:cs="Arial" w:eastAsia="Arial" w:hAnsi="Arial"/>
          <w:sz w:val="18"/>
          <w:szCs w:val="18"/>
          <w:color w:val="auto"/>
        </w:rPr>
        <w:t>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changes in the fair value of marketable debt securities, which are determined to be company specific credit losses are recorded in “Other, net” within “Other Income (Expense)” on our Consolidated Statements of Operations and Comprehensive Income (Loss).</w:t>
      </w:r>
    </w:p>
    <w:p>
      <w:pPr>
        <w:spacing w:after="0" w:line="171" w:lineRule="exact"/>
        <w:rPr>
          <w:sz w:val="20"/>
          <w:szCs w:val="20"/>
          <w:color w:val="auto"/>
        </w:rPr>
      </w:pPr>
    </w:p>
    <w:p>
      <w:pPr>
        <w:ind w:left="200" w:right="279"/>
        <w:spacing w:after="0" w:line="244" w:lineRule="auto"/>
        <w:rPr>
          <w:sz w:val="20"/>
          <w:szCs w:val="20"/>
          <w:color w:val="auto"/>
        </w:rPr>
      </w:pPr>
      <w:r>
        <w:rPr>
          <w:rFonts w:ascii="Arial" w:cs="Arial" w:eastAsia="Arial" w:hAnsi="Arial"/>
          <w:sz w:val="18"/>
          <w:szCs w:val="18"/>
          <w:color w:val="auto"/>
        </w:rPr>
        <w:t>We evaluate our debt investment portfolio to determine whether declines in the fair value of these securities are related to credit loss. Management estimates credit losses on marketable debt securities utilizing a credit loss impairment model on a quarterly basis. We estimate the expected credit losses, measured over the contractual life of marketable debt securities considering relevant issuer specific factors, including, but not limited to, a decrease in credit ratings or an entity’s ability to pay.</w:t>
      </w:r>
    </w:p>
    <w:p>
      <w:pPr>
        <w:spacing w:after="0" w:line="165" w:lineRule="exact"/>
        <w:rPr>
          <w:sz w:val="20"/>
          <w:szCs w:val="20"/>
          <w:color w:val="auto"/>
        </w:rPr>
      </w:pPr>
    </w:p>
    <w:p>
      <w:pPr>
        <w:ind w:left="200" w:right="4239"/>
        <w:spacing w:after="0" w:line="468" w:lineRule="auto"/>
        <w:rPr>
          <w:sz w:val="20"/>
          <w:szCs w:val="20"/>
          <w:color w:val="auto"/>
        </w:rPr>
      </w:pPr>
      <w:r>
        <w:rPr>
          <w:rFonts w:ascii="Arial" w:cs="Arial" w:eastAsia="Arial" w:hAnsi="Arial"/>
          <w:sz w:val="18"/>
          <w:szCs w:val="18"/>
          <w:b w:val="1"/>
          <w:bCs w:val="1"/>
          <w:i w:val="1"/>
          <w:iCs w:val="1"/>
          <w:color w:val="auto"/>
        </w:rPr>
        <w:t xml:space="preserve">Receivables and Related Allowance for Credit Losses </w:t>
      </w:r>
      <w:r>
        <w:rPr>
          <w:rFonts w:ascii="Arial" w:cs="Arial" w:eastAsia="Arial" w:hAnsi="Arial"/>
          <w:sz w:val="18"/>
          <w:szCs w:val="18"/>
          <w:i w:val="1"/>
          <w:iCs w:val="1"/>
          <w:color w:val="auto"/>
        </w:rPr>
        <w:t>General Accounts Receivable</w:t>
      </w:r>
    </w:p>
    <w:p>
      <w:pPr>
        <w:spacing w:after="0" w:line="1"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color w:val="auto"/>
        </w:rPr>
        <w:t>Trade accounts receivable represent our unconditional rights to consideration arising from our performance under our customer contracts and are recorded at cost less an allowance for expected credit losses that are not expected to be recovered. We maintain allowances for credit losses resulting from the expected failure or inability of our customers to make required payments. We recognize the allowance for expected credit losses at inception and reassess quarterly based on management’s expectation of the asset’s collectability. Management estimates credit losses on financial assets, including our trade accounts receivable, utilizing a current expected credit loss impairment model. We estimate the expected credit losses, measured over the contractual life of an asset considering relevant historical loss information, credit quality of the customer base, current economic conditions and forecasts of future economic conditions.</w:t>
      </w:r>
    </w:p>
    <w:p>
      <w:pPr>
        <w:spacing w:after="0" w:line="170" w:lineRule="exact"/>
        <w:rPr>
          <w:sz w:val="20"/>
          <w:szCs w:val="20"/>
          <w:color w:val="auto"/>
        </w:rPr>
      </w:pPr>
    </w:p>
    <w:p>
      <w:pPr>
        <w:ind w:left="200" w:right="279"/>
        <w:spacing w:after="0" w:line="239" w:lineRule="auto"/>
        <w:rPr>
          <w:sz w:val="20"/>
          <w:szCs w:val="20"/>
          <w:color w:val="auto"/>
        </w:rPr>
      </w:pPr>
      <w:r>
        <w:rPr>
          <w:rFonts w:ascii="Arial" w:cs="Arial" w:eastAsia="Arial" w:hAnsi="Arial"/>
          <w:sz w:val="18"/>
          <w:szCs w:val="18"/>
          <w:color w:val="auto"/>
        </w:rPr>
        <w:t>In determining the allowance for credit losses, management groups similar types of financial assets with consistent risk characteristics. Pools identified by management include, but are not limited to residential customers, commercial customers, enterprise customers, and advertising services. The risk characteristics of the financial asset portfolios are monitored by management and reviewed periodically. The forecasts for future economic conditions are based on several factors including, but not limited to, changes in the unemployment rate, external economic forecasts and current collection rates. Our estimates of the allowance for credit losses may not be indicative of our actual credit losses requiring additional charges to be incurred to reflect the actual amount collected. Past due trade accounts receivable balances are written off against our allowance for credit losses when our internal collection efforts have been unsuccessful.</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Installment Receivables</w:t>
      </w:r>
    </w:p>
    <w:p>
      <w:pPr>
        <w:spacing w:after="0" w:line="196" w:lineRule="exact"/>
        <w:rPr>
          <w:sz w:val="20"/>
          <w:szCs w:val="20"/>
          <w:color w:val="auto"/>
        </w:rPr>
      </w:pPr>
    </w:p>
    <w:p>
      <w:pPr>
        <w:ind w:left="200" w:right="239"/>
        <w:spacing w:after="0" w:line="244" w:lineRule="auto"/>
        <w:rPr>
          <w:sz w:val="20"/>
          <w:szCs w:val="20"/>
          <w:color w:val="auto"/>
        </w:rPr>
      </w:pPr>
      <w:r>
        <w:rPr>
          <w:rFonts w:ascii="Arial" w:cs="Arial" w:eastAsia="Arial" w:hAnsi="Arial"/>
          <w:sz w:val="18"/>
          <w:szCs w:val="18"/>
          <w:color w:val="auto"/>
        </w:rPr>
        <w:t>We offer Boost Mobile postpaid customers the option to pay for their devices and other equipment in installments, generally over a period of 36 months. Installment receivables are presented on our Consolidated Balance Sheets at their amortized cost basis (i.e., the receivables’ unpaid balance as adjusted for any written-off amounts due to impairment and unamortized discounts), net of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4" w:name="page95"/>
    <w:bookmarkEnd w:id="9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219"/>
        <w:spacing w:after="0"/>
        <w:rPr>
          <w:sz w:val="20"/>
          <w:szCs w:val="20"/>
          <w:color w:val="auto"/>
        </w:rPr>
      </w:pPr>
      <w:r>
        <w:rPr>
          <w:rFonts w:ascii="Arial" w:cs="Arial" w:eastAsia="Arial" w:hAnsi="Arial"/>
          <w:sz w:val="18"/>
          <w:szCs w:val="18"/>
          <w:color w:val="auto"/>
        </w:rPr>
        <w:t>At the time of an installment sale, we impute a discount for interest if the term exceeds 12 months as there is no stated rate of interest on the receivables. The receivables are recorded at their present value, which is determined by discounting expected future cash payments at the imputed interest rate. The current portion of installment receivables is included in “Trade accounts receivable, net” and the long-term portion of installment receivables is included in “Other noncurrent assets, net” on our Consolidated Balance Sheets. This adjustment results in a discount or reduction in the transaction price of the contract with a customer, which is allocated to the performance obligations of the arrangement included in “Service revenue” on our Consolidated Statements of Operations and Comprehensive Income (Loss).</w:t>
      </w:r>
    </w:p>
    <w:p>
      <w:pPr>
        <w:spacing w:after="0" w:line="167" w:lineRule="exact"/>
        <w:rPr>
          <w:sz w:val="20"/>
          <w:szCs w:val="20"/>
          <w:color w:val="auto"/>
        </w:rPr>
      </w:pPr>
    </w:p>
    <w:p>
      <w:pPr>
        <w:ind w:left="200" w:right="399"/>
        <w:spacing w:after="0" w:line="242" w:lineRule="auto"/>
        <w:rPr>
          <w:sz w:val="20"/>
          <w:szCs w:val="20"/>
          <w:color w:val="auto"/>
        </w:rPr>
      </w:pPr>
      <w:r>
        <w:rPr>
          <w:rFonts w:ascii="Arial" w:cs="Arial" w:eastAsia="Arial" w:hAnsi="Arial"/>
          <w:sz w:val="18"/>
          <w:szCs w:val="18"/>
          <w:color w:val="auto"/>
        </w:rPr>
        <w:t>The imputed discount rate reflects a current market interest rate and is predominately comprised of the estimated credit risk underlying the installment receivable, reflecting the estimated credit worthiness of the customer. The imputed discount on receivables is amortized over the financed installment term using the effective interest method and recognized in “Service revenue” on our Consolidated Statements of Operations and Comprehensive Income (Loss) to the extent the financing component is not deemed significant.</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Inventory</w:t>
      </w:r>
    </w:p>
    <w:p>
      <w:pPr>
        <w:spacing w:after="0" w:line="196" w:lineRule="exact"/>
        <w:rPr>
          <w:sz w:val="20"/>
          <w:szCs w:val="20"/>
          <w:color w:val="auto"/>
        </w:rPr>
      </w:pPr>
    </w:p>
    <w:p>
      <w:pPr>
        <w:ind w:left="200" w:right="219"/>
        <w:spacing w:after="0"/>
        <w:rPr>
          <w:sz w:val="20"/>
          <w:szCs w:val="20"/>
          <w:color w:val="auto"/>
        </w:rPr>
      </w:pPr>
      <w:r>
        <w:rPr>
          <w:rFonts w:ascii="Arial" w:cs="Arial" w:eastAsia="Arial" w:hAnsi="Arial"/>
          <w:sz w:val="18"/>
          <w:szCs w:val="18"/>
          <w:color w:val="auto"/>
        </w:rPr>
        <w:t>Inventory is stated at the lower of cost or net realizable value. Cost is determined using the first-in, first-out method. The cost of manufactured inventory includes the cost of materials, labor, freight-in, royalties and manufacturing overhead. Net realizable value is calculated as the estimated selling price less reasonable costs necessary to complete, sell, transport and dispose of the inventory. We record write downs for inventory for obsolete and slow moving items based on trends and experience. We enter into arrangements with distributors where physical delivery of a product to a distributor has occurred, but we maintain control of the product until such time it is sold to an end consumer. For these arrangements, we account for the products as consigned inventory.</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6"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Property and equipment, including capitalized expenditures related to our wireless projects, 5G Network Deployment and satellites, are stated at cost less depreciation and impairment losses, if any. Capitalized expenditures include the cost of long-lived assets, plus the cost to construct the asset such as labor and overhead directly benefiting the asset. Interest is capitalized when pre-construction activity commences and ends once the asset is ready for its intended purpose. Our equipment leased to customers is generally capitalized when they are installed in customers’ homes. We have certain assets acquired under finance leases. The recorded costs of those assets are the present values of all lease payments. We amortize our finance lease right of use (“ROU”) assets over their respective lease terms.</w:t>
      </w:r>
    </w:p>
    <w:p>
      <w:pPr>
        <w:spacing w:after="0" w:line="153" w:lineRule="exact"/>
        <w:rPr>
          <w:sz w:val="20"/>
          <w:szCs w:val="20"/>
          <w:color w:val="auto"/>
        </w:rPr>
      </w:pPr>
    </w:p>
    <w:p>
      <w:pPr>
        <w:ind w:left="200" w:right="579"/>
        <w:spacing w:after="0" w:line="237" w:lineRule="auto"/>
        <w:rPr>
          <w:sz w:val="20"/>
          <w:szCs w:val="20"/>
          <w:color w:val="auto"/>
        </w:rPr>
      </w:pPr>
      <w:r>
        <w:rPr>
          <w:rFonts w:ascii="Arial" w:cs="Arial" w:eastAsia="Arial" w:hAnsi="Arial"/>
          <w:sz w:val="18"/>
          <w:szCs w:val="18"/>
          <w:color w:val="auto"/>
        </w:rPr>
        <w:t>If a satellite were to fail while in-orbit, the resultant loss would be charged to expense in the period such loss was incurred. The amount of any such loss would be reduced to the extent of insurance proceeds</w:t>
      </w:r>
    </w:p>
    <w:p>
      <w:pPr>
        <w:ind w:left="200"/>
        <w:spacing w:after="0" w:line="235" w:lineRule="auto"/>
        <w:rPr>
          <w:sz w:val="20"/>
          <w:szCs w:val="20"/>
          <w:color w:val="auto"/>
        </w:rPr>
      </w:pPr>
      <w:r>
        <w:rPr>
          <w:rFonts w:ascii="Arial" w:cs="Arial" w:eastAsia="Arial" w:hAnsi="Arial"/>
          <w:sz w:val="18"/>
          <w:szCs w:val="18"/>
          <w:color w:val="auto"/>
        </w:rPr>
        <w:t>estimated to be received, if any. Depreciation is recorded on a straight-line basis over useful lives ranging</w:t>
      </w:r>
    </w:p>
    <w:p>
      <w:pPr>
        <w:spacing w:after="0" w:line="1" w:lineRule="exact"/>
        <w:rPr>
          <w:sz w:val="20"/>
          <w:szCs w:val="20"/>
          <w:color w:val="auto"/>
        </w:rPr>
      </w:pPr>
    </w:p>
    <w:p>
      <w:pPr>
        <w:ind w:left="200" w:right="539"/>
        <w:spacing w:after="0" w:line="237" w:lineRule="auto"/>
        <w:rPr>
          <w:sz w:val="20"/>
          <w:szCs w:val="20"/>
          <w:color w:val="auto"/>
        </w:rPr>
      </w:pPr>
      <w:r>
        <w:rPr>
          <w:rFonts w:ascii="Arial" w:cs="Arial" w:eastAsia="Arial" w:hAnsi="Arial"/>
          <w:sz w:val="18"/>
          <w:szCs w:val="18"/>
          <w:color w:val="auto"/>
        </w:rPr>
        <w:t>from two to 40 years. Repair and maintenance costs are charged to expense when incurred. Renewals and improvements that add value or extend the asset’s useful life are capitalized.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Internal Use Software</w:t>
      </w:r>
    </w:p>
    <w:p>
      <w:pPr>
        <w:spacing w:after="0" w:line="183" w:lineRule="exact"/>
        <w:rPr>
          <w:sz w:val="20"/>
          <w:szCs w:val="20"/>
          <w:color w:val="auto"/>
        </w:rPr>
      </w:pPr>
    </w:p>
    <w:p>
      <w:pPr>
        <w:ind w:left="200" w:right="839"/>
        <w:spacing w:after="0" w:line="237" w:lineRule="auto"/>
        <w:rPr>
          <w:sz w:val="20"/>
          <w:szCs w:val="20"/>
          <w:color w:val="auto"/>
        </w:rPr>
      </w:pPr>
      <w:r>
        <w:rPr>
          <w:rFonts w:ascii="Arial" w:cs="Arial" w:eastAsia="Arial" w:hAnsi="Arial"/>
          <w:sz w:val="18"/>
          <w:szCs w:val="18"/>
          <w:color w:val="auto"/>
        </w:rPr>
        <w:t>We capitalize certain costs related to developing or acquiring internal use software. Capitalization of software costs begins once the preliminary project stage is completed and we commit to funding the</w:t>
      </w:r>
    </w:p>
    <w:p>
      <w:pPr>
        <w:ind w:left="200"/>
        <w:spacing w:after="0" w:line="235" w:lineRule="auto"/>
        <w:rPr>
          <w:sz w:val="20"/>
          <w:szCs w:val="20"/>
          <w:color w:val="auto"/>
        </w:rPr>
      </w:pPr>
      <w:r>
        <w:rPr>
          <w:rFonts w:ascii="Arial" w:cs="Arial" w:eastAsia="Arial" w:hAnsi="Arial"/>
          <w:sz w:val="18"/>
          <w:szCs w:val="18"/>
          <w:color w:val="auto"/>
        </w:rPr>
        <w:t>software project. Capitalizing ceases when the software project is ready for its intended use. Capitalized</w:t>
      </w:r>
    </w:p>
    <w:p>
      <w:pPr>
        <w:spacing w:after="0" w:line="1" w:lineRule="exact"/>
        <w:rPr>
          <w:sz w:val="20"/>
          <w:szCs w:val="20"/>
          <w:color w:val="auto"/>
        </w:rPr>
      </w:pPr>
    </w:p>
    <w:p>
      <w:pPr>
        <w:ind w:left="200" w:right="319"/>
        <w:spacing w:after="0" w:line="226" w:lineRule="auto"/>
        <w:rPr>
          <w:sz w:val="20"/>
          <w:szCs w:val="20"/>
          <w:color w:val="auto"/>
        </w:rPr>
      </w:pPr>
      <w:r>
        <w:rPr>
          <w:rFonts w:ascii="Arial" w:cs="Arial" w:eastAsia="Arial" w:hAnsi="Arial"/>
          <w:sz w:val="18"/>
          <w:szCs w:val="18"/>
          <w:color w:val="auto"/>
        </w:rPr>
        <w:t>software costs are recorded in “Property and equipment, net” on our Consolidated Balance Sheets and are amortized over the estimated useful life of the software. Costs incurred during the preliminary project stage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costs associated with training and maintenance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5" w:name="page96"/>
    <w:bookmarkEnd w:id="9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Asset Retirement Obligation</w:t>
      </w:r>
    </w:p>
    <w:p>
      <w:pPr>
        <w:spacing w:after="0" w:line="196" w:lineRule="exact"/>
        <w:rPr>
          <w:sz w:val="20"/>
          <w:szCs w:val="20"/>
          <w:color w:val="auto"/>
        </w:rPr>
      </w:pPr>
    </w:p>
    <w:p>
      <w:pPr>
        <w:ind w:left="200" w:right="279"/>
        <w:spacing w:after="0" w:line="239" w:lineRule="auto"/>
        <w:rPr>
          <w:sz w:val="20"/>
          <w:szCs w:val="20"/>
          <w:color w:val="auto"/>
        </w:rPr>
      </w:pPr>
      <w:r>
        <w:rPr>
          <w:rFonts w:ascii="Arial" w:cs="Arial" w:eastAsia="Arial" w:hAnsi="Arial"/>
          <w:sz w:val="18"/>
          <w:szCs w:val="18"/>
          <w:color w:val="auto"/>
        </w:rPr>
        <w:t>We record an asset retirement obligation for the estimated fair value of legal obligations associated with the retirement of tangible long-lived assets and a corresponding increase in the carrying amount of the related asset in the period in which the obligation is incurred. In periods subsequent to initial measurement, we recognize changes in the liability resulting from the passage of time and revisions to either the timing or the amount of the original estimate. Over time, the liability is accreted to its present value and the capitalized cost is depreciated over the estimated useful life of the asset. Our asset retirement obligations relate primarily to certain legal obligations to remediate leased property on our communication towers and are recorded in “Property and equipment, net” with the related liability recorded in “Long-term deferred revenue and other long-term liabilities” on our Consolidated Balance Sheets.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Method Investments</w:t>
      </w:r>
    </w:p>
    <w:p>
      <w:pPr>
        <w:spacing w:after="0" w:line="196" w:lineRule="exact"/>
        <w:rPr>
          <w:sz w:val="20"/>
          <w:szCs w:val="20"/>
          <w:color w:val="auto"/>
        </w:rPr>
      </w:pPr>
    </w:p>
    <w:p>
      <w:pPr>
        <w:ind w:left="200" w:right="219"/>
        <w:spacing w:after="0"/>
        <w:rPr>
          <w:sz w:val="20"/>
          <w:szCs w:val="20"/>
          <w:color w:val="auto"/>
        </w:rPr>
      </w:pPr>
      <w:r>
        <w:rPr>
          <w:rFonts w:ascii="Arial" w:cs="Arial" w:eastAsia="Arial" w:hAnsi="Arial"/>
          <w:sz w:val="18"/>
          <w:szCs w:val="18"/>
          <w:color w:val="auto"/>
        </w:rPr>
        <w:t>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“Other, net” on our Consolidated Statements of Operations and Comprehensive Income (Loss). The carrying amount of such investments includes a component of goodwill when the cost of our investment exceeds the fair value of the underlying identifiable assets and liabilities of the affiliate. Dividends received from these affiliates reduces the carrying amount of our investment.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Method Investments</w:t>
      </w:r>
    </w:p>
    <w:p>
      <w:pPr>
        <w:spacing w:after="0" w:line="196" w:lineRule="exact"/>
        <w:rPr>
          <w:sz w:val="20"/>
          <w:szCs w:val="20"/>
          <w:color w:val="auto"/>
        </w:rPr>
      </w:pPr>
    </w:p>
    <w:p>
      <w:pPr>
        <w:ind w:left="200" w:right="299"/>
        <w:spacing w:after="0" w:line="242" w:lineRule="auto"/>
        <w:rPr>
          <w:sz w:val="20"/>
          <w:szCs w:val="20"/>
          <w:color w:val="auto"/>
        </w:rPr>
      </w:pPr>
      <w:r>
        <w:rPr>
          <w:rFonts w:ascii="Arial" w:cs="Arial" w:eastAsia="Arial" w:hAnsi="Arial"/>
          <w:sz w:val="18"/>
          <w:szCs w:val="18"/>
          <w:color w:val="auto"/>
        </w:rPr>
        <w:t>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 When we adjust the carrying amount of an investment to its estimated fair value, the gain or loss is recorded in “Other, net” on our Consolidated Statements of Operations and Comprehensive Income (Loss).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Impairment Considerations</w:t>
      </w:r>
    </w:p>
    <w:p>
      <w:pPr>
        <w:spacing w:after="0" w:line="196" w:lineRule="exact"/>
        <w:rPr>
          <w:sz w:val="20"/>
          <w:szCs w:val="20"/>
          <w:color w:val="auto"/>
        </w:rPr>
      </w:pPr>
    </w:p>
    <w:p>
      <w:pPr>
        <w:ind w:left="200" w:right="319"/>
        <w:spacing w:after="0" w:line="244" w:lineRule="auto"/>
        <w:rPr>
          <w:sz w:val="20"/>
          <w:szCs w:val="20"/>
          <w:color w:val="auto"/>
        </w:rPr>
      </w:pPr>
      <w:r>
        <w:rPr>
          <w:rFonts w:ascii="Arial" w:cs="Arial" w:eastAsia="Arial" w:hAnsi="Arial"/>
          <w:sz w:val="18"/>
          <w:szCs w:val="18"/>
          <w:color w:val="auto"/>
        </w:rPr>
        <w:t>We periodically evaluate all of our other investments to determine whether events or changes in circumstances have occurred that may have a significant adverse effect on the fair value of the investment. We consider information if provided to us by our investees such as current financial statements, business plans, investment documentation, capitalization tables, liquidation waterfalls, litigation updates and board materials; and we may make additional inquiries of investee management.</w:t>
      </w:r>
    </w:p>
    <w:p>
      <w:pPr>
        <w:spacing w:after="0" w:line="163" w:lineRule="exact"/>
        <w:rPr>
          <w:sz w:val="20"/>
          <w:szCs w:val="20"/>
          <w:color w:val="auto"/>
        </w:rPr>
      </w:pPr>
    </w:p>
    <w:p>
      <w:pPr>
        <w:ind w:left="200" w:right="239"/>
        <w:spacing w:after="0" w:line="242" w:lineRule="auto"/>
        <w:rPr>
          <w:sz w:val="20"/>
          <w:szCs w:val="20"/>
          <w:color w:val="auto"/>
        </w:rPr>
      </w:pPr>
      <w:r>
        <w:rPr>
          <w:rFonts w:ascii="Arial" w:cs="Arial" w:eastAsia="Arial" w:hAnsi="Arial"/>
          <w:sz w:val="18"/>
          <w:szCs w:val="18"/>
          <w:color w:val="auto"/>
        </w:rPr>
        <w:t>Indicators of impairment may include, but are not limited to, unprofitable operations, material loss contingencies, changes in business strategy, changes in market trends or market conditions, changes in the investees’ enterprise value, regulatory matters, and changes in the investees’ investment pricing. When we determine that one of our other investments is impaired we reduce its carrying value to its estimated fair value and recognize the impairment loss in “Other, net” on our Consolidated Statements of Operations and Comprehensive Income (Loss).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6" w:lineRule="exact"/>
        <w:rPr>
          <w:sz w:val="20"/>
          <w:szCs w:val="20"/>
          <w:color w:val="auto"/>
        </w:rPr>
      </w:pPr>
    </w:p>
    <w:p>
      <w:pPr>
        <w:jc w:val="both"/>
        <w:ind w:left="200" w:right="319"/>
        <w:spacing w:after="0" w:line="253" w:lineRule="auto"/>
        <w:rPr>
          <w:sz w:val="20"/>
          <w:szCs w:val="20"/>
          <w:color w:val="auto"/>
        </w:rPr>
      </w:pPr>
      <w:r>
        <w:rPr>
          <w:rFonts w:ascii="Arial" w:cs="Arial" w:eastAsia="Arial" w:hAnsi="Arial"/>
          <w:sz w:val="18"/>
          <w:szCs w:val="18"/>
          <w:color w:val="auto"/>
        </w:rPr>
        <w:t>We may purchase and hold derivative financial instruments for, among other reasons, strategic or speculative purposes. We record all derivative financial instruments on our Consolidated Balance Sheets at fair value as either assets or liabilities.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6" w:name="page97"/>
    <w:bookmarkEnd w:id="9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439"/>
        <w:spacing w:after="0" w:line="247" w:lineRule="auto"/>
        <w:rPr>
          <w:sz w:val="20"/>
          <w:szCs w:val="20"/>
          <w:color w:val="auto"/>
        </w:rPr>
      </w:pPr>
      <w:r>
        <w:rPr>
          <w:rFonts w:ascii="Arial" w:cs="Arial" w:eastAsia="Arial" w:hAnsi="Arial"/>
          <w:sz w:val="18"/>
          <w:szCs w:val="18"/>
          <w:color w:val="auto"/>
        </w:rPr>
        <w:t>Changes in the fair values of derivative financial instruments are recognized in our results of operations and included in “Other, net” within “Other Income (Expense)” on our Consolidated Statements of Operations and Comprehensive Income (Loss). We have not designated any derivative financial instrument for hedge accounting.</w:t>
      </w:r>
    </w:p>
    <w:p>
      <w:pPr>
        <w:spacing w:after="0" w:line="160" w:lineRule="exact"/>
        <w:rPr>
          <w:sz w:val="20"/>
          <w:szCs w:val="20"/>
          <w:color w:val="auto"/>
        </w:rPr>
      </w:pPr>
    </w:p>
    <w:p>
      <w:pPr>
        <w:ind w:left="200" w:right="359"/>
        <w:spacing w:after="0" w:line="253" w:lineRule="auto"/>
        <w:rPr>
          <w:sz w:val="20"/>
          <w:szCs w:val="20"/>
          <w:color w:val="auto"/>
        </w:rPr>
      </w:pPr>
      <w:r>
        <w:rPr>
          <w:rFonts w:ascii="Arial" w:cs="Arial" w:eastAsia="Arial" w:hAnsi="Arial"/>
          <w:sz w:val="18"/>
          <w:szCs w:val="18"/>
          <w:color w:val="auto"/>
        </w:rPr>
        <w:t xml:space="preserve">We had the option to purchase certain of T-Mobile’s 800 MHz spectrum licenses from T-Mobile at a fixed price </w:t>
      </w:r>
      <w:r>
        <w:rPr>
          <w:rFonts w:ascii="Arial" w:cs="Arial" w:eastAsia="Arial" w:hAnsi="Arial"/>
          <w:sz w:val="18"/>
          <w:szCs w:val="18"/>
          <w:color w:val="222222"/>
        </w:rPr>
        <w:t>which expired on its own terms on April 1, 2024. In addition, we</w:t>
      </w:r>
      <w:r>
        <w:rPr>
          <w:rFonts w:ascii="Arial" w:cs="Arial" w:eastAsia="Arial" w:hAnsi="Arial"/>
          <w:sz w:val="18"/>
          <w:szCs w:val="18"/>
          <w:color w:val="auto"/>
        </w:rPr>
        <w:t xml:space="preserve"> have written certain contracts on the equity of EchoStar. See Note 9 for further information.</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 and Finite-Lived Intangible Assets</w:t>
      </w:r>
    </w:p>
    <w:p>
      <w:pPr>
        <w:spacing w:after="0" w:line="183" w:lineRule="exact"/>
        <w:rPr>
          <w:sz w:val="20"/>
          <w:szCs w:val="20"/>
          <w:color w:val="auto"/>
        </w:rPr>
      </w:pPr>
    </w:p>
    <w:p>
      <w:pPr>
        <w:ind w:left="200" w:right="379"/>
        <w:spacing w:after="0" w:line="237" w:lineRule="auto"/>
        <w:rPr>
          <w:sz w:val="20"/>
          <w:szCs w:val="20"/>
          <w:color w:val="auto"/>
        </w:rPr>
      </w:pPr>
      <w:r>
        <w:rPr>
          <w:rFonts w:ascii="Arial" w:cs="Arial" w:eastAsia="Arial" w:hAnsi="Arial"/>
          <w:sz w:val="18"/>
          <w:szCs w:val="18"/>
          <w:color w:val="auto"/>
        </w:rPr>
        <w:t>We review our long-lived assets and identifiable finite-lived intangible assets for impairment whenever events or changes in circumstances indicate that the carrying amount of an asset may not be recoverable.</w:t>
      </w:r>
    </w:p>
    <w:p>
      <w:pPr>
        <w:ind w:left="200"/>
        <w:spacing w:after="0" w:line="235" w:lineRule="auto"/>
        <w:rPr>
          <w:sz w:val="20"/>
          <w:szCs w:val="20"/>
          <w:color w:val="auto"/>
        </w:rPr>
      </w:pPr>
      <w:r>
        <w:rPr>
          <w:rFonts w:ascii="Arial" w:cs="Arial" w:eastAsia="Arial" w:hAnsi="Arial"/>
          <w:sz w:val="18"/>
          <w:szCs w:val="18"/>
          <w:color w:val="auto"/>
        </w:rPr>
        <w:t>Intangible assets that have finite lives are amortized over their estimated useful lives. For assets which are</w:t>
      </w:r>
    </w:p>
    <w:p>
      <w:pPr>
        <w:spacing w:after="0" w:line="1" w:lineRule="exact"/>
        <w:rPr>
          <w:sz w:val="20"/>
          <w:szCs w:val="20"/>
          <w:color w:val="auto"/>
        </w:rPr>
      </w:pPr>
    </w:p>
    <w:p>
      <w:pPr>
        <w:ind w:left="200" w:right="579"/>
        <w:spacing w:after="0" w:line="226" w:lineRule="auto"/>
        <w:rPr>
          <w:sz w:val="20"/>
          <w:szCs w:val="20"/>
          <w:color w:val="auto"/>
        </w:rPr>
      </w:pPr>
      <w:r>
        <w:rPr>
          <w:rFonts w:ascii="Arial" w:cs="Arial" w:eastAsia="Arial" w:hAnsi="Arial"/>
          <w:sz w:val="18"/>
          <w:szCs w:val="18"/>
          <w:color w:val="auto"/>
        </w:rPr>
        <w:t>held and used in operations, the asset would be impaired if the carrying amount of the asset (or asset group) exceeded its undiscounted future net cash flows. When an impairment is determined, the actual</w:t>
      </w:r>
    </w:p>
    <w:p>
      <w:pPr>
        <w:ind w:left="200"/>
        <w:spacing w:after="0" w:line="236" w:lineRule="auto"/>
        <w:rPr>
          <w:sz w:val="20"/>
          <w:szCs w:val="20"/>
          <w:color w:val="auto"/>
        </w:rPr>
      </w:pPr>
      <w:r>
        <w:rPr>
          <w:rFonts w:ascii="Arial" w:cs="Arial" w:eastAsia="Arial" w:hAnsi="Arial"/>
          <w:sz w:val="18"/>
          <w:szCs w:val="18"/>
          <w:color w:val="auto"/>
        </w:rPr>
        <w:t>impairment recognized is the difference between the carrying amount and the fair value as estimated using</w:t>
      </w:r>
    </w:p>
    <w:p>
      <w:pPr>
        <w:spacing w:after="0" w:line="1" w:lineRule="exact"/>
        <w:rPr>
          <w:sz w:val="20"/>
          <w:szCs w:val="20"/>
          <w:color w:val="auto"/>
        </w:rPr>
      </w:pPr>
    </w:p>
    <w:p>
      <w:pPr>
        <w:ind w:left="200" w:right="459"/>
        <w:spacing w:after="0"/>
        <w:rPr>
          <w:sz w:val="20"/>
          <w:szCs w:val="20"/>
          <w:color w:val="auto"/>
        </w:rPr>
      </w:pPr>
      <w:r>
        <w:rPr>
          <w:rFonts w:ascii="Arial" w:cs="Arial" w:eastAsia="Arial" w:hAnsi="Arial"/>
          <w:sz w:val="17"/>
          <w:szCs w:val="17"/>
          <w:color w:val="auto"/>
        </w:rPr>
        <w:t>one of the following approaches: income, cost and/or market. In the event of an impairment, a loss is recorded in “Impairment of long-lived assets and goodwill” on our Consolidated Statements of Operations</w:t>
      </w:r>
    </w:p>
    <w:p>
      <w:pPr>
        <w:ind w:left="200"/>
        <w:spacing w:after="0" w:line="235" w:lineRule="auto"/>
        <w:rPr>
          <w:sz w:val="20"/>
          <w:szCs w:val="20"/>
          <w:color w:val="auto"/>
        </w:rPr>
      </w:pPr>
      <w:r>
        <w:rPr>
          <w:rFonts w:ascii="Arial" w:cs="Arial" w:eastAsia="Arial" w:hAnsi="Arial"/>
          <w:sz w:val="18"/>
          <w:szCs w:val="18"/>
          <w:color w:val="auto"/>
        </w:rPr>
        <w:t>and Comprehensive Income (Loss) based on the amount by which the carrying amount exceeds the fair</w:t>
      </w:r>
    </w:p>
    <w:p>
      <w:pPr>
        <w:ind w:left="200" w:right="239"/>
        <w:spacing w:after="0" w:line="237" w:lineRule="auto"/>
        <w:rPr>
          <w:sz w:val="20"/>
          <w:szCs w:val="20"/>
          <w:color w:val="auto"/>
        </w:rPr>
      </w:pPr>
      <w:r>
        <w:rPr>
          <w:rFonts w:ascii="Arial" w:cs="Arial" w:eastAsia="Arial" w:hAnsi="Arial"/>
          <w:sz w:val="18"/>
          <w:szCs w:val="18"/>
          <w:color w:val="auto"/>
        </w:rPr>
        <w:t>value of the long-lived asset or asset group. Assets which are to be disposed of are reported at the lower of the carrying amount or fair value less costs to sell.</w:t>
      </w:r>
    </w:p>
    <w:p>
      <w:pPr>
        <w:spacing w:after="0" w:line="167" w:lineRule="exact"/>
        <w:rPr>
          <w:sz w:val="20"/>
          <w:szCs w:val="20"/>
          <w:color w:val="auto"/>
        </w:rPr>
      </w:pPr>
    </w:p>
    <w:p>
      <w:pPr>
        <w:ind w:left="200" w:right="399"/>
        <w:spacing w:after="0" w:line="251" w:lineRule="auto"/>
        <w:rPr>
          <w:sz w:val="20"/>
          <w:szCs w:val="20"/>
          <w:color w:val="auto"/>
        </w:rPr>
      </w:pPr>
      <w:r>
        <w:rPr>
          <w:rFonts w:ascii="Arial" w:cs="Arial" w:eastAsia="Arial" w:hAnsi="Arial"/>
          <w:sz w:val="17"/>
          <w:szCs w:val="17"/>
          <w:color w:val="auto"/>
        </w:rPr>
        <w:t>Fair value, using the income approach, is determined primarily using a discounted cash flow model that uses the estimated cash flows associated with the asset or asset group under review, discounted at a rate</w:t>
      </w:r>
    </w:p>
    <w:p>
      <w:pPr>
        <w:ind w:left="200"/>
        <w:spacing w:after="0" w:line="235" w:lineRule="auto"/>
        <w:rPr>
          <w:sz w:val="20"/>
          <w:szCs w:val="20"/>
          <w:color w:val="auto"/>
        </w:rPr>
      </w:pPr>
      <w:r>
        <w:rPr>
          <w:rFonts w:ascii="Arial" w:cs="Arial" w:eastAsia="Arial" w:hAnsi="Arial"/>
          <w:sz w:val="18"/>
          <w:szCs w:val="18"/>
          <w:color w:val="auto"/>
        </w:rPr>
        <w:t>commensurate with the risk involved. Fair value, utilizing the cost approach, is determined based on the</w:t>
      </w:r>
    </w:p>
    <w:p>
      <w:pPr>
        <w:ind w:left="200" w:right="299"/>
        <w:spacing w:after="0" w:line="237" w:lineRule="auto"/>
        <w:rPr>
          <w:sz w:val="20"/>
          <w:szCs w:val="20"/>
          <w:color w:val="auto"/>
        </w:rPr>
      </w:pPr>
      <w:r>
        <w:rPr>
          <w:rFonts w:ascii="Arial" w:cs="Arial" w:eastAsia="Arial" w:hAnsi="Arial"/>
          <w:sz w:val="18"/>
          <w:szCs w:val="18"/>
          <w:color w:val="auto"/>
        </w:rPr>
        <w:t>replacement cost of the asset reduced for, among other things, depreciation and obsolescence. Fair value, utilizing the market approach, benchmarks the fair value against the carrying amount.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Pay-TV Satellite Fleet</w:t>
      </w:r>
    </w:p>
    <w:p>
      <w:pPr>
        <w:spacing w:after="0" w:line="196" w:lineRule="exact"/>
        <w:rPr>
          <w:sz w:val="20"/>
          <w:szCs w:val="20"/>
          <w:color w:val="auto"/>
        </w:rPr>
      </w:pPr>
    </w:p>
    <w:p>
      <w:pPr>
        <w:ind w:left="200" w:right="299"/>
        <w:spacing w:after="0" w:line="247" w:lineRule="auto"/>
        <w:rPr>
          <w:sz w:val="20"/>
          <w:szCs w:val="20"/>
          <w:color w:val="auto"/>
        </w:rPr>
      </w:pPr>
      <w:r>
        <w:rPr>
          <w:rFonts w:ascii="Arial" w:cs="Arial" w:eastAsia="Arial" w:hAnsi="Arial"/>
          <w:sz w:val="18"/>
          <w:szCs w:val="18"/>
          <w:color w:val="auto"/>
        </w:rPr>
        <w:t>We currently evaluate our Pay-TV satellite fleet for impairment as one asset group whenever events or changes in circumstances indicate that its carrying amount may not be recoverable. We do not believe any triggering event has occurred which would indicate impairment as of December 31, 2024 and 2023. We will continue to monitor our Pay-TV satellite fleet for indicators of impairment.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Finite-Lived Intangible Assets</w:t>
      </w:r>
    </w:p>
    <w:p>
      <w:pPr>
        <w:spacing w:after="0" w:line="196" w:lineRule="exact"/>
        <w:rPr>
          <w:sz w:val="20"/>
          <w:szCs w:val="20"/>
          <w:color w:val="auto"/>
        </w:rPr>
      </w:pPr>
    </w:p>
    <w:p>
      <w:pPr>
        <w:ind w:left="200" w:right="219"/>
        <w:spacing w:after="0" w:line="253" w:lineRule="auto"/>
        <w:rPr>
          <w:sz w:val="20"/>
          <w:szCs w:val="20"/>
          <w:color w:val="auto"/>
        </w:rPr>
      </w:pPr>
      <w:r>
        <w:rPr>
          <w:rFonts w:ascii="Arial" w:cs="Arial" w:eastAsia="Arial" w:hAnsi="Arial"/>
          <w:sz w:val="18"/>
          <w:szCs w:val="18"/>
          <w:color w:val="auto"/>
        </w:rPr>
        <w:t>Intangible assets include customer relationships, trademarks, and certain below market contracts. These assets are amortized over their respective useful lives. We do not believe any triggering event has occurred which would indicate impairment as of December 31, 2024 and 2023.</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Indefinite-Lived Intangible Assets and Goodwill</w:t>
      </w:r>
    </w:p>
    <w:p>
      <w:pPr>
        <w:spacing w:after="0" w:line="196" w:lineRule="exact"/>
        <w:rPr>
          <w:sz w:val="20"/>
          <w:szCs w:val="20"/>
          <w:color w:val="auto"/>
        </w:rPr>
      </w:pPr>
    </w:p>
    <w:p>
      <w:pPr>
        <w:ind w:left="200" w:right="219"/>
        <w:spacing w:after="0"/>
        <w:rPr>
          <w:sz w:val="20"/>
          <w:szCs w:val="20"/>
          <w:color w:val="auto"/>
        </w:rPr>
      </w:pPr>
      <w:r>
        <w:rPr>
          <w:rFonts w:ascii="Arial" w:cs="Arial" w:eastAsia="Arial" w:hAnsi="Arial"/>
          <w:sz w:val="18"/>
          <w:szCs w:val="18"/>
          <w:color w:val="auto"/>
        </w:rPr>
        <w:t>We do not amortize indefinite-lived intangible assets and goodwill but test these assets for impairment annually, during the fourth quarter or more often if indicators of impairment arise. We have the option to first perform a qualitative assessment to determine whether it is necessary to perform a quantitative impairment test. However, we may elect to bypass the qualitative assessment in any period and proceed directly to performing the quantitative impairment test. Our intangible assets with indefinite lives primarily consist of FCC licenses and certain other contractual or regulatory rights to use spectrum at specified orbital locations. Generally, we have determined that our FCC licenses have indefinite useful lives due to the following:</w:t>
      </w:r>
    </w:p>
    <w:p>
      <w:pPr>
        <w:spacing w:after="0" w:line="36" w:lineRule="exact"/>
        <w:rPr>
          <w:sz w:val="20"/>
          <w:szCs w:val="20"/>
          <w:color w:val="auto"/>
        </w:rPr>
      </w:pPr>
    </w:p>
    <w:p>
      <w:pPr>
        <w:ind w:left="880" w:hanging="320"/>
        <w:spacing w:after="0"/>
        <w:tabs>
          <w:tab w:leader="none" w:pos="88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FCC licenses are a non-depleting asset;</w:t>
      </w:r>
    </w:p>
    <w:p>
      <w:pPr>
        <w:spacing w:after="0" w:line="89" w:lineRule="exact"/>
        <w:rPr>
          <w:rFonts w:ascii="Times New Roman" w:cs="Times New Roman" w:eastAsia="Times New Roman" w:hAnsi="Times New Roman"/>
          <w:sz w:val="18"/>
          <w:szCs w:val="18"/>
          <w:color w:val="auto"/>
        </w:rPr>
      </w:pPr>
    </w:p>
    <w:p>
      <w:pPr>
        <w:ind w:left="880" w:right="779" w:hanging="320"/>
        <w:spacing w:after="0" w:line="270" w:lineRule="auto"/>
        <w:tabs>
          <w:tab w:leader="none" w:pos="88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existing FCC licenses are integral to our business segments and will contribute to cash flows indefinitely;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7" w:name="page98"/>
    <w:bookmarkEnd w:id="9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880" w:right="219" w:hanging="320"/>
        <w:spacing w:after="0" w:line="270" w:lineRule="auto"/>
        <w:tabs>
          <w:tab w:leader="none" w:pos="88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replacement satellite applications are generally authorized by the FCC subject to certain conditions, without substantial cost under a stable regulatory, legislative and legal environment;</w:t>
      </w:r>
    </w:p>
    <w:p>
      <w:pPr>
        <w:spacing w:after="0" w:line="5"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maintenance expenditures to obtain future cash flows are not significant;</w:t>
      </w:r>
    </w:p>
    <w:p>
      <w:pPr>
        <w:spacing w:after="0" w:line="75"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FCC licenses are not technologically dependent; and</w:t>
      </w:r>
    </w:p>
    <w:p>
      <w:pPr>
        <w:spacing w:after="0" w:line="89"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we intend to use these assets indefinitely.</w:t>
      </w: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Pay-TV Segment Licenses</w:t>
      </w:r>
    </w:p>
    <w:p>
      <w:pPr>
        <w:spacing w:after="0" w:line="196" w:lineRule="exact"/>
        <w:rPr>
          <w:sz w:val="20"/>
          <w:szCs w:val="20"/>
          <w:color w:val="auto"/>
        </w:rPr>
      </w:pPr>
    </w:p>
    <w:p>
      <w:pPr>
        <w:ind w:left="200" w:right="299"/>
        <w:spacing w:after="0"/>
        <w:rPr>
          <w:sz w:val="20"/>
          <w:szCs w:val="20"/>
          <w:color w:val="auto"/>
        </w:rPr>
      </w:pPr>
      <w:r>
        <w:rPr>
          <w:rFonts w:ascii="Arial" w:cs="Arial" w:eastAsia="Arial" w:hAnsi="Arial"/>
          <w:sz w:val="18"/>
          <w:szCs w:val="18"/>
          <w:color w:val="auto"/>
        </w:rPr>
        <w:t>We combine all of our indefinite-lived Pay-TV segment licenses that we currently utilize or plan to utilize in the future into a single unit of accounting. For 2024, 2023 and 2022, management performed a qualitative assessment to determine whether it was more likely than not that the fair value of the Pay-TV segment licenses exceeds the carrying amount. In our assessment, we considered several factors, including, among others, overall financial performance, industry and market considerations and relevant company specific events. In contemplating all factors in their totality, we concluded that it is more likely than not that the fair value of the Pay-TV segment licenses exceeds the carrying amount. As such, no further analysis was required.</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Wireless Segment Spectrum Licenses</w:t>
      </w:r>
    </w:p>
    <w:p>
      <w:pPr>
        <w:spacing w:after="0" w:line="196" w:lineRule="exact"/>
        <w:rPr>
          <w:sz w:val="20"/>
          <w:szCs w:val="20"/>
          <w:color w:val="auto"/>
        </w:rPr>
      </w:pPr>
    </w:p>
    <w:p>
      <w:pPr>
        <w:ind w:left="200" w:right="279"/>
        <w:spacing w:after="0" w:line="271" w:lineRule="auto"/>
        <w:rPr>
          <w:sz w:val="20"/>
          <w:szCs w:val="20"/>
          <w:color w:val="auto"/>
        </w:rPr>
      </w:pPr>
      <w:r>
        <w:rPr>
          <w:rFonts w:ascii="Arial" w:cs="Arial" w:eastAsia="Arial" w:hAnsi="Arial"/>
          <w:sz w:val="18"/>
          <w:szCs w:val="18"/>
          <w:color w:val="auto"/>
        </w:rPr>
        <w:t>We combine all of our indefinite-lived Wireless segment spectrum licenses, excluding the MVDDS Licenses discussed below, into a single unit of accounting.</w:t>
      </w:r>
    </w:p>
    <w:p>
      <w:pPr>
        <w:spacing w:after="0" w:line="140" w:lineRule="exact"/>
        <w:rPr>
          <w:sz w:val="20"/>
          <w:szCs w:val="20"/>
          <w:color w:val="auto"/>
        </w:rPr>
      </w:pPr>
    </w:p>
    <w:p>
      <w:pPr>
        <w:ind w:left="200" w:right="279"/>
        <w:spacing w:after="0" w:line="242" w:lineRule="auto"/>
        <w:rPr>
          <w:sz w:val="20"/>
          <w:szCs w:val="20"/>
          <w:color w:val="auto"/>
        </w:rPr>
      </w:pPr>
      <w:r>
        <w:rPr>
          <w:rFonts w:ascii="Arial" w:cs="Arial" w:eastAsia="Arial" w:hAnsi="Arial"/>
          <w:sz w:val="18"/>
          <w:szCs w:val="18"/>
          <w:color w:val="auto"/>
        </w:rPr>
        <w:t>Management performs either a qualitative assessment or a quantitative assessment, using the market approach or the income approach, to determine whether it is more likely than not that the fair value of these licenses exceeds the carrying amount. The market approach assesses the value of our spectrum using benchmarks, based on market transactions, which may include spectrum auctions and secondary market transactions, either acquisitions of spectrum or of businesses for which spectrum values can reliably be inferred.</w:t>
      </w:r>
    </w:p>
    <w:p>
      <w:pPr>
        <w:spacing w:after="0" w:line="165" w:lineRule="exact"/>
        <w:rPr>
          <w:sz w:val="20"/>
          <w:szCs w:val="20"/>
          <w:color w:val="auto"/>
        </w:rPr>
      </w:pPr>
    </w:p>
    <w:p>
      <w:pPr>
        <w:ind w:left="200" w:right="419"/>
        <w:spacing w:after="0" w:line="244" w:lineRule="auto"/>
        <w:rPr>
          <w:sz w:val="20"/>
          <w:szCs w:val="20"/>
          <w:color w:val="auto"/>
        </w:rPr>
      </w:pPr>
      <w:r>
        <w:rPr>
          <w:rFonts w:ascii="Arial" w:cs="Arial" w:eastAsia="Arial" w:hAnsi="Arial"/>
          <w:sz w:val="18"/>
          <w:szCs w:val="18"/>
          <w:color w:val="auto"/>
        </w:rPr>
        <w:t>In 2024, management performed a qualitative assessment to determine whether it is more likely than not that the fair value of these licenses exceeds the carrying amount. In our assessment, we considered several factors, including, among others, prior year quantitative assessments, industry considerations and secondary market transactions. In contemplating all factors in their totality, we concluded that it is more likely than not that the fair value of these licenses exceeds the carrying amount.</w:t>
      </w:r>
    </w:p>
    <w:p>
      <w:pPr>
        <w:spacing w:after="0" w:line="163" w:lineRule="exact"/>
        <w:rPr>
          <w:sz w:val="20"/>
          <w:szCs w:val="20"/>
          <w:color w:val="auto"/>
        </w:rPr>
      </w:pPr>
    </w:p>
    <w:p>
      <w:pPr>
        <w:ind w:left="200" w:right="339"/>
        <w:spacing w:after="0" w:line="247" w:lineRule="auto"/>
        <w:rPr>
          <w:sz w:val="20"/>
          <w:szCs w:val="20"/>
          <w:color w:val="auto"/>
        </w:rPr>
      </w:pPr>
      <w:r>
        <w:rPr>
          <w:rFonts w:ascii="Arial" w:cs="Arial" w:eastAsia="Arial" w:hAnsi="Arial"/>
          <w:sz w:val="18"/>
          <w:szCs w:val="18"/>
          <w:color w:val="auto"/>
        </w:rPr>
        <w:t>In 2023, management performed a quantitative assessment to determine whether the fair value of these licenses exceeds the carrying amount. The quantitative assessment consisted of a market approach performed by a third-party and reviewed by management. In our assessment, we concluded that under the market approach the fair value of these licenses are substantially in excess of the carrying value.</w:t>
      </w:r>
    </w:p>
    <w:p>
      <w:pPr>
        <w:spacing w:after="0" w:line="160" w:lineRule="exact"/>
        <w:rPr>
          <w:sz w:val="20"/>
          <w:szCs w:val="20"/>
          <w:color w:val="auto"/>
        </w:rPr>
      </w:pPr>
    </w:p>
    <w:p>
      <w:pPr>
        <w:ind w:left="200" w:right="299"/>
        <w:spacing w:after="0" w:line="247" w:lineRule="auto"/>
        <w:rPr>
          <w:sz w:val="20"/>
          <w:szCs w:val="20"/>
          <w:color w:val="auto"/>
        </w:rPr>
      </w:pPr>
      <w:r>
        <w:rPr>
          <w:rFonts w:ascii="Arial" w:cs="Arial" w:eastAsia="Arial" w:hAnsi="Arial"/>
          <w:sz w:val="18"/>
          <w:szCs w:val="18"/>
          <w:color w:val="auto"/>
        </w:rPr>
        <w:t>In 2022, management performed a quantitative assessment to determine whether the fair value of these licenses exceeds the carrying amount. In our assessment, we performed the market approach and the income approach and concluded that under both scenarios the fair value of these licenses are substantially in excess of the carrying value.</w:t>
      </w:r>
    </w:p>
    <w:p>
      <w:pPr>
        <w:spacing w:after="0" w:line="160" w:lineRule="exact"/>
        <w:rPr>
          <w:sz w:val="20"/>
          <w:szCs w:val="20"/>
          <w:color w:val="auto"/>
        </w:rPr>
      </w:pPr>
    </w:p>
    <w:p>
      <w:pPr>
        <w:ind w:left="200" w:right="479"/>
        <w:spacing w:after="0" w:line="271" w:lineRule="auto"/>
        <w:rPr>
          <w:sz w:val="20"/>
          <w:szCs w:val="20"/>
          <w:color w:val="auto"/>
        </w:rPr>
      </w:pPr>
      <w:r>
        <w:rPr>
          <w:rFonts w:ascii="Arial" w:cs="Arial" w:eastAsia="Arial" w:hAnsi="Arial"/>
          <w:sz w:val="18"/>
          <w:szCs w:val="18"/>
          <w:color w:val="auto"/>
        </w:rPr>
        <w:t>Changes in circumstances or market conditions could result in a write-down of any of the above Wireless segment spectrum licenses in the future.</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w:t>
      </w:r>
    </w:p>
    <w:p>
      <w:pPr>
        <w:spacing w:after="0" w:line="196" w:lineRule="exact"/>
        <w:rPr>
          <w:sz w:val="20"/>
          <w:szCs w:val="20"/>
          <w:color w:val="auto"/>
        </w:rPr>
      </w:pPr>
    </w:p>
    <w:p>
      <w:pPr>
        <w:ind w:left="200" w:right="219"/>
        <w:spacing w:after="0" w:line="253" w:lineRule="auto"/>
        <w:rPr>
          <w:sz w:val="20"/>
          <w:szCs w:val="20"/>
          <w:color w:val="auto"/>
        </w:rPr>
      </w:pPr>
      <w:r>
        <w:rPr>
          <w:rFonts w:ascii="Arial" w:cs="Arial" w:eastAsia="Arial" w:hAnsi="Arial"/>
          <w:sz w:val="18"/>
          <w:szCs w:val="18"/>
          <w:color w:val="auto"/>
        </w:rPr>
        <w:t>We perform our annual impairment assessment for goodwill and other indefinite-lived intangible assets each year during the fourth quarter or more frequently if events or changes in circumstances indicate an impairment may be possible.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8" w:name="page99"/>
    <w:bookmarkEnd w:id="9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219"/>
        <w:spacing w:after="0" w:line="244" w:lineRule="auto"/>
        <w:rPr>
          <w:sz w:val="20"/>
          <w:szCs w:val="20"/>
          <w:color w:val="auto"/>
        </w:rPr>
      </w:pPr>
      <w:r>
        <w:rPr>
          <w:rFonts w:ascii="Arial" w:cs="Arial" w:eastAsia="Arial" w:hAnsi="Arial"/>
          <w:sz w:val="18"/>
          <w:szCs w:val="18"/>
          <w:color w:val="auto"/>
        </w:rPr>
        <w:t>For the year ended December 31, 2023, our assessment indicated the goodwill attributed to certain acquisitions was no longer supported based on the sustained decrease in our parent’s market capitalization. As such, we recorded a total noncash impairment charge equal to all of our goodwill of approximately $ 225 million in “Impairment of long-lived assets and goodwill” on our Consolidated Statements of Operations and Comprehensive Income (Loss).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the changes in the carrying amounts of goodwill by operating segment:</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Pay-TV</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Wireless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8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December 31, 2022, net of accumulated impairment losses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6,457</w:t>
            </w:r>
          </w:p>
        </w:tc>
        <w:tc>
          <w:tcPr>
            <w:tcW w:w="3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218,560</w:t>
            </w:r>
          </w:p>
        </w:tc>
        <w:tc>
          <w:tcPr>
            <w:tcW w:w="420" w:type="dxa"/>
            <w:vAlign w:val="bottom"/>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225,017</w:t>
            </w:r>
          </w:p>
        </w:tc>
        <w:tc>
          <w:tcPr>
            <w:tcW w:w="80" w:type="dxa"/>
            <w:vAlign w:val="bottom"/>
            <w:shd w:val="clear" w:color="auto" w:fill="CCEEFF"/>
          </w:tcPr>
          <w:p>
            <w:pPr>
              <w:spacing w:after="0"/>
              <w:rPr>
                <w:sz w:val="13"/>
                <w:szCs w:val="13"/>
                <w:color w:val="auto"/>
              </w:rPr>
            </w:pPr>
          </w:p>
        </w:tc>
      </w:tr>
      <w:tr>
        <w:trPr>
          <w:trHeight w:val="156"/>
        </w:trPr>
        <w:tc>
          <w:tcPr>
            <w:tcW w:w="4860" w:type="dxa"/>
            <w:vAlign w:val="bottom"/>
            <w:gridSpan w:val="2"/>
          </w:tcPr>
          <w:p>
            <w:pPr>
              <w:spacing w:after="0" w:line="155" w:lineRule="exact"/>
              <w:rPr>
                <w:sz w:val="20"/>
                <w:szCs w:val="20"/>
                <w:color w:val="auto"/>
              </w:rPr>
            </w:pPr>
            <w:r>
              <w:rPr>
                <w:rFonts w:ascii="Arial" w:cs="Arial" w:eastAsia="Arial" w:hAnsi="Arial"/>
                <w:sz w:val="14"/>
                <w:szCs w:val="14"/>
                <w:color w:val="auto"/>
              </w:rPr>
              <w:t>Impairment of goodwill</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(6,457)</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(218,560)</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(225,017)</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8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December 31, 2023, net of accumulated impairment losses</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r>
    </w:tbl>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96" w:lineRule="exact"/>
        <w:rPr>
          <w:sz w:val="20"/>
          <w:szCs w:val="20"/>
          <w:color w:val="auto"/>
        </w:rPr>
      </w:pPr>
    </w:p>
    <w:p>
      <w:pPr>
        <w:ind w:left="200" w:right="399"/>
        <w:spacing w:after="0" w:line="244" w:lineRule="auto"/>
        <w:rPr>
          <w:sz w:val="20"/>
          <w:szCs w:val="20"/>
          <w:color w:val="auto"/>
        </w:rPr>
      </w:pPr>
      <w:r>
        <w:rPr>
          <w:rFonts w:ascii="Arial" w:cs="Arial" w:eastAsia="Arial" w:hAnsi="Arial"/>
          <w:sz w:val="18"/>
          <w:szCs w:val="18"/>
          <w:color w:val="auto"/>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these activities are substantially suspended.</w:t>
      </w:r>
    </w:p>
    <w:p>
      <w:pPr>
        <w:spacing w:after="0" w:line="163" w:lineRule="exact"/>
        <w:rPr>
          <w:sz w:val="20"/>
          <w:szCs w:val="20"/>
          <w:color w:val="auto"/>
        </w:rPr>
      </w:pPr>
    </w:p>
    <w:p>
      <w:pPr>
        <w:ind w:left="200" w:right="259"/>
        <w:spacing w:after="0" w:line="247" w:lineRule="auto"/>
        <w:rPr>
          <w:sz w:val="20"/>
          <w:szCs w:val="20"/>
          <w:color w:val="auto"/>
        </w:rPr>
      </w:pPr>
      <w:r>
        <w:rPr>
          <w:rFonts w:ascii="Arial" w:cs="Arial" w:eastAsia="Arial" w:hAnsi="Arial"/>
          <w:sz w:val="18"/>
          <w:szCs w:val="18"/>
          <w:color w:val="auto"/>
        </w:rPr>
        <w:t>We are currently commercializing our 5G Network Deployment. As a result, the interest expense related to the carrying amount of the 5G Network Deployment qualifying assets is being capitalized. Historically, the qualifying assets exceeded the carrying value of our long-term debt and finance lease obligations, therefore substantially all of our interest expense was being capitalized.</w:t>
      </w:r>
    </w:p>
    <w:p>
      <w:pPr>
        <w:spacing w:after="0" w:line="160" w:lineRule="exact"/>
        <w:rPr>
          <w:sz w:val="20"/>
          <w:szCs w:val="20"/>
          <w:color w:val="auto"/>
        </w:rPr>
      </w:pPr>
    </w:p>
    <w:p>
      <w:pPr>
        <w:ind w:left="200" w:right="299"/>
        <w:spacing w:after="0" w:line="247" w:lineRule="auto"/>
        <w:rPr>
          <w:sz w:val="20"/>
          <w:szCs w:val="20"/>
          <w:color w:val="auto"/>
        </w:rPr>
      </w:pPr>
      <w:r>
        <w:rPr>
          <w:rFonts w:ascii="Arial" w:cs="Arial" w:eastAsia="Arial" w:hAnsi="Arial"/>
          <w:sz w:val="18"/>
          <w:szCs w:val="18"/>
          <w:color w:val="auto"/>
        </w:rPr>
        <w:t>As a result of the Sale and Transfer of Assets to EchoStar, the basis of our qualifying assets was reduced. In addition, as the qualifying assets, including markets within certain bands of wireless spectrum licenses, have been placed into service with the deployment of our 5G Network, we no longer capitalize substantially all interest on those assets. We expect this trend to continue.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6"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When we acquire a business that is not subject to rules pertaining to common control, we allocate the purchase price to the various components of the acquisition based upon the fair value of each component using various valuation techniques, including the market approach, income approach and/or cost approach. The accounting standard for business combinations requires identifiable assets, liabilities, noncontrolling interests and goodwill acquired to be recorded at acquisition date fair values. Transaction costs related to the acquisition of the business are expensed as incurred. Costs associated with the issuance of debt associated with a business combination are capitalized and included as a yield adjustment to the underlying debt’s stated rate.</w:t>
      </w:r>
    </w:p>
    <w:p>
      <w:pPr>
        <w:spacing w:after="0" w:line="167" w:lineRule="exact"/>
        <w:rPr>
          <w:sz w:val="20"/>
          <w:szCs w:val="20"/>
          <w:color w:val="auto"/>
        </w:rPr>
      </w:pPr>
    </w:p>
    <w:p>
      <w:pPr>
        <w:ind w:left="200" w:right="259"/>
        <w:spacing w:after="0" w:line="247" w:lineRule="auto"/>
        <w:rPr>
          <w:sz w:val="20"/>
          <w:szCs w:val="20"/>
          <w:color w:val="auto"/>
        </w:rPr>
      </w:pPr>
      <w:r>
        <w:rPr>
          <w:rFonts w:ascii="Arial" w:cs="Arial" w:eastAsia="Arial" w:hAnsi="Arial"/>
          <w:sz w:val="18"/>
          <w:szCs w:val="18"/>
          <w:color w:val="auto"/>
        </w:rPr>
        <w:t>Acquired intangible assets other than goodwill are amortized over their estimated useful lives unless the lives are determined to be indefinite. Amortization of these intangible assets in general are recognized on a straight-line basis over an average finite useful life primarily ranging from approximately one to 20 years or in relation to the estimated discounted cash flows over the life of the intangible asset.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Deferred Revenue and Other Long-Term Liabilities</w:t>
      </w:r>
    </w:p>
    <w:p>
      <w:pPr>
        <w:spacing w:after="0" w:line="183" w:lineRule="exact"/>
        <w:rPr>
          <w:sz w:val="20"/>
          <w:szCs w:val="20"/>
          <w:color w:val="auto"/>
        </w:rPr>
      </w:pPr>
    </w:p>
    <w:p>
      <w:pPr>
        <w:ind w:left="200" w:right="319"/>
        <w:spacing w:after="0" w:line="244" w:lineRule="auto"/>
        <w:rPr>
          <w:sz w:val="20"/>
          <w:szCs w:val="20"/>
          <w:color w:val="auto"/>
        </w:rPr>
      </w:pPr>
      <w:r>
        <w:rPr>
          <w:rFonts w:ascii="Arial" w:cs="Arial" w:eastAsia="Arial" w:hAnsi="Arial"/>
          <w:sz w:val="18"/>
          <w:szCs w:val="18"/>
          <w:color w:val="auto"/>
        </w:rPr>
        <w:t>Certain programmers provide us up-front payments. Such amounts are deferred and recognized as reductions to “Cost of services” on a straight-line basis over the relevant remaining contract term (generally up to ten years). The current and long-term portions of these deferred credits are recorded on our Consolidated Balance Sheets in “Deferred revenue and other” and “Long-term deferred revenue and other long-term liabilities,” respectively.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9" w:name="page100"/>
    <w:bookmarkEnd w:id="9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Taxes</w:t>
      </w:r>
    </w:p>
    <w:p>
      <w:pPr>
        <w:spacing w:after="0" w:line="196" w:lineRule="exact"/>
        <w:rPr>
          <w:sz w:val="20"/>
          <w:szCs w:val="20"/>
          <w:color w:val="auto"/>
        </w:rPr>
      </w:pPr>
    </w:p>
    <w:p>
      <w:pPr>
        <w:ind w:left="200" w:right="479"/>
        <w:spacing w:after="0" w:line="247" w:lineRule="auto"/>
        <w:rPr>
          <w:sz w:val="20"/>
          <w:szCs w:val="20"/>
          <w:color w:val="auto"/>
        </w:rPr>
      </w:pPr>
      <w:r>
        <w:rPr>
          <w:rFonts w:ascii="Arial" w:cs="Arial" w:eastAsia="Arial" w:hAnsi="Arial"/>
          <w:sz w:val="18"/>
          <w:szCs w:val="18"/>
          <w:color w:val="auto"/>
        </w:rPr>
        <w:t>We account for sales taxes imposed on our goods and services on a net basis on our Consolidated Statements of Operations and Comprehensive Income (Loss). Since we primarily act as an agent for the governmental authorities, the amount charged to the customer is collected and remitted directly to the appropriate jurisdictional entity.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96" w:lineRule="exact"/>
        <w:rPr>
          <w:sz w:val="20"/>
          <w:szCs w:val="20"/>
          <w:color w:val="auto"/>
        </w:rPr>
      </w:pPr>
    </w:p>
    <w:p>
      <w:pPr>
        <w:ind w:left="200" w:right="239"/>
        <w:spacing w:after="0" w:line="244" w:lineRule="auto"/>
        <w:rPr>
          <w:sz w:val="20"/>
          <w:szCs w:val="20"/>
          <w:color w:val="auto"/>
        </w:rPr>
      </w:pPr>
      <w:r>
        <w:rPr>
          <w:rFonts w:ascii="Arial" w:cs="Arial" w:eastAsia="Arial" w:hAnsi="Arial"/>
          <w:sz w:val="18"/>
          <w:szCs w:val="18"/>
          <w:color w:val="auto"/>
        </w:rPr>
        <w:t>We establish a provision for income taxes currently payable or receivable and for income tax amounts deferred to future periods. Deferred tax assets and liabilities are recorded for the estimated future tax effects of differences that exist between the book and tax basis of assets and liabilities. Deferred tax assets are offset by valuation allowances when we believe it is more likely than not that such net deferred tax assets will not be realized.</w:t>
      </w:r>
    </w:p>
    <w:p>
      <w:pPr>
        <w:spacing w:after="0" w:line="163" w:lineRule="exact"/>
        <w:rPr>
          <w:sz w:val="20"/>
          <w:szCs w:val="20"/>
          <w:color w:val="auto"/>
        </w:rPr>
      </w:pPr>
    </w:p>
    <w:p>
      <w:pPr>
        <w:ind w:left="200" w:right="379"/>
        <w:spacing w:after="0" w:line="239" w:lineRule="auto"/>
        <w:rPr>
          <w:sz w:val="20"/>
          <w:szCs w:val="20"/>
          <w:color w:val="auto"/>
        </w:rPr>
      </w:pPr>
      <w:r>
        <w:rPr>
          <w:rFonts w:ascii="Arial" w:cs="Arial" w:eastAsia="Arial" w:hAnsi="Arial"/>
          <w:sz w:val="18"/>
          <w:szCs w:val="18"/>
          <w:color w:val="auto"/>
        </w:rPr>
        <w:t>From time to time, we engage in transactions where the tax consequences may be subject to uncertainty. We record a liability when, in management’s judgment, a tax filing position does not meet the more likely than not threshold. For tax positions that meet the more likely than not threshold, we may record a liability depending on management’s assessment of how the tax position will ultimately be settled. We adjust our estimates periodically for ongoing examinations by and settlements with various taxing authorities, as well as changes in tax laws, regulations and precedent. We classify interest and penalties, if any, associated with our uncertain tax positions as a component of “Interest expense, net of amounts capitalized” and “Other, net,” respectively, on our Consolidated Statements of Operations and Comprehensive Income (Loss).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200" w:right="259"/>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63" w:lineRule="exact"/>
        <w:rPr>
          <w:sz w:val="20"/>
          <w:szCs w:val="20"/>
          <w:color w:val="auto"/>
        </w:rPr>
      </w:pPr>
    </w:p>
    <w:p>
      <w:pPr>
        <w:ind w:left="880" w:hanging="320"/>
        <w:spacing w:after="0"/>
        <w:tabs>
          <w:tab w:leader="none" w:pos="88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6" w:lineRule="exact"/>
        <w:rPr>
          <w:rFonts w:ascii="Times New Roman" w:cs="Times New Roman" w:eastAsia="Times New Roman" w:hAnsi="Times New Roman"/>
          <w:sz w:val="18"/>
          <w:szCs w:val="18"/>
          <w:color w:val="auto"/>
        </w:rPr>
      </w:pPr>
    </w:p>
    <w:p>
      <w:pPr>
        <w:ind w:left="880" w:right="319" w:hanging="320"/>
        <w:spacing w:after="0" w:line="234" w:lineRule="auto"/>
        <w:tabs>
          <w:tab w:leader="none" w:pos="88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8"/>
          <w:szCs w:val="18"/>
          <w:color w:val="auto"/>
        </w:rPr>
      </w:pPr>
    </w:p>
    <w:p>
      <w:pPr>
        <w:ind w:left="880" w:right="579" w:hanging="320"/>
        <w:spacing w:after="0" w:line="242" w:lineRule="auto"/>
        <w:tabs>
          <w:tab w:leader="none" w:pos="88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65" w:lineRule="exact"/>
        <w:rPr>
          <w:sz w:val="20"/>
          <w:szCs w:val="20"/>
          <w:color w:val="auto"/>
        </w:rPr>
      </w:pPr>
    </w:p>
    <w:p>
      <w:pPr>
        <w:ind w:left="200" w:right="339"/>
        <w:spacing w:after="0" w:line="247" w:lineRule="auto"/>
        <w:rPr>
          <w:sz w:val="20"/>
          <w:szCs w:val="20"/>
          <w:color w:val="auto"/>
        </w:rPr>
      </w:pPr>
      <w:r>
        <w:rPr>
          <w:rFonts w:ascii="Arial" w:cs="Arial" w:eastAsia="Arial" w:hAnsi="Arial"/>
          <w:sz w:val="18"/>
          <w:szCs w:val="18"/>
          <w:color w:val="auto"/>
        </w:rPr>
        <w:t>As of December 31, 2024 and 2023,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w:t>
      </w:r>
    </w:p>
    <w:p>
      <w:pPr>
        <w:spacing w:after="0" w:line="160" w:lineRule="exact"/>
        <w:rPr>
          <w:sz w:val="20"/>
          <w:szCs w:val="20"/>
          <w:color w:val="auto"/>
        </w:rPr>
      </w:pPr>
    </w:p>
    <w:p>
      <w:pPr>
        <w:ind w:left="200" w:right="239"/>
        <w:spacing w:after="0" w:line="247" w:lineRule="auto"/>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339"/>
        <w:spacing w:after="0" w:line="238" w:lineRule="auto"/>
        <w:rPr>
          <w:sz w:val="20"/>
          <w:szCs w:val="20"/>
          <w:color w:val="auto"/>
        </w:rPr>
      </w:pPr>
      <w:r>
        <w:rPr>
          <w:rFonts w:ascii="Arial" w:cs="Arial" w:eastAsia="Arial" w:hAnsi="Arial"/>
          <w:sz w:val="18"/>
          <w:szCs w:val="18"/>
          <w:color w:val="auto"/>
        </w:rPr>
        <w:t>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5 for the fair value of our marketable investment securities and derivative instruments.</w:t>
      </w:r>
    </w:p>
    <w:p>
      <w:pPr>
        <w:spacing w:after="0" w:line="172" w:lineRule="exact"/>
        <w:rPr>
          <w:sz w:val="20"/>
          <w:szCs w:val="20"/>
          <w:color w:val="auto"/>
        </w:rPr>
      </w:pPr>
    </w:p>
    <w:p>
      <w:pPr>
        <w:ind w:left="200" w:right="359"/>
        <w:spacing w:after="0" w:line="247" w:lineRule="auto"/>
        <w:rPr>
          <w:sz w:val="20"/>
          <w:szCs w:val="20"/>
          <w:color w:val="auto"/>
        </w:rPr>
      </w:pPr>
      <w:r>
        <w:rPr>
          <w:rFonts w:ascii="Arial" w:cs="Arial" w:eastAsia="Arial" w:hAnsi="Arial"/>
          <w:sz w:val="18"/>
          <w:szCs w:val="18"/>
          <w:color w:val="auto"/>
        </w:rPr>
        <w:t>Furthermore, for any sale of a financial asset in a transaction among entities under common control the difference between the net carrying value and the fair value of the assets sold, if any, is recorded as a gain or loss on the sale of the financial asset in “Other, net” within “Other Income (Expense)” on our Consolidated Statements of Operations and Comprehensive Income (Loss).</w:t>
      </w:r>
    </w:p>
    <w:p>
      <w:pPr>
        <w:spacing w:after="0" w:line="160" w:lineRule="exact"/>
        <w:rPr>
          <w:sz w:val="20"/>
          <w:szCs w:val="20"/>
          <w:color w:val="auto"/>
        </w:rPr>
      </w:pPr>
    </w:p>
    <w:p>
      <w:pPr>
        <w:ind w:left="200" w:right="279"/>
        <w:spacing w:after="0" w:line="242" w:lineRule="auto"/>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9 for the fair value of our debt.</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Debt Issuance Costs and Debt Discounts</w:t>
      </w:r>
    </w:p>
    <w:p>
      <w:pPr>
        <w:spacing w:after="0" w:line="196" w:lineRule="exact"/>
        <w:rPr>
          <w:sz w:val="20"/>
          <w:szCs w:val="20"/>
          <w:color w:val="auto"/>
        </w:rPr>
      </w:pPr>
    </w:p>
    <w:p>
      <w:pPr>
        <w:ind w:left="200" w:right="299"/>
        <w:spacing w:after="0" w:line="244" w:lineRule="auto"/>
        <w:rPr>
          <w:sz w:val="20"/>
          <w:szCs w:val="20"/>
          <w:color w:val="auto"/>
        </w:rPr>
      </w:pPr>
      <w:r>
        <w:rPr>
          <w:rFonts w:ascii="Arial" w:cs="Arial" w:eastAsia="Arial" w:hAnsi="Arial"/>
          <w:sz w:val="18"/>
          <w:szCs w:val="18"/>
          <w:color w:val="auto"/>
        </w:rPr>
        <w:t>Costs of issuing debt, including premiums and discounts relative to par value, are generally deferred and amortized to “Interest expense, net of amounts capitalized” on our Consolidated Statements of Operations and Comprehensive Income (Loss) using the effective interest rate method over the terms of the respective notes. We report unamortized debt issuance costs as a reduction of the related long-term debt on our Consolidated Balance Sheets. See Note 9 for further information.</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Pay-TV Segment</w:t>
      </w:r>
    </w:p>
    <w:p>
      <w:pPr>
        <w:spacing w:after="0" w:line="196" w:lineRule="exact"/>
        <w:rPr>
          <w:sz w:val="20"/>
          <w:szCs w:val="20"/>
          <w:color w:val="auto"/>
        </w:rPr>
      </w:pPr>
    </w:p>
    <w:p>
      <w:pPr>
        <w:ind w:left="200" w:right="359"/>
        <w:spacing w:after="0" w:line="242" w:lineRule="auto"/>
        <w:rPr>
          <w:sz w:val="20"/>
          <w:szCs w:val="20"/>
          <w:color w:val="auto"/>
        </w:rPr>
      </w:pPr>
      <w:r>
        <w:rPr>
          <w:rFonts w:ascii="Arial" w:cs="Arial" w:eastAsia="Arial" w:hAnsi="Arial"/>
          <w:sz w:val="18"/>
          <w:szCs w:val="18"/>
          <w:color w:val="auto"/>
        </w:rPr>
        <w:t>Our Pay-TV segment revenue is primarily derived from Pay-TV subscriber revenue. We also generate revenue from equipment rental fees and other hardware related fees, including DVRs and fees from subscribers with multiple receivers; advertising services; fees earned from our in-home service operations; broadband services; warranty services; sales of digital receivers and related equipment to third-party pay-TV providers; satellite uplink and telemetry, tracking and control (“TT&amp;C”) services; and revenue from in-home services. See Note 14 for further information, including revenue disaggregated by major source.</w:t>
      </w:r>
    </w:p>
    <w:p>
      <w:pPr>
        <w:spacing w:after="0" w:line="165" w:lineRule="exact"/>
        <w:rPr>
          <w:sz w:val="20"/>
          <w:szCs w:val="20"/>
          <w:color w:val="auto"/>
        </w:rPr>
      </w:pPr>
    </w:p>
    <w:p>
      <w:pPr>
        <w:ind w:left="200" w:right="359"/>
        <w:spacing w:after="0" w:line="239" w:lineRule="auto"/>
        <w:rPr>
          <w:sz w:val="20"/>
          <w:szCs w:val="20"/>
          <w:color w:val="auto"/>
        </w:rPr>
      </w:pPr>
      <w:r>
        <w:rPr>
          <w:rFonts w:ascii="Arial" w:cs="Arial" w:eastAsia="Arial" w:hAnsi="Arial"/>
          <w:sz w:val="18"/>
          <w:szCs w:val="18"/>
          <w:color w:val="auto"/>
        </w:rPr>
        <w:t>Our residential video subscribers contract for individual services or combinations of services, as discussed above, the majority of which are generally distinct and are accounted for as separate performance obligations. We consider our installations for first time DISH TV subscribers to be a service. However, since we provide a significant integration service combining the installation with programming services, we have concluded that the installation is not distinct from programming and thus the installation and programming services are accounted for as a single performance obligation. We generally satisfy these performance obligations and recognize revenue as the services are provided, for example as the programming is broadcast to subscribers, as this best represents the transfer of control of the services to the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1" w:name="page102"/>
    <w:bookmarkEnd w:id="10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299"/>
        <w:spacing w:after="0" w:line="242" w:lineRule="auto"/>
        <w:rPr>
          <w:sz w:val="20"/>
          <w:szCs w:val="20"/>
          <w:color w:val="auto"/>
        </w:rPr>
      </w:pPr>
      <w:r>
        <w:rPr>
          <w:rFonts w:ascii="Arial" w:cs="Arial" w:eastAsia="Arial" w:hAnsi="Arial"/>
          <w:sz w:val="18"/>
          <w:szCs w:val="18"/>
          <w:color w:val="auto"/>
        </w:rPr>
        <w:t>In cases where a subscriber is charged certain nonrefundable upfront fees, those fees are generally considered to be material rights to the subscriber related to the subscriber’s option to renew without having to pay an additional fee upon renewal. These fees are deferred and recognized over the estimated period of time during which the fee remains material to the customer, which we estimate to be less than one year. Revenues arising from our in-home services that are separate from the initial installation, such as mounting a TV on a subscriber’s wall, are generally recognized when these services are performed.</w:t>
      </w:r>
    </w:p>
    <w:p>
      <w:pPr>
        <w:spacing w:after="0" w:line="165" w:lineRule="exact"/>
        <w:rPr>
          <w:sz w:val="20"/>
          <w:szCs w:val="20"/>
          <w:color w:val="auto"/>
        </w:rPr>
      </w:pPr>
    </w:p>
    <w:p>
      <w:pPr>
        <w:ind w:left="200" w:right="279"/>
        <w:spacing w:after="0" w:line="247" w:lineRule="auto"/>
        <w:rPr>
          <w:sz w:val="20"/>
          <w:szCs w:val="20"/>
          <w:color w:val="auto"/>
        </w:rPr>
      </w:pPr>
      <w:r>
        <w:rPr>
          <w:rFonts w:ascii="Arial" w:cs="Arial" w:eastAsia="Arial" w:hAnsi="Arial"/>
          <w:sz w:val="18"/>
          <w:szCs w:val="18"/>
          <w:color w:val="auto"/>
        </w:rPr>
        <w:t xml:space="preserve">For our residential video subscribers, we have concluded that the contract term under Accounting Standard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is one month and as a result the revenue recognized for these subscribers for a given month is equal to the amount billed in that month, except for certain nonrefundable upfront fees that are accounted for as material rights, as discussed above.</w:t>
      </w:r>
    </w:p>
    <w:p>
      <w:pPr>
        <w:spacing w:after="0" w:line="160" w:lineRule="exact"/>
        <w:rPr>
          <w:sz w:val="20"/>
          <w:szCs w:val="20"/>
          <w:color w:val="auto"/>
        </w:rPr>
      </w:pPr>
    </w:p>
    <w:p>
      <w:pPr>
        <w:ind w:left="200" w:right="339"/>
        <w:spacing w:after="0"/>
        <w:rPr>
          <w:sz w:val="20"/>
          <w:szCs w:val="20"/>
          <w:color w:val="auto"/>
        </w:rPr>
      </w:pPr>
      <w:r>
        <w:rPr>
          <w:rFonts w:ascii="Arial" w:cs="Arial" w:eastAsia="Arial" w:hAnsi="Arial"/>
          <w:sz w:val="18"/>
          <w:szCs w:val="18"/>
          <w:color w:val="auto"/>
        </w:rPr>
        <w:t>Revenues from our advertising services are typically recognized as the advertisements are broadcast. Sales of equipment to subscribers or other third parties are recognized when control is transferred under the contract. Revenue from our commercial video subscribers typically follows the residential model described above, with the exception that the contract term for most of our commercial subscribers exceeds one month and can be multiple years in length. However, commercial subscribers typically do not receive time-limited discounts or free service periods and accordingly, while they may have multiple performance obligations, revenue is equal to the amount billed in a given month.</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Wireless Segment</w:t>
      </w:r>
    </w:p>
    <w:p>
      <w:pPr>
        <w:spacing w:after="0" w:line="196" w:lineRule="exact"/>
        <w:rPr>
          <w:sz w:val="20"/>
          <w:szCs w:val="20"/>
          <w:color w:val="auto"/>
        </w:rPr>
      </w:pPr>
    </w:p>
    <w:p>
      <w:pPr>
        <w:ind w:left="200" w:right="239"/>
        <w:spacing w:after="0" w:line="239" w:lineRule="auto"/>
        <w:rPr>
          <w:sz w:val="20"/>
          <w:szCs w:val="20"/>
          <w:color w:val="auto"/>
        </w:rPr>
      </w:pPr>
      <w:r>
        <w:rPr>
          <w:rFonts w:ascii="Arial" w:cs="Arial" w:eastAsia="Arial" w:hAnsi="Arial"/>
          <w:sz w:val="18"/>
          <w:szCs w:val="18"/>
          <w:color w:val="auto"/>
        </w:rPr>
        <w:t>Our Wireless Segment revenue is primarily derived from Wireless subscriber revenue and selling wireless devices to subscribers. The majority of our subscribers are prepaid with a smaller subset of postpaid subscribers. Prepaid subscribers prepay for their monthly service on a month-to-month contract. Our contracts with prepaid customers are determined to be one month. Postpaid subscribers are qualified to pay for their service after it has been provided and pay for their monthly service on a month-to-month contract. Our contracts with postpaid customers typically have an enforceable duration of one month. However, promotional bill credits offered to a customer on an equipment sale that are paid over time and are contingent on the customer maintaining a service contract may result in an extended service contract based on whether a substantive penalty is deemed to exist.</w:t>
      </w:r>
    </w:p>
    <w:p>
      <w:pPr>
        <w:spacing w:after="0" w:line="170"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color w:val="auto"/>
        </w:rPr>
        <w:t>We have both an indirect sales channel, which includes third-party owned retail stores and big box stores, as well as online through Amazon and Apple, and a direct sales channel, which services customers online through each respective brand’s website. To deliver products to third-party retail stores through the indirect sales channel, we use direct distribution partners to facilitate product delivery. Our contracts with customers may involve more than one performance obligation, which include wireless services, wireless devices or a combination thereof, and we allocate the transaction price between each performance obligation based on its relative standalone selling price. Although our Wireless segment offers both products and services, we have determined that not all contracts with customers are bundled arrangements as the wireless device and service are sometimes sold at different times, and in the case of certain sales arrangements through the indirect sales channel, have different customers. When control of the product is transferred to an intermediary other than the end customer in the indirect channel, the customer for the wireless device is the intermediary, such as the direct distribution partner, whereas for the service the subscriber is the end consumer. When control of the product is not transferred to the intermediary, in the indirect channel the product is accounted for as consigned inventory and the customer for both the wireless device and service is the end customer. Service revenues may also include other value added services to subscribers, which may be recorded either gross or net within our Consolidated Statements of Operations and Comprehensive Income (Loss) depending on whether we are deemed to be the principal or agent in the relationship with the subscriber. Service revenues are recognized when the service has been provided and no further obligation exists. Concessions given to subscribers are recorded as a reduction to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2" w:name="page103"/>
    <w:bookmarkEnd w:id="10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color w:val="auto"/>
        </w:rPr>
        <w:t>Equipment revenues are primarily related to the sale of wireless devices. Equipment revenue is recognized when control of the product is transferred to our customer, either the direct distribution partner or the end customer, as described above. We offer postpaid customers the option to pay for devices in installments, generally over 36 months. We recognize the effects of a financing component as a reduction of the transaction price in contracts where customers purchase their devices with an installment term of more than one year, including those financing components that are not considered to be significant to the contract in “Service revenue” on our Consolidated Statements of Operations and Comprehensive Income (Loss). We have elected the practical expedient of not recognizing the effects of a significant financing component for contracts where we expect, at contract inception, that the period between the transfer of a performance obligation to a customer and the customer’s payment for that performance obligation will be one year or less. We may offer certain promotions that provide our customers on device installment plans with the right to upgrade to a new device after paying a specified portion of their device payment plan agreement amount and trading in their device in good working order. We account for this trade-in right as a guarantee obligation. The full amount of the trade-in right’s fair value is recognized as a guarantee liability and results in a reduction to the revenue recognized upon the sale of the device. The total transaction price is reduced by the guarantee, which is accounted for outside the scope of ASC 606, and the remaining transaction price is allocated between the performance obligations within the contract.</w:t>
      </w:r>
    </w:p>
    <w:p>
      <w:pPr>
        <w:spacing w:after="0" w:line="170" w:lineRule="exact"/>
        <w:rPr>
          <w:sz w:val="20"/>
          <w:szCs w:val="20"/>
          <w:color w:val="auto"/>
        </w:rPr>
      </w:pPr>
    </w:p>
    <w:p>
      <w:pPr>
        <w:ind w:left="200" w:right="859"/>
        <w:spacing w:after="0" w:line="271" w:lineRule="auto"/>
        <w:rPr>
          <w:sz w:val="20"/>
          <w:szCs w:val="20"/>
          <w:color w:val="auto"/>
        </w:rPr>
      </w:pPr>
      <w:r>
        <w:rPr>
          <w:rFonts w:ascii="Arial" w:cs="Arial" w:eastAsia="Arial" w:hAnsi="Arial"/>
          <w:sz w:val="18"/>
          <w:szCs w:val="18"/>
          <w:color w:val="auto"/>
        </w:rPr>
        <w:t>Sales of equipment in the indirect sales channel often include credits subsequently paid to the direct distribution partner as a reimbursement for any discount promotions offered to the end consumer.</w:t>
      </w:r>
    </w:p>
    <w:p>
      <w:pPr>
        <w:spacing w:after="0" w:line="140" w:lineRule="exact"/>
        <w:rPr>
          <w:sz w:val="20"/>
          <w:szCs w:val="20"/>
          <w:color w:val="auto"/>
        </w:rPr>
      </w:pPr>
    </w:p>
    <w:p>
      <w:pPr>
        <w:ind w:left="200" w:right="259"/>
        <w:spacing w:after="0" w:line="244" w:lineRule="auto"/>
        <w:rPr>
          <w:sz w:val="20"/>
          <w:szCs w:val="20"/>
          <w:color w:val="auto"/>
        </w:rPr>
      </w:pPr>
      <w:r>
        <w:rPr>
          <w:rFonts w:ascii="Arial" w:cs="Arial" w:eastAsia="Arial" w:hAnsi="Arial"/>
          <w:sz w:val="18"/>
          <w:szCs w:val="18"/>
          <w:color w:val="auto"/>
        </w:rPr>
        <w:t>These credits (payments to a customer) are accounted for as variable consideration when estimating the amount of revenue to recognize from the sales of equipment to indirect dealers and are estimated based on historical experience and other factors, such as expected promotional activity. For wireless devices sold with a right of return, we defer a portion of equipment revenue and cost of sales to reflect this variable consideration.</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Governmental Funding</w:t>
      </w:r>
    </w:p>
    <w:p>
      <w:pPr>
        <w:spacing w:after="0" w:line="196" w:lineRule="exact"/>
        <w:rPr>
          <w:sz w:val="20"/>
          <w:szCs w:val="20"/>
          <w:color w:val="auto"/>
        </w:rPr>
      </w:pPr>
    </w:p>
    <w:p>
      <w:pPr>
        <w:ind w:left="200" w:right="219"/>
        <w:spacing w:after="0"/>
        <w:rPr>
          <w:sz w:val="20"/>
          <w:szCs w:val="20"/>
          <w:color w:val="auto"/>
        </w:rPr>
      </w:pPr>
      <w:r>
        <w:rPr>
          <w:rFonts w:ascii="Arial" w:cs="Arial" w:eastAsia="Arial" w:hAnsi="Arial"/>
          <w:sz w:val="18"/>
          <w:szCs w:val="18"/>
          <w:color w:val="auto"/>
        </w:rPr>
        <w:t>We participate in various United States federal and state programs, including, but not limited to, the Affordable Connectivity Program (“ACP”) and Lifeline program, under which eligible low-income households may receive a discount off the cost of broadband service and certain connected devices, and participating providers can receive a reimbursement for such discounts. The ACP program funding concluded on June 1, 2024. This revenue is included in “Service revenue” on our Consolidated Statements of Operations and Comprehensive Income (Loss). Corresponding receivables are recorded when services have been provided to the customers and costs incurred, but cash has not been received. These amounts are included in “Trade accounts receivable, net” on our Consolidated Balance Sheets.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Contract Balances</w:t>
      </w:r>
    </w:p>
    <w:p>
      <w:pPr>
        <w:spacing w:after="0" w:line="196" w:lineRule="exact"/>
        <w:rPr>
          <w:sz w:val="20"/>
          <w:szCs w:val="20"/>
          <w:color w:val="auto"/>
        </w:rPr>
      </w:pPr>
    </w:p>
    <w:p>
      <w:pPr>
        <w:ind w:left="200" w:right="259"/>
        <w:spacing w:after="0" w:line="238" w:lineRule="auto"/>
        <w:rPr>
          <w:sz w:val="20"/>
          <w:szCs w:val="20"/>
          <w:color w:val="auto"/>
        </w:rPr>
      </w:pPr>
      <w:r>
        <w:rPr>
          <w:rFonts w:ascii="Arial" w:cs="Arial" w:eastAsia="Arial" w:hAnsi="Arial"/>
          <w:sz w:val="18"/>
          <w:szCs w:val="18"/>
          <w:color w:val="auto"/>
        </w:rPr>
        <w:t>The timing of revenue recognition generally differs from the timing of invoicing to customers. A contract asset is recorded when revenue is recognized in advance of our right to receive consideration (i.e., we must perform additional services in order to receive consideration). Amounts are recorded as trade accounts receivable when our right to consideration is unconditional. When consideration is received, or we have an unconditional right to consideration in advance of delivery of goods or services, a contract liability is recorded. The transaction price can include nonrefundable upfront fees, which are allocated to the identifiable performance obligations. Our residential video subscribers are typically billed monthly, and the contract balances for those customers arise from the timing of the monthly billing cycle. Our current Wireless subscribers, the majority of which are prepaid, generate deferred revenue. We do not adjust the amount of consideration for financing impacts when we anticipate that the period between transfer of goods and services and eventual payment for those goods and services will be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3" w:name="page104"/>
    <w:bookmarkEnd w:id="10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379"/>
        <w:spacing w:after="0" w:line="244" w:lineRule="auto"/>
        <w:rPr>
          <w:sz w:val="20"/>
          <w:szCs w:val="20"/>
          <w:color w:val="auto"/>
        </w:rPr>
      </w:pPr>
      <w:r>
        <w:rPr>
          <w:rFonts w:ascii="Arial" w:cs="Arial" w:eastAsia="Arial" w:hAnsi="Arial"/>
          <w:sz w:val="18"/>
          <w:szCs w:val="18"/>
          <w:color w:val="auto"/>
        </w:rPr>
        <w:t>Contract assets are included in “Trade accounts receivable, net” and contract liabilities are included in “Deferred revenue and other” and “Long-term deferred revenue and other long-term liabilities” on our Consolidated Balance Sheets. Contract balances are amortized over the contract term. See Note 15 for further information, including balance and activity detail about our allowance for credit losses and deferred revenue related to contracts with subscribers.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Assets Recognized Related to the Costs to Obtain a Contract with a Customer</w:t>
      </w:r>
    </w:p>
    <w:p>
      <w:pPr>
        <w:spacing w:after="0" w:line="196"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in our Pay-TV and Wireless segments,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Consolidated Balance Sheets, and then amortized in “Selling, general and administrative expenses” on our Consolidated Statements of Operations and Comprehensive Income (Loss).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Lessee Accounting</w:t>
      </w:r>
    </w:p>
    <w:p>
      <w:pPr>
        <w:spacing w:after="0" w:line="196"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We enter into non-cancelable operating and finance leases for, among other things, communication towers, satellites, satellite-related ground infrastructure, data centers, office space, dark fiber and transport equipment, warehouses and distribution centers, vehicles and other equipment. Substantially all of our leases have remaining lease terms from one to 13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spacing w:after="0" w:line="171"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color w:val="auto"/>
        </w:rPr>
        <w:t>We determine if an arrangement is a lease and classify that lease as either an operating or finance lease at inception. Operating leases are included in “Operating lease assets,” “Other accrued expenses and liabilities” and “Operating lease liabilities” on our Consolidated Balance Sheets. Finance leases are included in “Property and equipment, net,” “Current portion of debt, finance lease and other obligations” and “Long-term debt, finance lease and other obligations, net of current portion” on our Consolidated Balance Sheets. Leases with an initial term of 12 months or less are not recorded on the balance sheet and we recognize lease expense for these leases on a straight-line basis over the lease term on our Consolidated Statements of Operations and Comprehensive Income (Loss). See Note 8 for further information on our lease expenses.</w:t>
      </w:r>
    </w:p>
    <w:p>
      <w:pPr>
        <w:spacing w:after="0" w:line="170" w:lineRule="exact"/>
        <w:rPr>
          <w:sz w:val="20"/>
          <w:szCs w:val="20"/>
          <w:color w:val="auto"/>
        </w:rPr>
      </w:pPr>
    </w:p>
    <w:p>
      <w:pPr>
        <w:ind w:left="200" w:right="259"/>
        <w:spacing w:after="0" w:line="238"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the present value of our obligation to make lease payments arising from the lease. Operating lease ROU assets and liabilities are recognized at commencement date based on the present value of lease payments over the lease term. The operating lease ROU asset also includes the impact of prepaid or deferred lease payments. When our leases do not provide an implicit rate, we use our IBR based on the information available at commencement date in determining the present value of lease payments. Our IBR is based on an estimated secured rate for the same term as the underlying lease plus a credit spread as secured by our assets. For leases denominated in a currency different than U.S. dollar, IBR is estimated using the collateralized borrowing rate in the foreign currency using the U.S. dollar and foreign currency swap spread, when available. The length of our lease term may include options to extend or terminate the lease when it is reasonably certain that we will exercise that option. Lease expense for operating lease payments is recognized on a straight-line basis over the lease term.</w:t>
      </w:r>
    </w:p>
    <w:p>
      <w:pPr>
        <w:spacing w:after="0" w:line="169" w:lineRule="exact"/>
        <w:rPr>
          <w:sz w:val="20"/>
          <w:szCs w:val="20"/>
          <w:color w:val="auto"/>
        </w:rPr>
      </w:pPr>
    </w:p>
    <w:p>
      <w:pPr>
        <w:ind w:left="200" w:right="759"/>
        <w:spacing w:after="0" w:line="271"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04" w:name="page105"/>
    <w:bookmarkEnd w:id="10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Lessor Accounting</w:t>
      </w:r>
    </w:p>
    <w:p>
      <w:pPr>
        <w:spacing w:after="0" w:line="196" w:lineRule="exact"/>
        <w:rPr>
          <w:sz w:val="20"/>
          <w:szCs w:val="20"/>
          <w:color w:val="auto"/>
        </w:rPr>
      </w:pPr>
    </w:p>
    <w:p>
      <w:pPr>
        <w:ind w:left="200" w:right="499"/>
        <w:spacing w:after="0" w:line="247" w:lineRule="auto"/>
        <w:rPr>
          <w:sz w:val="20"/>
          <w:szCs w:val="20"/>
          <w:color w:val="auto"/>
        </w:rPr>
      </w:pPr>
      <w:r>
        <w:rPr>
          <w:rFonts w:ascii="Arial" w:cs="Arial" w:eastAsia="Arial" w:hAnsi="Arial"/>
          <w:sz w:val="18"/>
          <w:szCs w:val="18"/>
          <w:color w:val="auto"/>
        </w:rPr>
        <w:t>DISH TV subscribers have the choice of leasing or purchasing the satellite receiver and other equipment necessary to receive our DISH TV services. Most of our new DISH TV subscribers choose to lease equipment and thus we retain title to such equipment. Equipment leased to new and existing DISH TV subscribers is capitalized and depreciated over their estimated useful lives.</w:t>
      </w:r>
    </w:p>
    <w:p>
      <w:pPr>
        <w:spacing w:after="0" w:line="160" w:lineRule="exact"/>
        <w:rPr>
          <w:sz w:val="20"/>
          <w:szCs w:val="20"/>
          <w:color w:val="auto"/>
        </w:rPr>
      </w:pPr>
    </w:p>
    <w:p>
      <w:pPr>
        <w:ind w:left="200" w:right="359"/>
        <w:spacing w:after="0" w:line="244" w:lineRule="auto"/>
        <w:rPr>
          <w:sz w:val="20"/>
          <w:szCs w:val="20"/>
          <w:color w:val="auto"/>
        </w:rPr>
      </w:pPr>
      <w:r>
        <w:rPr>
          <w:rFonts w:ascii="Arial" w:cs="Arial" w:eastAsia="Arial" w:hAnsi="Arial"/>
          <w:sz w:val="18"/>
          <w:szCs w:val="18"/>
          <w:color w:val="auto"/>
        </w:rPr>
        <w:t>For equipment leased to new and existing DISH TV subscribers, we made an accounting policy election to combine the equipment with our programming services as a single performance obligation in accordance with the revenue recognition guidance as the programming services are the predominant component. The non-lease service revenue related to equipment leased to new and existing DISH TV subscribers would have otherwise been accounted for as an operating lease.</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Pay-TV Segment</w:t>
      </w:r>
    </w:p>
    <w:p>
      <w:pPr>
        <w:spacing w:after="0" w:line="223"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“Cost of services” on our Consolidated Statements of Operations and Comprehensive Income (Loss) principally includes programming expenses and other operating costs related to our Pay-TV segment. The cost of television programming distribution rights is generally incurred on a per subscriber basis and various upfront carriage payments are recognized when the related programming is distributed to subscribers. Long-term flat rate programming contracts are generally charged to expense using the straight-line method over the term of the agreement. The cost of television programming rights to distribute live sporting events for a season or tournament is charged to expense using the straight-line method over the course of the season or tournament.</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Wireless Segment</w:t>
      </w:r>
    </w:p>
    <w:p>
      <w:pPr>
        <w:spacing w:after="0" w:line="196"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“Cost of services” on our Consolidated Statements of Operations and Comprehensive Income (Loss) principally includes costs incurred under the MNSA and NSA, lease expense on communication towers and transport as well as cloud services, certain direct costs of our 5G Network operations necessary to deliver wireless voice and data services. Costs incurred under the MNSA and NSA are recognized as the services are performed or as incurred. Lease costs are generally recognized on a straight-line basis over the lease term. Costs related to cloud services are either recognized ratably over the contract term or based on usage.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 – Equipment and Other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Pay-TV Segment</w:t>
      </w:r>
    </w:p>
    <w:p>
      <w:pPr>
        <w:spacing w:after="0" w:line="277" w:lineRule="exact"/>
        <w:rPr>
          <w:sz w:val="20"/>
          <w:szCs w:val="20"/>
          <w:color w:val="auto"/>
        </w:rPr>
      </w:pPr>
    </w:p>
    <w:p>
      <w:pPr>
        <w:ind w:left="200" w:right="379"/>
        <w:spacing w:after="0" w:line="253" w:lineRule="auto"/>
        <w:rPr>
          <w:sz w:val="20"/>
          <w:szCs w:val="20"/>
          <w:color w:val="auto"/>
        </w:rPr>
      </w:pPr>
      <w:r>
        <w:rPr>
          <w:rFonts w:ascii="Arial" w:cs="Arial" w:eastAsia="Arial" w:hAnsi="Arial"/>
          <w:sz w:val="18"/>
          <w:szCs w:val="18"/>
          <w:color w:val="auto"/>
        </w:rPr>
        <w:t>“Cost of sales – equipment and other” on our Consolidated Statements of Operations and Comprehensive Income (Loss) principally includes costs related to the non-subsidized sales of Pay-TV equipment. Costs are generally recognized as products are delivered to customers and the related revenue is recognized.</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Wireless Segment</w:t>
      </w:r>
    </w:p>
    <w:p>
      <w:pPr>
        <w:spacing w:after="0" w:line="250" w:lineRule="exact"/>
        <w:rPr>
          <w:sz w:val="20"/>
          <w:szCs w:val="20"/>
          <w:color w:val="auto"/>
        </w:rPr>
      </w:pPr>
    </w:p>
    <w:p>
      <w:pPr>
        <w:ind w:left="200" w:right="379"/>
        <w:spacing w:after="0" w:line="253" w:lineRule="auto"/>
        <w:rPr>
          <w:sz w:val="20"/>
          <w:szCs w:val="20"/>
          <w:color w:val="auto"/>
        </w:rPr>
      </w:pPr>
      <w:r>
        <w:rPr>
          <w:rFonts w:ascii="Arial" w:cs="Arial" w:eastAsia="Arial" w:hAnsi="Arial"/>
          <w:sz w:val="18"/>
          <w:szCs w:val="18"/>
          <w:color w:val="auto"/>
        </w:rPr>
        <w:t>“Cost of sales – equipment and other” on our Consolidated Statements of Operations and Comprehensive Income (Loss) principally includes the cost of wireless devices and other related items. Costs are recognized as products are delivered to customers and the related revenue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5" w:name="page106"/>
    <w:bookmarkEnd w:id="10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6" w:lineRule="exact"/>
        <w:rPr>
          <w:sz w:val="20"/>
          <w:szCs w:val="20"/>
          <w:color w:val="auto"/>
        </w:rPr>
      </w:pPr>
    </w:p>
    <w:p>
      <w:pPr>
        <w:ind w:left="200" w:right="279"/>
        <w:spacing w:after="0" w:line="247" w:lineRule="auto"/>
        <w:rPr>
          <w:sz w:val="20"/>
          <w:szCs w:val="20"/>
          <w:color w:val="auto"/>
        </w:rPr>
      </w:pPr>
      <w:r>
        <w:rPr>
          <w:rFonts w:ascii="Arial" w:cs="Arial" w:eastAsia="Arial" w:hAnsi="Arial"/>
          <w:sz w:val="18"/>
          <w:szCs w:val="18"/>
          <w:color w:val="auto"/>
        </w:rPr>
        <w:t>We recognize advertising expense when incurred as a component of “Selling, general and administrative expenses” on our Consolidated Statements of Operations and Comprehensive Income (Loss). Advertising expenses totaled $597 million, $698 million and $633 million for the years ended December 31, 2024, 2023 and 2022, respectively.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0" w:lineRule="exact"/>
        <w:rPr>
          <w:sz w:val="20"/>
          <w:szCs w:val="20"/>
          <w:color w:val="auto"/>
        </w:rPr>
      </w:pPr>
    </w:p>
    <w:p>
      <w:pPr>
        <w:ind w:left="200" w:right="279"/>
        <w:spacing w:after="0" w:line="244" w:lineRule="auto"/>
        <w:rPr>
          <w:sz w:val="20"/>
          <w:szCs w:val="20"/>
          <w:color w:val="auto"/>
        </w:rPr>
      </w:pPr>
      <w:r>
        <w:rPr>
          <w:rFonts w:ascii="Arial" w:cs="Arial" w:eastAsia="Arial" w:hAnsi="Arial"/>
          <w:sz w:val="18"/>
          <w:szCs w:val="18"/>
          <w:color w:val="auto"/>
        </w:rPr>
        <w:t>Research and development costs, not incurred in connection with customer requirements, are expensed as incurred and are included as a component of “Selling, general and administrative expenses” on our Consolidated Statements of Operations and Comprehensive Income (Loss). Research and development costs totaled $27 million, $42 million and $45 million for the years ended December 31, 2024, 2023 and 2022, respectively.</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Not Yet Adopted</w:t>
      </w:r>
    </w:p>
    <w:p>
      <w:pPr>
        <w:spacing w:after="0" w:line="196"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i w:val="1"/>
          <w:iCs w:val="1"/>
          <w:color w:val="auto"/>
        </w:rPr>
        <w:t xml:space="preserve">Joint Ventures. </w:t>
      </w:r>
      <w:r>
        <w:rPr>
          <w:rFonts w:ascii="Arial" w:cs="Arial" w:eastAsia="Arial" w:hAnsi="Arial"/>
          <w:sz w:val="18"/>
          <w:szCs w:val="18"/>
          <w:color w:val="auto"/>
        </w:rPr>
        <w:t>On August 23, 2023, the FASB issued ASU 2023-05,</w:t>
      </w:r>
      <w:r>
        <w:rPr>
          <w:rFonts w:ascii="Arial" w:cs="Arial" w:eastAsia="Arial" w:hAnsi="Arial"/>
          <w:sz w:val="18"/>
          <w:szCs w:val="18"/>
          <w:i w:val="1"/>
          <w:iCs w:val="1"/>
          <w:color w:val="auto"/>
        </w:rPr>
        <w:t xml:space="preserve"> Business Combinations — Joint Venture Formations (Subtopic 805-60) </w:t>
      </w:r>
      <w:r>
        <w:rPr>
          <w:rFonts w:ascii="Arial" w:cs="Arial" w:eastAsia="Arial" w:hAnsi="Arial"/>
          <w:sz w:val="18"/>
          <w:szCs w:val="18"/>
          <w:color w:val="auto"/>
        </w:rPr>
        <w:t>(“ASU 2023-05”), which requires an entity that qualifies as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 or a corporate joint venture as defined in the FASB Accounting Standards Codification (ASC) master glossary to apply a new basis of accounting upon the formation of the joint venture. This standard will be effective for all joint venture formations with a formation date on or after January 1, 2025.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We plan to adopt the standard if applicable and we expect the adoption of the standard will have an immaterial impact on our disclosures.</w:t>
      </w:r>
    </w:p>
    <w:p>
      <w:pPr>
        <w:spacing w:after="0" w:line="170" w:lineRule="exact"/>
        <w:rPr>
          <w:sz w:val="20"/>
          <w:szCs w:val="20"/>
          <w:color w:val="auto"/>
        </w:rPr>
      </w:pPr>
    </w:p>
    <w:p>
      <w:pPr>
        <w:ind w:left="200" w:right="239"/>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On December 14, 2023, the FASB issued ASU 2023-9,</w:t>
      </w:r>
      <w:r>
        <w:rPr>
          <w:rFonts w:ascii="Arial" w:cs="Arial" w:eastAsia="Arial" w:hAnsi="Arial"/>
          <w:sz w:val="18"/>
          <w:szCs w:val="18"/>
          <w:i w:val="1"/>
          <w:iCs w:val="1"/>
          <w:color w:val="auto"/>
        </w:rPr>
        <w:t xml:space="preserve"> Income Taxes (Topic 740)</w:t>
      </w:r>
      <w:r>
        <w:rPr>
          <w:rFonts w:ascii="Arial" w:cs="Arial" w:eastAsia="Arial" w:hAnsi="Arial"/>
          <w:sz w:val="18"/>
          <w:szCs w:val="18"/>
          <w:color w:val="auto"/>
        </w:rPr>
        <w:t>:</w:t>
      </w:r>
      <w:r>
        <w:rPr>
          <w:rFonts w:ascii="Arial" w:cs="Arial" w:eastAsia="Arial" w:hAnsi="Arial"/>
          <w:sz w:val="18"/>
          <w:szCs w:val="18"/>
          <w:i w:val="1"/>
          <w:iCs w:val="1"/>
          <w:color w:val="auto"/>
        </w:rPr>
        <w:t xml:space="preserve"> Improvements to Income Tax Disclosures </w:t>
      </w:r>
      <w:r>
        <w:rPr>
          <w:rFonts w:ascii="Arial" w:cs="Arial" w:eastAsia="Arial" w:hAnsi="Arial"/>
          <w:sz w:val="18"/>
          <w:szCs w:val="18"/>
          <w:color w:val="auto"/>
        </w:rPr>
        <w:t>(“ASU 2023-09”), which will enhance income tax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ASU 2023-09 requires among other items 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 We are evaluating the impact the adoption of ASU 2023-09 will have on our Consolidated Financial Statements and related disclosures.</w:t>
      </w:r>
    </w:p>
    <w:p>
      <w:pPr>
        <w:spacing w:after="0" w:line="171" w:lineRule="exact"/>
        <w:rPr>
          <w:sz w:val="20"/>
          <w:szCs w:val="20"/>
          <w:color w:val="auto"/>
        </w:rPr>
      </w:pPr>
    </w:p>
    <w:p>
      <w:pPr>
        <w:ind w:left="200" w:right="259"/>
        <w:spacing w:after="0"/>
        <w:rPr>
          <w:sz w:val="20"/>
          <w:szCs w:val="20"/>
          <w:color w:val="auto"/>
        </w:rPr>
      </w:pP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On November 5, 2024, the FASB issued ASU 2024-03,</w:t>
      </w:r>
      <w:r>
        <w:rPr>
          <w:rFonts w:ascii="Arial" w:cs="Arial" w:eastAsia="Arial" w:hAnsi="Arial"/>
          <w:sz w:val="18"/>
          <w:szCs w:val="18"/>
          <w:i w:val="1"/>
          <w:iCs w:val="1"/>
          <w:color w:val="auto"/>
        </w:rPr>
        <w:t xml:space="preserve"> Income Statement – Reporting Comprehensive Income – Expense Disaggregation Disclosures (Subtopic 220-40) </w:t>
      </w:r>
      <w:r>
        <w:rPr>
          <w:rFonts w:ascii="Arial" w:cs="Arial" w:eastAsia="Arial" w:hAnsi="Arial"/>
          <w:sz w:val="18"/>
          <w:szCs w:val="18"/>
          <w:color w:val="auto"/>
        </w:rPr>
        <w:t>(“ASU 2024-03”), which will enhance financial statement reporting by providing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6" w:name="page107"/>
    <w:bookmarkEnd w:id="10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2" w:lineRule="exact"/>
        <w:rPr>
          <w:sz w:val="20"/>
          <w:szCs w:val="20"/>
          <w:color w:val="auto"/>
        </w:rPr>
      </w:pPr>
    </w:p>
    <w:p>
      <w:pPr>
        <w:ind w:left="600" w:hanging="391"/>
        <w:spacing w:after="0"/>
        <w:tabs>
          <w:tab w:leader="none" w:pos="6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Data - Statements of Cash Flows</w:t>
      </w:r>
    </w:p>
    <w:p>
      <w:pPr>
        <w:spacing w:after="0" w:line="158" w:lineRule="exact"/>
        <w:rPr>
          <w:sz w:val="20"/>
          <w:szCs w:val="20"/>
          <w:color w:val="auto"/>
        </w:rPr>
      </w:pPr>
    </w:p>
    <w:p>
      <w:pPr>
        <w:ind w:left="200" w:right="739"/>
        <w:spacing w:after="0" w:line="271" w:lineRule="auto"/>
        <w:rPr>
          <w:sz w:val="20"/>
          <w:szCs w:val="20"/>
          <w:color w:val="auto"/>
        </w:rPr>
      </w:pPr>
      <w:r>
        <w:rPr>
          <w:rFonts w:ascii="Arial" w:cs="Arial" w:eastAsia="Arial" w:hAnsi="Arial"/>
          <w:sz w:val="18"/>
          <w:szCs w:val="18"/>
          <w:color w:val="auto"/>
        </w:rPr>
        <w:t>The following table presents certain supplemental cash flow and other non-cash data. See Note 8 for supplemental cash flow and non-cash data related to leases.</w:t>
      </w:r>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3040" w:type="dxa"/>
            <w:vAlign w:val="bottom"/>
            <w:gridSpan w:val="5"/>
          </w:tcPr>
          <w:p>
            <w:pPr>
              <w:ind w:left="18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6"/>
                <w:szCs w:val="16"/>
                <w:color w:val="auto"/>
                <w:w w:val="85"/>
              </w:rPr>
              <w:t>(In</w:t>
            </w:r>
          </w:p>
        </w:tc>
        <w:tc>
          <w:tcPr>
            <w:tcW w:w="9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9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thousands)</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 (including capitalized interest)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1,332,223</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$ 1,301,783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$ 1,044,276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Cash paid for interest DISH 2021 Intercompany Loan 2026 Tranche</w:t>
            </w:r>
          </w:p>
        </w:tc>
        <w:tc>
          <w:tcPr>
            <w:tcW w:w="1000" w:type="dxa"/>
            <w:vAlign w:val="bottom"/>
          </w:tcPr>
          <w:p>
            <w:pPr>
              <w:jc w:val="right"/>
              <w:spacing w:after="0"/>
              <w:rPr>
                <w:sz w:val="20"/>
                <w:szCs w:val="20"/>
                <w:color w:val="auto"/>
              </w:rPr>
            </w:pPr>
            <w:r>
              <w:rPr>
                <w:rFonts w:ascii="Arial" w:cs="Arial" w:eastAsia="Arial" w:hAnsi="Arial"/>
                <w:sz w:val="16"/>
                <w:szCs w:val="16"/>
                <w:color w:val="auto"/>
              </w:rPr>
              <w:t>195,682</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Cash received for interest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13,877</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Cash paid for income taxes, net of (refunds)</w:t>
            </w:r>
          </w:p>
        </w:tc>
        <w:tc>
          <w:tcPr>
            <w:tcW w:w="1200" w:type="dxa"/>
            <w:vAlign w:val="bottom"/>
            <w:gridSpan w:val="2"/>
          </w:tcPr>
          <w:p>
            <w:pPr>
              <w:jc w:val="right"/>
              <w:ind w:right="119"/>
              <w:spacing w:after="0"/>
              <w:rPr>
                <w:sz w:val="20"/>
                <w:szCs w:val="20"/>
                <w:color w:val="auto"/>
              </w:rPr>
            </w:pPr>
            <w:r>
              <w:rPr>
                <w:rFonts w:ascii="Arial" w:cs="Arial" w:eastAsia="Arial" w:hAnsi="Arial"/>
                <w:sz w:val="16"/>
                <w:szCs w:val="16"/>
                <w:color w:val="auto"/>
              </w:rPr>
              <w:t>(20,695)</w:t>
            </w:r>
          </w:p>
        </w:tc>
        <w:tc>
          <w:tcPr>
            <w:tcW w:w="920" w:type="dxa"/>
            <w:vAlign w:val="bottom"/>
          </w:tcPr>
          <w:p>
            <w:pPr>
              <w:jc w:val="right"/>
              <w:spacing w:after="0"/>
              <w:rPr>
                <w:sz w:val="20"/>
                <w:szCs w:val="20"/>
                <w:color w:val="auto"/>
              </w:rPr>
            </w:pPr>
            <w:r>
              <w:rPr>
                <w:rFonts w:ascii="Arial" w:cs="Arial" w:eastAsia="Arial" w:hAnsi="Arial"/>
                <w:sz w:val="16"/>
                <w:szCs w:val="16"/>
                <w:color w:val="auto"/>
              </w:rPr>
              <w:t>(8,138)</w:t>
            </w:r>
          </w:p>
        </w:tc>
        <w:tc>
          <w:tcPr>
            <w:tcW w:w="900" w:type="dxa"/>
            <w:vAlign w:val="bottom"/>
          </w:tcPr>
          <w:p>
            <w:pPr>
              <w:jc w:val="right"/>
              <w:spacing w:after="0"/>
              <w:rPr>
                <w:sz w:val="20"/>
                <w:szCs w:val="20"/>
                <w:color w:val="auto"/>
              </w:rPr>
            </w:pPr>
            <w:r>
              <w:rPr>
                <w:rFonts w:ascii="Arial" w:cs="Arial" w:eastAsia="Arial" w:hAnsi="Arial"/>
                <w:sz w:val="16"/>
                <w:szCs w:val="16"/>
                <w:color w:val="auto"/>
              </w:rPr>
              <w:t>57,278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Capitalized interest (1)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954,762</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1,291,290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1,040,971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Employee benefits paid in Class A common stock</w:t>
            </w:r>
          </w:p>
        </w:tc>
        <w:tc>
          <w:tcPr>
            <w:tcW w:w="12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14,680</w:t>
            </w:r>
          </w:p>
        </w:tc>
        <w:tc>
          <w:tcPr>
            <w:tcW w:w="900" w:type="dxa"/>
            <w:vAlign w:val="bottom"/>
          </w:tcPr>
          <w:p>
            <w:pPr>
              <w:jc w:val="right"/>
              <w:spacing w:after="0"/>
              <w:rPr>
                <w:sz w:val="20"/>
                <w:szCs w:val="20"/>
                <w:color w:val="auto"/>
              </w:rPr>
            </w:pPr>
            <w:r>
              <w:rPr>
                <w:rFonts w:ascii="Arial" w:cs="Arial" w:eastAsia="Arial" w:hAnsi="Arial"/>
                <w:sz w:val="16"/>
                <w:szCs w:val="16"/>
                <w:color w:val="auto"/>
              </w:rPr>
              <w:t>26,348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Vendor financing</w:t>
            </w: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87,343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108,048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Regulatory authorizations reclassification</w:t>
            </w:r>
          </w:p>
        </w:tc>
        <w:tc>
          <w:tcPr>
            <w:tcW w:w="12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122,657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Accrued capital expenditures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132,693</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397,137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Asset retirement obligation</w:t>
            </w:r>
          </w:p>
        </w:tc>
        <w:tc>
          <w:tcPr>
            <w:tcW w:w="1000" w:type="dxa"/>
            <w:vAlign w:val="bottom"/>
          </w:tcPr>
          <w:p>
            <w:pPr>
              <w:jc w:val="right"/>
              <w:spacing w:after="0"/>
              <w:rPr>
                <w:sz w:val="20"/>
                <w:szCs w:val="20"/>
                <w:color w:val="auto"/>
              </w:rPr>
            </w:pPr>
            <w:r>
              <w:rPr>
                <w:rFonts w:ascii="Arial" w:cs="Arial" w:eastAsia="Arial" w:hAnsi="Arial"/>
                <w:sz w:val="16"/>
                <w:szCs w:val="16"/>
                <w:color w:val="auto"/>
              </w:rPr>
              <w:t>20,929</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74,189</w:t>
            </w:r>
          </w:p>
        </w:tc>
        <w:tc>
          <w:tcPr>
            <w:tcW w:w="900" w:type="dxa"/>
            <w:vAlign w:val="bottom"/>
          </w:tcPr>
          <w:p>
            <w:pPr>
              <w:jc w:val="right"/>
              <w:spacing w:after="0"/>
              <w:rPr>
                <w:sz w:val="20"/>
                <w:szCs w:val="20"/>
                <w:color w:val="auto"/>
              </w:rPr>
            </w:pPr>
            <w:r>
              <w:rPr>
                <w:rFonts w:ascii="Arial" w:cs="Arial" w:eastAsia="Arial" w:hAnsi="Arial"/>
                <w:sz w:val="16"/>
                <w:szCs w:val="16"/>
                <w:color w:val="auto"/>
              </w:rPr>
              <w:t>122,390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Revaluation of contingent liabilities</w:t>
            </w: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Asset Transfer to EchoStar, including deferred taxes of $3,775,370 (2)</w:t>
            </w:r>
          </w:p>
        </w:tc>
        <w:tc>
          <w:tcPr>
            <w:tcW w:w="1000" w:type="dxa"/>
            <w:vAlign w:val="bottom"/>
          </w:tcPr>
          <w:p>
            <w:pPr>
              <w:jc w:val="right"/>
              <w:spacing w:after="0"/>
              <w:rPr>
                <w:sz w:val="20"/>
                <w:szCs w:val="20"/>
                <w:color w:val="auto"/>
              </w:rPr>
            </w:pPr>
            <w:r>
              <w:rPr>
                <w:rFonts w:ascii="Arial" w:cs="Arial" w:eastAsia="Arial" w:hAnsi="Arial"/>
                <w:sz w:val="16"/>
                <w:szCs w:val="16"/>
                <w:color w:val="auto"/>
              </w:rPr>
              <w:t>15,778,363</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Conversion of outstanding redeemable noncontrolling interest in SNR</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HoldCo to noncontrolling interest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441,998</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Orbital II Transfer from EchoStar</w:t>
            </w:r>
          </w:p>
        </w:tc>
        <w:tc>
          <w:tcPr>
            <w:tcW w:w="1000" w:type="dxa"/>
            <w:vAlign w:val="bottom"/>
          </w:tcPr>
          <w:p>
            <w:pPr>
              <w:jc w:val="right"/>
              <w:spacing w:after="0"/>
              <w:rPr>
                <w:sz w:val="20"/>
                <w:szCs w:val="20"/>
                <w:color w:val="auto"/>
              </w:rPr>
            </w:pPr>
            <w:r>
              <w:rPr>
                <w:rFonts w:ascii="Arial" w:cs="Arial" w:eastAsia="Arial" w:hAnsi="Arial"/>
                <w:sz w:val="16"/>
                <w:szCs w:val="16"/>
                <w:color w:val="auto"/>
              </w:rPr>
              <w:t>140,510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40" w:hanging="331"/>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 Note 2 for further information.</w:t>
      </w:r>
    </w:p>
    <w:p>
      <w:pPr>
        <w:spacing w:after="0" w:line="13" w:lineRule="exact"/>
        <w:rPr>
          <w:rFonts w:ascii="Arial" w:cs="Arial" w:eastAsia="Arial" w:hAnsi="Arial"/>
          <w:sz w:val="18"/>
          <w:szCs w:val="18"/>
          <w:color w:val="auto"/>
        </w:rPr>
      </w:pPr>
    </w:p>
    <w:p>
      <w:pPr>
        <w:ind w:left="540" w:hanging="331"/>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 Note 1 for further information.</w:t>
      </w:r>
    </w:p>
    <w:p>
      <w:pPr>
        <w:spacing w:after="0" w:line="180" w:lineRule="exact"/>
        <w:rPr>
          <w:sz w:val="20"/>
          <w:szCs w:val="20"/>
          <w:color w:val="auto"/>
        </w:rPr>
      </w:pPr>
    </w:p>
    <w:p>
      <w:pPr>
        <w:ind w:left="600" w:hanging="391"/>
        <w:spacing w:after="0"/>
        <w:tabs>
          <w:tab w:leader="none" w:pos="6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(Loss)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the tax effect on each component of “Other comprehensive income (loss).”</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2"/>
          </w:tcPr>
          <w:p>
            <w:pPr>
              <w:jc w:val="center"/>
              <w:ind w:left="393"/>
              <w:spacing w:after="0"/>
              <w:rPr>
                <w:sz w:val="20"/>
                <w:szCs w:val="20"/>
                <w:color w:val="auto"/>
              </w:rPr>
            </w:pPr>
            <w:r>
              <w:rPr>
                <w:rFonts w:ascii="Arial" w:cs="Arial" w:eastAsia="Arial" w:hAnsi="Arial"/>
                <w:sz w:val="13"/>
                <w:szCs w:val="13"/>
                <w:b w:val="1"/>
                <w:bCs w:val="1"/>
                <w:color w:val="auto"/>
              </w:rPr>
              <w:t>For the Years Ended December 31,</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rPr>
              <w:t>Before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center"/>
              <w:ind w:right="73"/>
              <w:spacing w:after="0"/>
              <w:rPr>
                <w:sz w:val="20"/>
                <w:szCs w:val="20"/>
                <w:color w:val="auto"/>
              </w:rPr>
            </w:pPr>
            <w:r>
              <w:rPr>
                <w:rFonts w:ascii="Arial" w:cs="Arial" w:eastAsia="Arial" w:hAnsi="Arial"/>
                <w:sz w:val="13"/>
                <w:szCs w:val="13"/>
                <w:b w:val="1"/>
                <w:bCs w:val="1"/>
                <w:color w:val="auto"/>
                <w:w w:val="97"/>
              </w:rPr>
              <w:t>Tax</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center"/>
              <w:ind w:right="53"/>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rPr>
              <w:t>Before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93"/>
              <w:spacing w:after="0"/>
              <w:rPr>
                <w:sz w:val="20"/>
                <w:szCs w:val="20"/>
                <w:color w:val="auto"/>
              </w:rPr>
            </w:pPr>
            <w:r>
              <w:rPr>
                <w:rFonts w:ascii="Arial" w:cs="Arial" w:eastAsia="Arial" w:hAnsi="Arial"/>
                <w:sz w:val="13"/>
                <w:szCs w:val="13"/>
                <w:b w:val="1"/>
                <w:bCs w:val="1"/>
                <w:color w:val="auto"/>
                <w:w w:val="97"/>
              </w:rPr>
              <w:t>Tax</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ind w:right="113"/>
              <w:spacing w:after="0"/>
              <w:rPr>
                <w:sz w:val="20"/>
                <w:szCs w:val="20"/>
                <w:color w:val="auto"/>
              </w:rPr>
            </w:pPr>
            <w:r>
              <w:rPr>
                <w:rFonts w:ascii="Arial" w:cs="Arial" w:eastAsia="Arial" w:hAnsi="Arial"/>
                <w:sz w:val="13"/>
                <w:szCs w:val="13"/>
                <w:b w:val="1"/>
                <w:bCs w:val="1"/>
                <w:color w:val="auto"/>
              </w:rPr>
              <w:t>Net</w:t>
            </w:r>
          </w:p>
        </w:tc>
        <w:tc>
          <w:tcPr>
            <w:tcW w:w="8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rPr>
              <w:t>Before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Tax</w:t>
            </w:r>
          </w:p>
        </w:tc>
        <w:tc>
          <w:tcPr>
            <w:tcW w:w="80" w:type="dxa"/>
            <w:vAlign w:val="bottom"/>
          </w:tcPr>
          <w:p>
            <w:pPr>
              <w:spacing w:after="0"/>
              <w:rPr>
                <w:sz w:val="17"/>
                <w:szCs w:val="17"/>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Net</w:t>
            </w:r>
          </w:p>
        </w:tc>
      </w:tr>
      <w:tr>
        <w:trPr>
          <w:trHeight w:val="203"/>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center"/>
              <w:ind w:right="73"/>
              <w:spacing w:after="0"/>
              <w:rPr>
                <w:sz w:val="20"/>
                <w:szCs w:val="20"/>
                <w:color w:val="auto"/>
              </w:rPr>
            </w:pPr>
            <w:r>
              <w:rPr>
                <w:rFonts w:ascii="Arial" w:cs="Arial" w:eastAsia="Arial" w:hAnsi="Arial"/>
                <w:sz w:val="13"/>
                <w:szCs w:val="13"/>
                <w:b w:val="1"/>
                <w:bCs w:val="1"/>
                <w:color w:val="auto"/>
                <w:w w:val="97"/>
              </w:rPr>
              <w:t>Tax</w:t>
            </w: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rPr>
              <w:t>(Expense)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center"/>
              <w:ind w:right="33"/>
              <w:spacing w:after="0"/>
              <w:rPr>
                <w:sz w:val="20"/>
                <w:szCs w:val="20"/>
                <w:color w:val="auto"/>
              </w:rPr>
            </w:pPr>
            <w:r>
              <w:rPr>
                <w:rFonts w:ascii="Arial" w:cs="Arial" w:eastAsia="Arial" w:hAnsi="Arial"/>
                <w:sz w:val="13"/>
                <w:szCs w:val="13"/>
                <w:b w:val="1"/>
                <w:bCs w:val="1"/>
                <w:color w:val="auto"/>
              </w:rPr>
              <w:t>of Tax</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93"/>
              <w:spacing w:after="0"/>
              <w:rPr>
                <w:sz w:val="20"/>
                <w:szCs w:val="20"/>
                <w:color w:val="auto"/>
              </w:rPr>
            </w:pPr>
            <w:r>
              <w:rPr>
                <w:rFonts w:ascii="Arial" w:cs="Arial" w:eastAsia="Arial" w:hAnsi="Arial"/>
                <w:sz w:val="13"/>
                <w:szCs w:val="13"/>
                <w:b w:val="1"/>
                <w:bCs w:val="1"/>
                <w:color w:val="auto"/>
                <w:w w:val="97"/>
              </w:rPr>
              <w:t>Tax</w:t>
            </w:r>
          </w:p>
        </w:tc>
        <w:tc>
          <w:tcPr>
            <w:tcW w:w="16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(Expense)</w:t>
            </w:r>
          </w:p>
        </w:tc>
        <w:tc>
          <w:tcPr>
            <w:tcW w:w="20" w:type="dxa"/>
            <w:vAlign w:val="bottom"/>
          </w:tcPr>
          <w:p>
            <w:pPr>
              <w:spacing w:after="0"/>
              <w:rPr>
                <w:sz w:val="17"/>
                <w:szCs w:val="17"/>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of Tax</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center"/>
              <w:ind w:right="133"/>
              <w:spacing w:after="0"/>
              <w:rPr>
                <w:sz w:val="20"/>
                <w:szCs w:val="20"/>
                <w:color w:val="auto"/>
              </w:rPr>
            </w:pPr>
            <w:r>
              <w:rPr>
                <w:rFonts w:ascii="Arial" w:cs="Arial" w:eastAsia="Arial" w:hAnsi="Arial"/>
                <w:sz w:val="13"/>
                <w:szCs w:val="13"/>
                <w:b w:val="1"/>
                <w:bCs w:val="1"/>
                <w:color w:val="auto"/>
                <w:w w:val="97"/>
              </w:rPr>
              <w:t>Tax</w:t>
            </w:r>
          </w:p>
        </w:tc>
        <w:tc>
          <w:tcPr>
            <w:tcW w:w="40" w:type="dxa"/>
            <w:vAlign w:val="bottom"/>
          </w:tcPr>
          <w:p>
            <w:pPr>
              <w:spacing w:after="0"/>
              <w:rPr>
                <w:sz w:val="17"/>
                <w:szCs w:val="17"/>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(Expense)</w:t>
            </w:r>
          </w:p>
        </w:tc>
        <w:tc>
          <w:tcPr>
            <w:tcW w:w="80" w:type="dxa"/>
            <w:vAlign w:val="bottom"/>
          </w:tcPr>
          <w:p>
            <w:pPr>
              <w:spacing w:after="0"/>
              <w:rPr>
                <w:sz w:val="17"/>
                <w:szCs w:val="17"/>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of Tax</w:t>
            </w:r>
          </w:p>
        </w:tc>
      </w:tr>
      <w:tr>
        <w:trPr>
          <w:trHeight w:val="180"/>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ind w:right="33"/>
              <w:spacing w:after="0"/>
              <w:rPr>
                <w:sz w:val="20"/>
                <w:szCs w:val="20"/>
                <w:color w:val="auto"/>
              </w:rPr>
            </w:pPr>
            <w:r>
              <w:rPr>
                <w:rFonts w:ascii="Arial" w:cs="Arial" w:eastAsia="Arial" w:hAnsi="Arial"/>
                <w:sz w:val="13"/>
                <w:szCs w:val="13"/>
                <w:b w:val="1"/>
                <w:bCs w:val="1"/>
                <w:color w:val="auto"/>
              </w:rPr>
              <w:t>Benefit</w:t>
            </w:r>
          </w:p>
        </w:tc>
        <w:tc>
          <w:tcPr>
            <w:tcW w:w="2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rPr>
              <w:t>Amount</w:t>
            </w:r>
          </w:p>
        </w:tc>
        <w:tc>
          <w:tcPr>
            <w:tcW w:w="600" w:type="dxa"/>
            <w:vAlign w:val="bottom"/>
            <w:gridSpan w:val="3"/>
          </w:tcPr>
          <w:p>
            <w:pPr>
              <w:ind w:left="100"/>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53"/>
              <w:spacing w:after="0"/>
              <w:rPr>
                <w:sz w:val="20"/>
                <w:szCs w:val="20"/>
                <w:color w:val="auto"/>
              </w:rPr>
            </w:pPr>
            <w:r>
              <w:rPr>
                <w:rFonts w:ascii="Arial" w:cs="Arial" w:eastAsia="Arial" w:hAnsi="Arial"/>
                <w:sz w:val="13"/>
                <w:szCs w:val="13"/>
                <w:b w:val="1"/>
                <w:bCs w:val="1"/>
                <w:color w:val="auto"/>
              </w:rPr>
              <w:t>Benefit</w:t>
            </w: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Benefit</w:t>
            </w:r>
          </w:p>
        </w:tc>
        <w:tc>
          <w:tcPr>
            <w:tcW w:w="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3"/>
                <w:szCs w:val="13"/>
                <w:color w:val="auto"/>
              </w:rPr>
              <w:t>(In thousands)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24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Foreign currency translation</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2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(4,160)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(3,450)</w:t>
            </w:r>
          </w:p>
        </w:tc>
        <w:tc>
          <w:tcPr>
            <w:tcW w:w="40" w:type="dxa"/>
            <w:vAlign w:val="bottom"/>
            <w:shd w:val="clear" w:color="auto" w:fill="CCEEFF"/>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2440" w:type="dxa"/>
            <w:vAlign w:val="bottom"/>
          </w:tcPr>
          <w:p>
            <w:pPr>
              <w:spacing w:after="0" w:line="136" w:lineRule="exact"/>
              <w:rPr>
                <w:sz w:val="20"/>
                <w:szCs w:val="20"/>
                <w:color w:val="auto"/>
              </w:rPr>
            </w:pPr>
            <w:r>
              <w:rPr>
                <w:rFonts w:ascii="Arial" w:cs="Arial" w:eastAsia="Arial" w:hAnsi="Arial"/>
                <w:sz w:val="13"/>
                <w:szCs w:val="13"/>
                <w:color w:val="auto"/>
              </w:rPr>
              <w:t>Unrealized holding gains (losses) 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2460" w:type="dxa"/>
            <w:vAlign w:val="bottom"/>
            <w:gridSpan w:val="2"/>
          </w:tcPr>
          <w:p>
            <w:pPr>
              <w:spacing w:after="0"/>
              <w:rPr>
                <w:sz w:val="20"/>
                <w:szCs w:val="20"/>
                <w:color w:val="auto"/>
              </w:rPr>
            </w:pPr>
            <w:r>
              <w:rPr>
                <w:rFonts w:ascii="Arial" w:cs="Arial" w:eastAsia="Arial" w:hAnsi="Arial"/>
                <w:sz w:val="13"/>
                <w:szCs w:val="13"/>
                <w:color w:val="auto"/>
              </w:rPr>
              <w:t>available-for-sale securities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1,772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191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145</w:t>
            </w:r>
          </w:p>
        </w:tc>
        <w:tc>
          <w:tcPr>
            <w:tcW w:w="4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24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Recognition of previously unrealized</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(gains) losses on available-for-sale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securities included in net income (loss)</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(1,758)</w:t>
            </w: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4"/>
                <w:szCs w:val="14"/>
                <w:color w:val="auto"/>
              </w:rPr>
            </w:pPr>
          </w:p>
        </w:tc>
      </w:tr>
      <w:tr>
        <w:trPr>
          <w:trHeight w:val="169"/>
        </w:trPr>
        <w:tc>
          <w:tcPr>
            <w:tcW w:w="2460" w:type="dxa"/>
            <w:vAlign w:val="bottom"/>
            <w:gridSpan w:val="2"/>
          </w:tcPr>
          <w:p>
            <w:pPr>
              <w:spacing w:after="0"/>
              <w:rPr>
                <w:sz w:val="20"/>
                <w:szCs w:val="20"/>
                <w:color w:val="auto"/>
              </w:rPr>
            </w:pPr>
            <w:r>
              <w:rPr>
                <w:rFonts w:ascii="Arial" w:cs="Arial" w:eastAsia="Arial" w:hAnsi="Arial"/>
                <w:sz w:val="13"/>
                <w:szCs w:val="13"/>
                <w:b w:val="1"/>
                <w:bCs w:val="1"/>
                <w:color w:val="auto"/>
              </w:rPr>
              <w:t>Other comprehensive income (loss)</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(171)</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88</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(83)</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393</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353</w:t>
            </w:r>
          </w:p>
        </w:tc>
        <w:tc>
          <w:tcPr>
            <w:tcW w:w="2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7"/>
              </w:rPr>
              <w:t>(3,976)</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666</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(3,310)</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7" w:name="page108"/>
    <w:bookmarkEnd w:id="10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“Accumulated other comprehensive income (loss)” is detailed in the following table, net of tax:</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Foreign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Currency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Recognized</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Translation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8"/>
              </w:rPr>
              <w:t>Gains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4960" w:type="dxa"/>
            <w:vAlign w:val="bottom"/>
            <w:gridSpan w:val="2"/>
          </w:tcPr>
          <w:p>
            <w:pPr>
              <w:spacing w:after="0"/>
              <w:rPr>
                <w:sz w:val="20"/>
                <w:szCs w:val="20"/>
                <w:color w:val="auto"/>
              </w:rPr>
            </w:pPr>
            <w:r>
              <w:rPr>
                <w:rFonts w:ascii="Arial" w:cs="Arial" w:eastAsia="Arial" w:hAnsi="Arial"/>
                <w:sz w:val="16"/>
                <w:szCs w:val="16"/>
                <w:b w:val="1"/>
                <w:bCs w:val="1"/>
                <w:color w:val="auto"/>
              </w:rPr>
              <w:t>Accumulated Other Comprehensive Income (Loss)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Adjustment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(Losses)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183"/>
        </w:trPr>
        <w:tc>
          <w:tcPr>
            <w:tcW w:w="20" w:type="dxa"/>
            <w:vAlign w:val="bottom"/>
          </w:tcPr>
          <w:p>
            <w:pPr>
              <w:spacing w:after="0"/>
              <w:rPr>
                <w:sz w:val="15"/>
                <w:szCs w:val="15"/>
                <w:color w:val="auto"/>
              </w:rPr>
            </w:pPr>
          </w:p>
        </w:tc>
        <w:tc>
          <w:tcPr>
            <w:tcW w:w="4940" w:type="dxa"/>
            <w:vAlign w:val="bottom"/>
            <w:tcBorders>
              <w:top w:val="single" w:sz="8" w:color="auto"/>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thousands)</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December 31, 2022</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(3,004)</w:t>
            </w:r>
          </w:p>
        </w:tc>
        <w:tc>
          <w:tcPr>
            <w:tcW w:w="2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w:t>
            </w:r>
          </w:p>
        </w:tc>
        <w:tc>
          <w:tcPr>
            <w:tcW w:w="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(3,029)</w:t>
            </w:r>
          </w:p>
        </w:tc>
        <w:tc>
          <w:tcPr>
            <w:tcW w:w="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line="183" w:lineRule="exact"/>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325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325</w:t>
            </w:r>
          </w:p>
        </w:tc>
        <w:tc>
          <w:tcPr>
            <w:tcW w:w="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 before reclassification</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40" w:type="dxa"/>
            <w:vAlign w:val="bottom"/>
            <w:shd w:val="clear" w:color="auto" w:fill="CCEEFF"/>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line="175" w:lineRule="exact"/>
              <w:rPr>
                <w:sz w:val="20"/>
                <w:szCs w:val="20"/>
                <w:color w:val="auto"/>
              </w:rPr>
            </w:pPr>
            <w:r>
              <w:rPr>
                <w:rFonts w:ascii="Arial" w:cs="Arial" w:eastAsia="Arial" w:hAnsi="Arial"/>
                <w:sz w:val="16"/>
                <w:szCs w:val="16"/>
                <w:color w:val="auto"/>
              </w:rPr>
              <w:t>Amounts reclassified from accumulated other comprehensive income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4960" w:type="dxa"/>
            <w:vAlign w:val="bottom"/>
            <w:gridSpan w:val="2"/>
          </w:tcPr>
          <w:p>
            <w:pPr>
              <w:spacing w:after="0"/>
              <w:rPr>
                <w:sz w:val="20"/>
                <w:szCs w:val="20"/>
                <w:color w:val="auto"/>
              </w:rPr>
            </w:pPr>
            <w:r>
              <w:rPr>
                <w:rFonts w:ascii="Arial" w:cs="Arial" w:eastAsia="Arial" w:hAnsi="Arial"/>
                <w:sz w:val="16"/>
                <w:szCs w:val="16"/>
                <w:color w:val="auto"/>
              </w:rPr>
              <w:t>(loss)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c>
          <w:tcPr>
            <w:tcW w:w="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49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December 31, 2023</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(2,679)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(2,676)</w:t>
            </w:r>
          </w:p>
        </w:tc>
        <w:tc>
          <w:tcPr>
            <w:tcW w:w="40" w:type="dxa"/>
            <w:vAlign w:val="bottom"/>
            <w:tcBorders>
              <w:top w:val="single" w:sz="8" w:color="CCEEFF"/>
            </w:tcBorders>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line="183" w:lineRule="exact"/>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(99)</w:t>
            </w:r>
          </w:p>
        </w:tc>
        <w:tc>
          <w:tcPr>
            <w:tcW w:w="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 before reclassification</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40" w:type="dxa"/>
            <w:vAlign w:val="bottom"/>
            <w:shd w:val="clear" w:color="auto" w:fill="CCEEFF"/>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line="175" w:lineRule="exact"/>
              <w:rPr>
                <w:sz w:val="20"/>
                <w:szCs w:val="20"/>
                <w:color w:val="auto"/>
              </w:rPr>
            </w:pPr>
            <w:r>
              <w:rPr>
                <w:rFonts w:ascii="Arial" w:cs="Arial" w:eastAsia="Arial" w:hAnsi="Arial"/>
                <w:sz w:val="16"/>
                <w:szCs w:val="16"/>
                <w:color w:val="auto"/>
              </w:rPr>
              <w:t>Amounts reclassified from accumulated other comprehensive income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4960" w:type="dxa"/>
            <w:vAlign w:val="bottom"/>
            <w:gridSpan w:val="2"/>
          </w:tcPr>
          <w:p>
            <w:pPr>
              <w:spacing w:after="0"/>
              <w:rPr>
                <w:sz w:val="20"/>
                <w:szCs w:val="20"/>
                <w:color w:val="auto"/>
              </w:rPr>
            </w:pPr>
            <w:r>
              <w:rPr>
                <w:rFonts w:ascii="Arial" w:cs="Arial" w:eastAsia="Arial" w:hAnsi="Arial"/>
                <w:sz w:val="16"/>
                <w:szCs w:val="16"/>
                <w:color w:val="auto"/>
              </w:rPr>
              <w:t>(loss)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(1,327)</w:t>
            </w:r>
          </w:p>
        </w:tc>
        <w:tc>
          <w:tcPr>
            <w:tcW w:w="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49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December 31, 2024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(2,778)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(2,759)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7" w:lineRule="exact"/>
        <w:rPr>
          <w:sz w:val="20"/>
          <w:szCs w:val="20"/>
          <w:color w:val="auto"/>
        </w:rPr>
      </w:pPr>
    </w:p>
    <w:p>
      <w:pPr>
        <w:ind w:left="200" w:right="1219" w:firstLine="9"/>
        <w:spacing w:after="0" w:line="281" w:lineRule="auto"/>
        <w:tabs>
          <w:tab w:leader="none" w:pos="6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Investment Securities, Restricted Cash and Cash Equivalents, and Other Investments</w:t>
      </w:r>
    </w:p>
    <w:p>
      <w:pPr>
        <w:spacing w:after="0" w:line="123" w:lineRule="exact"/>
        <w:rPr>
          <w:sz w:val="20"/>
          <w:szCs w:val="20"/>
          <w:color w:val="auto"/>
        </w:rPr>
      </w:pPr>
    </w:p>
    <w:p>
      <w:pPr>
        <w:ind w:left="200" w:right="959"/>
        <w:spacing w:after="0" w:line="271"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361"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3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60" w:type="dxa"/>
            <w:vAlign w:val="bottom"/>
            <w:vMerge w:val="restart"/>
          </w:tcPr>
          <w:p>
            <w:pPr>
              <w:spacing w:after="0"/>
              <w:rPr>
                <w:sz w:val="20"/>
                <w:szCs w:val="20"/>
                <w:color w:val="auto"/>
              </w:rPr>
            </w:pPr>
            <w:r>
              <w:rPr>
                <w:rFonts w:ascii="Arial" w:cs="Arial" w:eastAsia="Arial" w:hAnsi="Arial"/>
                <w:sz w:val="16"/>
                <w:szCs w:val="16"/>
                <w:b w:val="1"/>
                <w:bCs w:val="1"/>
                <w:color w:val="auto"/>
              </w:rPr>
              <w:t>Marketable investment securities:</w:t>
            </w:r>
          </w:p>
        </w:tc>
        <w:tc>
          <w:tcPr>
            <w:tcW w:w="30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6"/>
                <w:szCs w:val="16"/>
                <w:color w:val="auto"/>
              </w:rPr>
              <w:t>(In thousands)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Current marketable investment securities: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60" w:type="dxa"/>
            <w:vAlign w:val="bottom"/>
          </w:tcPr>
          <w:p>
            <w:pPr>
              <w:ind w:left="180"/>
              <w:spacing w:after="0"/>
              <w:rPr>
                <w:sz w:val="20"/>
                <w:szCs w:val="20"/>
                <w:color w:val="auto"/>
              </w:rPr>
            </w:pPr>
            <w:r>
              <w:rPr>
                <w:rFonts w:ascii="Arial" w:cs="Arial" w:eastAsia="Arial" w:hAnsi="Arial"/>
                <w:sz w:val="16"/>
                <w:szCs w:val="16"/>
                <w:color w:val="auto"/>
              </w:rPr>
              <w:t>Strategic - available-for-sale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Strategic - trading/equity</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Total current marketable investment securities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286</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8,122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Restricted marketable investment securities (1)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23,882</w:t>
            </w: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19,772</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marketable investment securities</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24,168</w:t>
            </w:r>
          </w:p>
        </w:tc>
        <w:tc>
          <w:tcPr>
            <w:tcW w:w="1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27,894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Restricted cash and cash equivalents (1)</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254,714</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89,107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investments, net: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Equity method investments (2)</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20,440</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126,179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Cost method investments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Fair value method investments (3)</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12,093</w:t>
            </w: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39,198</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other investments, net</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35,483</w:t>
            </w:r>
          </w:p>
        </w:tc>
        <w:tc>
          <w:tcPr>
            <w:tcW w:w="1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168,825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6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Total marketable investment securities, restricted cash and cash</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314,365</w:t>
            </w:r>
          </w:p>
        </w:tc>
        <w:tc>
          <w:tcPr>
            <w:tcW w:w="6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285,826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equivalents, and other investments, net</w:t>
            </w:r>
          </w:p>
        </w:tc>
        <w:tc>
          <w:tcPr>
            <w:tcW w:w="30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40" w:right="379" w:hanging="331"/>
        <w:spacing w:after="0" w:line="241"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“Current restricted cash and cash equivalents” and “Restricted cash, cash equivalents and marketable investment securities” on our Consolidated Balance Sheets and discussed below.</w:t>
      </w:r>
    </w:p>
    <w:p>
      <w:pPr>
        <w:spacing w:after="0" w:line="1" w:lineRule="exact"/>
        <w:rPr>
          <w:rFonts w:ascii="Arial" w:cs="Arial" w:eastAsia="Arial" w:hAnsi="Arial"/>
          <w:sz w:val="18"/>
          <w:szCs w:val="18"/>
          <w:color w:val="auto"/>
        </w:rPr>
      </w:pPr>
    </w:p>
    <w:p>
      <w:pPr>
        <w:ind w:left="540" w:right="339" w:hanging="331"/>
        <w:spacing w:after="0" w:line="248"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This change primarily resulted from the Sale and Transfer of Assets to EchoStar, see Note 1 for further information, and the decrease in our Invidi Technologies Corporation investment, discussed below.</w:t>
      </w:r>
    </w:p>
    <w:p>
      <w:pPr>
        <w:spacing w:after="0" w:line="1" w:lineRule="exact"/>
        <w:rPr>
          <w:rFonts w:ascii="Arial" w:cs="Arial" w:eastAsia="Arial" w:hAnsi="Arial"/>
          <w:sz w:val="17"/>
          <w:szCs w:val="17"/>
          <w:color w:val="auto"/>
        </w:rPr>
      </w:pPr>
    </w:p>
    <w:p>
      <w:pPr>
        <w:ind w:left="540" w:right="319" w:hanging="331"/>
        <w:spacing w:after="0" w:line="242"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decrease primarily resulted from a $27 million impairment in a fair value method investment during the year ended December 31, 2024 and recorded in “Other, net” on our Consolidated Statements of Operations and Comprehensive Income (Loss).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08" w:name="page109"/>
    <w:bookmarkEnd w:id="10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96"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color w:val="auto"/>
        </w:rPr>
        <w:t>Our marketable investment securities portfolio may consist of debt and equity instruments. All equity securities are carried at fair value, with changes in fair value recognized in “Other, net” within “Other Income (Expense)” on our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corresponding changes in the fair value of marketable debt securities, which are determined to be company specific credit losses are recorded in “Other, net” within “Other Income (Expense)” on our Consolidated Statements of Operations and Comprehensive Income (Loss). See Note 2 for further information.</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Current Marketable Investment Securities - Strategic</w:t>
      </w:r>
    </w:p>
    <w:p>
      <w:pPr>
        <w:spacing w:after="0" w:line="196"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Our current strategic marketable investment securities portfolio includes and may include strategic and financial debt and/or equity investments in private and public companies that are highly speculative and have experienced and continue to experience volatility. As of December 31, 2024,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Current Marketable Investment Securities - Other</w:t>
      </w:r>
    </w:p>
    <w:p>
      <w:pPr>
        <w:spacing w:after="0" w:line="196" w:lineRule="exact"/>
        <w:rPr>
          <w:sz w:val="20"/>
          <w:szCs w:val="20"/>
          <w:color w:val="auto"/>
        </w:rPr>
      </w:pPr>
    </w:p>
    <w:p>
      <w:pPr>
        <w:ind w:left="200" w:right="559"/>
        <w:spacing w:after="0" w:line="253" w:lineRule="auto"/>
        <w:rPr>
          <w:sz w:val="20"/>
          <w:szCs w:val="20"/>
          <w:color w:val="auto"/>
        </w:rPr>
      </w:pPr>
      <w:r>
        <w:rPr>
          <w:rFonts w:ascii="Arial" w:cs="Arial" w:eastAsia="Arial" w:hAnsi="Arial"/>
          <w:sz w:val="18"/>
          <w:szCs w:val="18"/>
          <w:color w:val="auto"/>
        </w:rPr>
        <w:t>Our current other marketable investment securities portfolio includes investments in various debt instruments including, among others, commercial paper, corporate securities and United States treasury and/or agency securities.</w:t>
      </w:r>
    </w:p>
    <w:p>
      <w:pPr>
        <w:spacing w:after="0" w:line="155" w:lineRule="exact"/>
        <w:rPr>
          <w:sz w:val="20"/>
          <w:szCs w:val="20"/>
          <w:color w:val="auto"/>
        </w:rPr>
      </w:pPr>
    </w:p>
    <w:p>
      <w:pPr>
        <w:ind w:left="200" w:right="219"/>
        <w:spacing w:after="0" w:line="247" w:lineRule="auto"/>
        <w:rPr>
          <w:sz w:val="20"/>
          <w:szCs w:val="20"/>
          <w:color w:val="auto"/>
        </w:rPr>
      </w:pPr>
      <w:r>
        <w:rPr>
          <w:rFonts w:ascii="Arial" w:cs="Arial" w:eastAsia="Arial" w:hAnsi="Arial"/>
          <w:sz w:val="18"/>
          <w:szCs w:val="18"/>
          <w:color w:val="auto"/>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96" w:lineRule="exact"/>
        <w:rPr>
          <w:sz w:val="20"/>
          <w:szCs w:val="20"/>
          <w:color w:val="auto"/>
        </w:rPr>
      </w:pPr>
    </w:p>
    <w:p>
      <w:pPr>
        <w:ind w:left="200" w:right="279"/>
        <w:spacing w:after="0" w:line="253" w:lineRule="auto"/>
        <w:rPr>
          <w:sz w:val="20"/>
          <w:szCs w:val="20"/>
          <w:color w:val="auto"/>
        </w:rPr>
      </w:pPr>
      <w:r>
        <w:rPr>
          <w:rFonts w:ascii="Arial" w:cs="Arial" w:eastAsia="Arial" w:hAnsi="Arial"/>
          <w:sz w:val="18"/>
          <w:szCs w:val="18"/>
          <w:color w:val="auto"/>
        </w:rPr>
        <w:t>As of December 31, 2024 and 2023, our restricted marketable investment securities, together with our restricted cash and cash equivalents, included amounts required as collateral for our letters of credit, surety bonds and trusts.</w:t>
      </w:r>
    </w:p>
    <w:p>
      <w:pPr>
        <w:spacing w:after="0" w:line="155" w:lineRule="exact"/>
        <w:rPr>
          <w:sz w:val="20"/>
          <w:szCs w:val="20"/>
          <w:color w:val="auto"/>
        </w:rPr>
      </w:pPr>
    </w:p>
    <w:p>
      <w:pPr>
        <w:ind w:left="200" w:right="379"/>
        <w:spacing w:after="0" w:line="242" w:lineRule="auto"/>
        <w:rPr>
          <w:sz w:val="20"/>
          <w:szCs w:val="20"/>
          <w:color w:val="auto"/>
        </w:rPr>
      </w:pPr>
      <w:r>
        <w:rPr>
          <w:rFonts w:ascii="Arial" w:cs="Arial" w:eastAsia="Arial" w:hAnsi="Arial"/>
          <w:sz w:val="18"/>
          <w:szCs w:val="18"/>
          <w:i w:val="1"/>
          <w:iCs w:val="1"/>
          <w:color w:val="auto"/>
        </w:rPr>
        <w:t xml:space="preserve">Current restricted cash and cash equivalents. </w:t>
      </w:r>
      <w:r>
        <w:rPr>
          <w:rFonts w:ascii="Arial" w:cs="Arial" w:eastAsia="Arial" w:hAnsi="Arial"/>
          <w:sz w:val="18"/>
          <w:szCs w:val="18"/>
          <w:color w:val="auto"/>
        </w:rPr>
        <w:t>As of December 31, 2024, we had $151 million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restricted cash and cash equivalents” on our Consolidated Balance Sheets that primarily consists of funds received by our subsidiary, DISH DBS Issuer LLC (“DBS SubscriberCo”), from subscriber payments and certain other revenue, which are required to be restricted per the terms of the New DISH DBS Financing, as detailed and defined in Note 9. DBS SubscriberCo holds certain DISH TV subscribers and their related subscription and equipment agreements.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Investments, net</w:t>
      </w:r>
    </w:p>
    <w:p>
      <w:pPr>
        <w:spacing w:after="0" w:line="196" w:lineRule="exact"/>
        <w:rPr>
          <w:sz w:val="20"/>
          <w:szCs w:val="20"/>
          <w:color w:val="auto"/>
        </w:rPr>
      </w:pPr>
    </w:p>
    <w:p>
      <w:pPr>
        <w:ind w:left="200" w:right="239"/>
        <w:spacing w:after="0" w:line="247" w:lineRule="auto"/>
        <w:rPr>
          <w:sz w:val="20"/>
          <w:szCs w:val="20"/>
          <w:color w:val="auto"/>
        </w:rPr>
      </w:pPr>
      <w:r>
        <w:rPr>
          <w:rFonts w:ascii="Arial" w:cs="Arial" w:eastAsia="Arial" w:hAnsi="Arial"/>
          <w:sz w:val="18"/>
          <w:szCs w:val="18"/>
          <w:color w:val="auto"/>
        </w:rPr>
        <w:t>We have strategic investments in certain debt and/or equity securities that are included in noncurrent “Other investments, net” on our Consolidated Balance Sheets. Our debt securities are classified as available-for-sale and are recorded at fair value. Generally, our debt investments in non-publicly traded debt instruments without a readily determinable fair value are recorded at amortized cost.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9" w:name="page110"/>
    <w:bookmarkEnd w:id="10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259"/>
        <w:spacing w:after="0" w:line="253" w:lineRule="auto"/>
        <w:rPr>
          <w:sz w:val="20"/>
          <w:szCs w:val="20"/>
          <w:color w:val="auto"/>
        </w:rPr>
      </w:pPr>
      <w:r>
        <w:rPr>
          <w:rFonts w:ascii="Arial" w:cs="Arial" w:eastAsia="Arial" w:hAnsi="Arial"/>
          <w:sz w:val="18"/>
          <w:szCs w:val="18"/>
          <w:color w:val="auto"/>
        </w:rPr>
        <w:t>Our equity investments where we have the ability to exercise significant influence over the investee are accounted for using the equity method of accounting. Certain of our equity method investments are detailed below.</w:t>
      </w:r>
    </w:p>
    <w:p>
      <w:pPr>
        <w:spacing w:after="0" w:line="155" w:lineRule="exact"/>
        <w:rPr>
          <w:sz w:val="20"/>
          <w:szCs w:val="20"/>
          <w:color w:val="auto"/>
        </w:rPr>
      </w:pPr>
    </w:p>
    <w:p>
      <w:pPr>
        <w:ind w:left="200" w:right="579"/>
        <w:spacing w:after="0" w:line="244"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We own a 50% interest in NagraStar L.L.C. (“NagraStar”), a joint venture that is our</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163" w:lineRule="exact"/>
        <w:rPr>
          <w:sz w:val="20"/>
          <w:szCs w:val="20"/>
          <w:color w:val="auto"/>
        </w:rPr>
      </w:pPr>
    </w:p>
    <w:p>
      <w:pPr>
        <w:ind w:left="200" w:right="359"/>
        <w:spacing w:after="0" w:line="239"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We own a 35% interest in Invidi Technologies Corporation (“Invidi”),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 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 During the year ended December 31, 2024, Invidi impaired the goodwill on their financial statements and our portion of this impairment resulted in a $63 million loss in “Equity in earnings (losses) of affiliates” recorded in “Other, net” on our Consolidated Statements of Operations and Comprehensive Income (Loss) during the year ended December 31, 2024.</w:t>
      </w:r>
    </w:p>
    <w:p>
      <w:pPr>
        <w:spacing w:after="0" w:line="170" w:lineRule="exact"/>
        <w:rPr>
          <w:sz w:val="20"/>
          <w:szCs w:val="20"/>
          <w:color w:val="auto"/>
        </w:rPr>
      </w:pPr>
    </w:p>
    <w:p>
      <w:pPr>
        <w:ind w:left="200" w:right="539"/>
        <w:spacing w:after="0" w:line="247" w:lineRule="auto"/>
        <w:rPr>
          <w:sz w:val="20"/>
          <w:szCs w:val="20"/>
          <w:color w:val="auto"/>
        </w:rPr>
      </w:pPr>
      <w:r>
        <w:rPr>
          <w:rFonts w:ascii="Arial" w:cs="Arial" w:eastAsia="Arial" w:hAnsi="Arial"/>
          <w:sz w:val="18"/>
          <w:szCs w:val="18"/>
          <w:color w:val="auto"/>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spacing w:after="0" w:line="160" w:lineRule="exact"/>
        <w:rPr>
          <w:sz w:val="20"/>
          <w:szCs w:val="20"/>
          <w:color w:val="auto"/>
        </w:rPr>
      </w:pPr>
    </w:p>
    <w:p>
      <w:pPr>
        <w:ind w:left="200" w:right="379"/>
        <w:spacing w:after="0" w:line="244"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160"/>
        </w:trPr>
        <w:tc>
          <w:tcPr>
            <w:tcW w:w="2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ind w:left="140"/>
              <w:spacing w:after="0"/>
              <w:rPr>
                <w:sz w:val="20"/>
                <w:szCs w:val="20"/>
                <w:color w:val="auto"/>
              </w:rPr>
            </w:pPr>
            <w:r>
              <w:rPr>
                <w:rFonts w:ascii="Arial" w:cs="Arial" w:eastAsia="Arial" w:hAnsi="Arial"/>
                <w:sz w:val="13"/>
                <w:szCs w:val="13"/>
                <w:b w:val="1"/>
                <w:bCs w:val="1"/>
                <w:color w:val="auto"/>
              </w:rPr>
              <w:t>As of December 31,</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Level 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9"/>
              </w:rPr>
              <w:t>Level 2</w:t>
            </w:r>
          </w:p>
        </w:tc>
        <w:tc>
          <w:tcPr>
            <w:tcW w:w="16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Level 3</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9"/>
              </w:rPr>
              <w:t>Level 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Level 2</w:t>
            </w:r>
          </w:p>
        </w:tc>
        <w:tc>
          <w:tcPr>
            <w:tcW w:w="14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ind w:left="4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44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Cash equivalents (including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261,990</w:t>
            </w:r>
          </w:p>
        </w:tc>
        <w:tc>
          <w:tcPr>
            <w:tcW w:w="1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221,083</w:t>
            </w:r>
          </w:p>
        </w:tc>
        <w:tc>
          <w:tcPr>
            <w:tcW w:w="1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40,907</w:t>
            </w:r>
          </w:p>
        </w:tc>
        <w:tc>
          <w:tcPr>
            <w:tcW w:w="280" w:type="dxa"/>
            <w:vAlign w:val="bottom"/>
            <w:gridSpan w:val="2"/>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347,976</w:t>
            </w:r>
          </w:p>
        </w:tc>
        <w:tc>
          <w:tcPr>
            <w:tcW w:w="1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304,410</w:t>
            </w:r>
          </w:p>
        </w:tc>
        <w:tc>
          <w:tcPr>
            <w:tcW w:w="1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43,566</w:t>
            </w:r>
          </w:p>
        </w:tc>
        <w:tc>
          <w:tcPr>
            <w:tcW w:w="14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restricted)</w:t>
            </w:r>
          </w:p>
        </w:tc>
        <w:tc>
          <w:tcPr>
            <w:tcW w:w="12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Debt securities (including restricted):</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100"/>
              <w:spacing w:after="0"/>
              <w:rPr>
                <w:sz w:val="20"/>
                <w:szCs w:val="20"/>
                <w:color w:val="auto"/>
              </w:rPr>
            </w:pPr>
            <w:r>
              <w:rPr>
                <w:rFonts w:ascii="Arial" w:cs="Arial" w:eastAsia="Arial" w:hAnsi="Arial"/>
                <w:sz w:val="13"/>
                <w:szCs w:val="13"/>
                <w:color w:val="auto"/>
              </w:rPr>
              <w:t>U.S. Treasury and agency securities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8,163</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8,163</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7,567</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7,567</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paper</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440" w:type="dxa"/>
            <w:vAlign w:val="bottom"/>
          </w:tcPr>
          <w:p>
            <w:pPr>
              <w:ind w:left="100"/>
              <w:spacing w:after="0"/>
              <w:rPr>
                <w:sz w:val="20"/>
                <w:szCs w:val="20"/>
                <w:color w:val="auto"/>
              </w:rPr>
            </w:pPr>
            <w:r>
              <w:rPr>
                <w:rFonts w:ascii="Arial" w:cs="Arial" w:eastAsia="Arial" w:hAnsi="Arial"/>
                <w:sz w:val="13"/>
                <w:szCs w:val="13"/>
                <w:color w:val="auto"/>
              </w:rPr>
              <w:t>Corporate securities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15,719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15,719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4,705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4,705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Equity securities</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7,799</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7,799</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24,168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27,894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00" w:right="259"/>
        <w:spacing w:after="0" w:line="247" w:lineRule="auto"/>
        <w:rPr>
          <w:sz w:val="20"/>
          <w:szCs w:val="20"/>
          <w:color w:val="auto"/>
        </w:rPr>
      </w:pPr>
      <w:r>
        <w:rPr>
          <w:rFonts w:ascii="Arial" w:cs="Arial" w:eastAsia="Arial" w:hAnsi="Arial"/>
          <w:sz w:val="18"/>
          <w:szCs w:val="18"/>
          <w:color w:val="auto"/>
        </w:rPr>
        <w:t>As of December 31, 2024, restricted and non-restricted marketable investment securities included debt securities of $8 million with contractual maturities within one year and $16 million with contractual maturities extending longer than one year through and including five years. Actual maturities may differ from contractual maturities as a result of our ability to sell these securities prior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0" w:name="page111"/>
    <w:bookmarkEnd w:id="11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6" w:lineRule="exact"/>
        <w:rPr>
          <w:sz w:val="20"/>
          <w:szCs w:val="20"/>
          <w:color w:val="auto"/>
        </w:rPr>
      </w:pPr>
    </w:p>
    <w:p>
      <w:pPr>
        <w:ind w:left="220" w:right="239" w:hanging="7"/>
        <w:spacing w:after="0" w:line="239" w:lineRule="auto"/>
        <w:rPr>
          <w:sz w:val="20"/>
          <w:szCs w:val="20"/>
          <w:color w:val="auto"/>
        </w:rPr>
      </w:pPr>
      <w:r>
        <w:rPr>
          <w:rFonts w:ascii="Arial" w:cs="Arial" w:eastAsia="Arial" w:hAnsi="Arial"/>
          <w:sz w:val="18"/>
          <w:szCs w:val="18"/>
          <w:color w:val="auto"/>
        </w:rPr>
        <w:t xml:space="preserve">We had the option to purchase certain of T-Mobile’s 800 MHz spectrum licenses from T-Mobile at a fixed price pursuant to the License Purchase Agreement, as defined and detailed in our Annual Report on Form 10-K for the year ended December 31, 2023. This instrument met the definition of a derivative and was valued based upon, among other things, our estimate of the underlying asset price, the expected term, volatility, the risk free rate of return and the probability of us exercising the option. </w:t>
      </w:r>
      <w:r>
        <w:rPr>
          <w:rFonts w:ascii="Arial" w:cs="Arial" w:eastAsia="Arial" w:hAnsi="Arial"/>
          <w:sz w:val="18"/>
          <w:szCs w:val="18"/>
          <w:color w:val="222222"/>
        </w:rPr>
        <w:t>We did not exercise the</w:t>
      </w:r>
      <w:r>
        <w:rPr>
          <w:rFonts w:ascii="Arial" w:cs="Arial" w:eastAsia="Arial" w:hAnsi="Arial"/>
          <w:sz w:val="18"/>
          <w:szCs w:val="18"/>
          <w:color w:val="auto"/>
        </w:rPr>
        <w:t xml:space="preserve"> </w:t>
      </w:r>
      <w:r>
        <w:rPr>
          <w:rFonts w:ascii="Arial" w:cs="Arial" w:eastAsia="Arial" w:hAnsi="Arial"/>
          <w:sz w:val="18"/>
          <w:szCs w:val="18"/>
          <w:color w:val="222222"/>
        </w:rPr>
        <w:t xml:space="preserve">option to purchase the 800 MHz spectrum licenses pursuant to the License Purchase Agreement, which expired on its own terms on April 1, 2024. </w:t>
      </w:r>
      <w:r>
        <w:rPr>
          <w:rFonts w:ascii="Arial" w:cs="Arial" w:eastAsia="Arial" w:hAnsi="Arial"/>
          <w:sz w:val="18"/>
          <w:szCs w:val="18"/>
          <w:color w:val="000000"/>
        </w:rPr>
        <w:t>As of December 31, 2023, the derivative’s fair value was zero on</w:t>
      </w:r>
      <w:r>
        <w:rPr>
          <w:rFonts w:ascii="Arial" w:cs="Arial" w:eastAsia="Arial" w:hAnsi="Arial"/>
          <w:sz w:val="18"/>
          <w:szCs w:val="18"/>
          <w:color w:val="222222"/>
        </w:rPr>
        <w:t xml:space="preserve"> </w:t>
      </w:r>
      <w:r>
        <w:rPr>
          <w:rFonts w:ascii="Arial" w:cs="Arial" w:eastAsia="Arial" w:hAnsi="Arial"/>
          <w:sz w:val="18"/>
          <w:szCs w:val="18"/>
          <w:color w:val="000000"/>
        </w:rPr>
        <w:t>our Consolidated Balance Sheets. All changes in the derivative’s fair value were recorded in “Other, net” on our Consolidated Statements of Operations and Comprehensive Income (Loss). See the table below.</w:t>
      </w:r>
    </w:p>
    <w:p>
      <w:pPr>
        <w:spacing w:after="0" w:line="170" w:lineRule="exact"/>
        <w:rPr>
          <w:sz w:val="20"/>
          <w:szCs w:val="20"/>
          <w:color w:val="auto"/>
        </w:rPr>
      </w:pPr>
    </w:p>
    <w:p>
      <w:pPr>
        <w:ind w:left="200" w:right="359"/>
        <w:spacing w:after="0" w:line="271" w:lineRule="auto"/>
        <w:rPr>
          <w:sz w:val="20"/>
          <w:szCs w:val="20"/>
          <w:color w:val="auto"/>
        </w:rPr>
      </w:pPr>
      <w:r>
        <w:rPr>
          <w:rFonts w:ascii="Arial" w:cs="Arial" w:eastAsia="Arial" w:hAnsi="Arial"/>
          <w:sz w:val="18"/>
          <w:szCs w:val="18"/>
          <w:color w:val="auto"/>
        </w:rPr>
        <w:t>We accounted for our option to purchase certain T-Mobile’s 800 MHz spectrum licenses under the License Purchase Agreement as a Level 3 instrument within the fair value hierarchy.</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 and Other</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net” within “Other Income (Expense)” included on our Consolidated Statements of Operations and</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Comprehensive Income (Loss) is as follows:</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5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 net:</w:t>
            </w:r>
          </w:p>
        </w:tc>
        <w:tc>
          <w:tcPr>
            <w:tcW w:w="200" w:type="dxa"/>
            <w:vAlign w:val="bottom"/>
          </w:tcPr>
          <w:p>
            <w:pPr>
              <w:spacing w:after="0"/>
              <w:rPr>
                <w:sz w:val="18"/>
                <w:szCs w:val="18"/>
                <w:color w:val="auto"/>
              </w:rPr>
            </w:pPr>
          </w:p>
        </w:tc>
        <w:tc>
          <w:tcPr>
            <w:tcW w:w="3240" w:type="dxa"/>
            <w:vAlign w:val="bottom"/>
            <w:gridSpan w:val="9"/>
          </w:tcPr>
          <w:p>
            <w:pPr>
              <w:jc w:val="right"/>
              <w:ind w:right="40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9"/>
        </w:trPr>
        <w:tc>
          <w:tcPr>
            <w:tcW w:w="508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w w:val="97"/>
              </w:rPr>
              <w:t>(In thousands)</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Marketable and non-marketable investment securities - realized and</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unrealized gains (losses)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(30,730)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80" w:type="dxa"/>
            <w:vAlign w:val="bottom"/>
            <w:gridSpan w:val="2"/>
          </w:tcPr>
          <w:p>
            <w:pPr>
              <w:spacing w:after="0"/>
              <w:rPr>
                <w:sz w:val="20"/>
                <w:szCs w:val="20"/>
                <w:color w:val="auto"/>
              </w:rPr>
            </w:pPr>
            <w:r>
              <w:rPr>
                <w:rFonts w:ascii="Arial" w:cs="Arial" w:eastAsia="Arial" w:hAnsi="Arial"/>
                <w:sz w:val="16"/>
                <w:szCs w:val="16"/>
                <w:color w:val="auto"/>
              </w:rPr>
              <w:t>Sale of Assets to EchoStar - realized gains (losses) (Note 1)</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128,788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0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Derivative instruments - net realized and/or unrealized gains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(1,793,387)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1,015,387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80" w:type="dxa"/>
            <w:vAlign w:val="bottom"/>
            <w:gridSpan w:val="2"/>
          </w:tcPr>
          <w:p>
            <w:pPr>
              <w:spacing w:after="0"/>
              <w:rPr>
                <w:sz w:val="20"/>
                <w:szCs w:val="20"/>
                <w:color w:val="auto"/>
              </w:rPr>
            </w:pPr>
            <w:r>
              <w:rPr>
                <w:rFonts w:ascii="Arial" w:cs="Arial" w:eastAsia="Arial" w:hAnsi="Arial"/>
                <w:sz w:val="16"/>
                <w:szCs w:val="16"/>
                <w:color w:val="auto"/>
              </w:rPr>
              <w:t>Gains (losses) related to early redemption of debt</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73,024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189"/>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 earnings (losses) of affiliates</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(67,214)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(3,835)</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gridSpan w:val="2"/>
          </w:tcPr>
          <w:p>
            <w:pPr>
              <w:spacing w:after="0"/>
              <w:rPr>
                <w:sz w:val="20"/>
                <w:szCs w:val="20"/>
                <w:color w:val="auto"/>
              </w:rPr>
            </w:pPr>
            <w:r>
              <w:rPr>
                <w:rFonts w:ascii="Arial" w:cs="Arial" w:eastAsia="Arial" w:hAnsi="Arial"/>
                <w:sz w:val="16"/>
                <w:szCs w:val="16"/>
                <w:color w:val="auto"/>
              </w:rPr>
              <w:t>Liberty Puerto Rico Asset Sale (Note 13)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0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EchoStar Exchange Offers debt extinguishment gains (losses)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(Note 9)</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080" w:type="dxa"/>
            <w:vAlign w:val="bottom"/>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(21,763)</w:t>
            </w:r>
          </w:p>
        </w:tc>
        <w:tc>
          <w:tcPr>
            <w:tcW w:w="14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(4,285)</w:t>
            </w:r>
          </w:p>
        </w:tc>
        <w:tc>
          <w:tcPr>
            <w:tcW w:w="0" w:type="dxa"/>
            <w:vAlign w:val="bottom"/>
          </w:tcPr>
          <w:p>
            <w:pPr>
              <w:spacing w:after="0"/>
              <w:rPr>
                <w:sz w:val="1"/>
                <w:szCs w:val="1"/>
                <w:color w:val="auto"/>
              </w:rPr>
            </w:pPr>
          </w:p>
        </w:tc>
      </w:tr>
      <w:tr>
        <w:trPr>
          <w:trHeight w:val="183"/>
        </w:trPr>
        <w:tc>
          <w:tcPr>
            <w:tcW w:w="508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742,705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(1,741,876)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1,038,982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6.</w:t>
        <w:tab/>
        <w:t>Inventory</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Inventory consisted of the following:</w:t>
      </w:r>
    </w:p>
    <w:p>
      <w:pPr>
        <w:spacing w:after="0" w:line="30" w:lineRule="exact"/>
        <w:rPr>
          <w:sz w:val="20"/>
          <w:szCs w:val="20"/>
          <w:color w:val="auto"/>
        </w:rPr>
      </w:pPr>
    </w:p>
    <w:tbl>
      <w:tblPr>
        <w:tblLayout w:type="fixed"/>
        <w:tblInd w:w="20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3"/>
          </w:tcPr>
          <w:p>
            <w:pPr>
              <w:jc w:val="right"/>
              <w:ind w:right="164"/>
              <w:spacing w:after="0" w:line="169" w:lineRule="exact"/>
              <w:rPr>
                <w:sz w:val="20"/>
                <w:szCs w:val="20"/>
                <w:color w:val="auto"/>
              </w:rPr>
            </w:pPr>
            <w:r>
              <w:rPr>
                <w:rFonts w:ascii="Arial" w:cs="Arial" w:eastAsia="Arial" w:hAnsi="Arial"/>
                <w:sz w:val="16"/>
                <w:szCs w:val="16"/>
                <w:color w:val="auto"/>
              </w:rPr>
              <w:t>(In thousands)</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2220" w:type="dxa"/>
            <w:vAlign w:val="bottom"/>
            <w:gridSpan w:val="2"/>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262,722</w:t>
            </w:r>
          </w:p>
        </w:tc>
        <w:tc>
          <w:tcPr>
            <w:tcW w:w="860" w:type="dxa"/>
            <w:vAlign w:val="bottom"/>
            <w:gridSpan w:val="2"/>
            <w:shd w:val="clear" w:color="auto" w:fill="CCEEFF"/>
          </w:tcPr>
          <w:p>
            <w:pPr>
              <w:jc w:val="right"/>
              <w:ind w:right="50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407,620</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Work-in-process and service repairs</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27,432</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35,464</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Consignment</w:t>
            </w:r>
          </w:p>
        </w:tc>
        <w:tc>
          <w:tcPr>
            <w:tcW w:w="1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47,723</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Raw materials</w:t>
            </w:r>
          </w:p>
        </w:tc>
        <w:tc>
          <w:tcPr>
            <w:tcW w:w="1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3,064</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w:t>
            </w:r>
          </w:p>
        </w:tc>
        <w:tc>
          <w:tcPr>
            <w:tcW w:w="60" w:type="dxa"/>
            <w:vAlign w:val="bottom"/>
            <w:tcBorders>
              <w:bottom w:val="single" w:sz="8" w:color="CCEEFF"/>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7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inventory</w:t>
            </w:r>
          </w:p>
        </w:tc>
        <w:tc>
          <w:tcPr>
            <w:tcW w:w="1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303,328</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497,058</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1" w:name="page112"/>
    <w:bookmarkEnd w:id="11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600" w:hanging="391"/>
        <w:spacing w:after="0"/>
        <w:tabs>
          <w:tab w:leader="none" w:pos="6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Intangible Assets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Depreciable</w:t>
            </w:r>
          </w:p>
        </w:tc>
        <w:tc>
          <w:tcPr>
            <w:tcW w:w="200" w:type="dxa"/>
            <w:vAlign w:val="bottom"/>
          </w:tcPr>
          <w:p>
            <w:pPr>
              <w:spacing w:after="0"/>
              <w:rPr>
                <w:sz w:val="17"/>
                <w:szCs w:val="17"/>
                <w:color w:val="auto"/>
              </w:rPr>
            </w:pPr>
          </w:p>
        </w:tc>
        <w:tc>
          <w:tcPr>
            <w:tcW w:w="2420" w:type="dxa"/>
            <w:vAlign w:val="bottom"/>
            <w:gridSpan w:val="5"/>
            <w:vMerge w:val="restart"/>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9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(In Years)</w:t>
            </w:r>
          </w:p>
        </w:tc>
        <w:tc>
          <w:tcPr>
            <w:tcW w:w="2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4"/>
          </w:tcPr>
          <w:p>
            <w:pPr>
              <w:jc w:val="right"/>
              <w:ind w:right="679"/>
              <w:spacing w:after="0" w:line="169"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Equipment leased to customers</w:t>
            </w: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1,005,750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1,181,193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6"/>
                <w:szCs w:val="16"/>
                <w:color w:val="auto"/>
              </w:rPr>
              <w:t>Satellites</w:t>
            </w:r>
          </w:p>
        </w:tc>
        <w:tc>
          <w:tcPr>
            <w:tcW w:w="260" w:type="dxa"/>
            <w:vAlign w:val="bottom"/>
          </w:tcPr>
          <w:p>
            <w:pPr>
              <w:ind w:left="100"/>
              <w:spacing w:after="0"/>
              <w:rPr>
                <w:sz w:val="20"/>
                <w:szCs w:val="20"/>
                <w:color w:val="auto"/>
              </w:rPr>
            </w:pPr>
            <w:r>
              <w:rPr>
                <w:rFonts w:ascii="Arial" w:cs="Arial" w:eastAsia="Arial" w:hAnsi="Arial"/>
                <w:sz w:val="16"/>
                <w:szCs w:val="16"/>
                <w:color w:val="auto"/>
              </w:rPr>
              <w:t>6</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280" w:type="dxa"/>
            <w:vAlign w:val="bottom"/>
          </w:tcPr>
          <w:p>
            <w:pPr>
              <w:jc w:val="center"/>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1,718,865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1,718,865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Satellites acquired under finance lease agreements (1)</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344,447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6"/>
                <w:szCs w:val="16"/>
                <w:color w:val="auto"/>
              </w:rPr>
              <w:t>Furniture, fixtures, equipment and other (2)</w:t>
            </w:r>
          </w:p>
        </w:tc>
        <w:tc>
          <w:tcPr>
            <w:tcW w:w="260" w:type="dxa"/>
            <w:vAlign w:val="bottom"/>
          </w:tcPr>
          <w:p>
            <w:pPr>
              <w:ind w:left="100"/>
              <w:spacing w:after="0"/>
              <w:rPr>
                <w:sz w:val="20"/>
                <w:szCs w:val="20"/>
                <w:color w:val="auto"/>
              </w:rPr>
            </w:pPr>
            <w:r>
              <w:rPr>
                <w:rFonts w:ascii="Arial" w:cs="Arial" w:eastAsia="Arial" w:hAnsi="Arial"/>
                <w:sz w:val="16"/>
                <w:szCs w:val="16"/>
                <w:color w:val="auto"/>
              </w:rPr>
              <w:t>2</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280" w:type="dxa"/>
            <w:vAlign w:val="bottom"/>
          </w:tcPr>
          <w:p>
            <w:pPr>
              <w:jc w:val="center"/>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801,650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908,924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5G Network Deployment equipment (3)</w:t>
            </w: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5,382,706</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4,263,327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6"/>
                <w:szCs w:val="16"/>
                <w:color w:val="auto"/>
              </w:rPr>
              <w:t>Software and computer equipment</w:t>
            </w:r>
          </w:p>
        </w:tc>
        <w:tc>
          <w:tcPr>
            <w:tcW w:w="260" w:type="dxa"/>
            <w:vAlign w:val="bottom"/>
          </w:tcPr>
          <w:p>
            <w:pPr>
              <w:ind w:left="100"/>
              <w:spacing w:after="0"/>
              <w:rPr>
                <w:sz w:val="20"/>
                <w:szCs w:val="20"/>
                <w:color w:val="auto"/>
              </w:rPr>
            </w:pPr>
            <w:r>
              <w:rPr>
                <w:rFonts w:ascii="Arial" w:cs="Arial" w:eastAsia="Arial" w:hAnsi="Arial"/>
                <w:sz w:val="16"/>
                <w:szCs w:val="16"/>
                <w:color w:val="auto"/>
              </w:rPr>
              <w:t>2</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280" w:type="dxa"/>
            <w:vAlign w:val="bottom"/>
          </w:tcPr>
          <w:p>
            <w:pPr>
              <w:jc w:val="center"/>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1,816,749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2,111,305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Buildings and improvements (2)</w:t>
            </w: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5</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334,213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381,757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6"/>
                <w:szCs w:val="16"/>
                <w:color w:val="auto"/>
              </w:rPr>
              <w:t>Land (2)</w:t>
            </w:r>
          </w:p>
        </w:tc>
        <w:tc>
          <w:tcPr>
            <w:tcW w:w="26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12,041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1,544,726</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12,616,700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12,729,331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(5,387,611)</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(5,327,384)</w:t>
            </w:r>
          </w:p>
        </w:tc>
        <w:tc>
          <w:tcPr>
            <w:tcW w:w="0" w:type="dxa"/>
            <w:vAlign w:val="bottom"/>
          </w:tcPr>
          <w:p>
            <w:pPr>
              <w:spacing w:after="0"/>
              <w:rPr>
                <w:sz w:val="1"/>
                <w:szCs w:val="1"/>
                <w:color w:val="auto"/>
              </w:rPr>
            </w:pPr>
          </w:p>
        </w:tc>
      </w:tr>
      <w:tr>
        <w:trPr>
          <w:trHeight w:val="183"/>
        </w:trPr>
        <w:tc>
          <w:tcPr>
            <w:tcW w:w="4800" w:type="dxa"/>
            <w:vAlign w:val="bottom"/>
          </w:tcPr>
          <w:p>
            <w:pPr>
              <w:spacing w:after="0" w:line="183" w:lineRule="exact"/>
              <w:rPr>
                <w:sz w:val="20"/>
                <w:szCs w:val="20"/>
                <w:color w:val="auto"/>
              </w:rPr>
            </w:pPr>
            <w:r>
              <w:rPr>
                <w:rFonts w:ascii="Arial" w:cs="Arial" w:eastAsia="Arial" w:hAnsi="Arial"/>
                <w:sz w:val="16"/>
                <w:szCs w:val="16"/>
                <w:b w:val="1"/>
                <w:bCs w:val="1"/>
                <w:color w:val="auto"/>
              </w:rPr>
              <w:t>Property and equipment, net</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7,229,089</w:t>
            </w: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7,401,947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40" w:right="379" w:hanging="331"/>
        <w:spacing w:after="0" w:line="245"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decrease is primarily related to the Nimiq 5 finance lease that was extended in October 2024 and as a result is currently accounted for as an operating lease.</w:t>
      </w:r>
    </w:p>
    <w:p>
      <w:pPr>
        <w:ind w:left="540" w:right="639" w:hanging="331"/>
        <w:spacing w:after="0" w:line="234"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change primarily relates to the Sale and Transfer of Assets to EchoStar. See Note 1 for further information.</w:t>
      </w:r>
    </w:p>
    <w:p>
      <w:pPr>
        <w:spacing w:after="0" w:line="1" w:lineRule="exact"/>
        <w:rPr>
          <w:rFonts w:ascii="Arial" w:cs="Arial" w:eastAsia="Arial" w:hAnsi="Arial"/>
          <w:sz w:val="18"/>
          <w:szCs w:val="18"/>
          <w:color w:val="auto"/>
        </w:rPr>
      </w:pPr>
    </w:p>
    <w:p>
      <w:pPr>
        <w:ind w:left="540" w:hanging="331"/>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5G Network Deployment assets acquired under finance lease agreements.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Construction in progress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3"/>
          </w:tcPr>
          <w:p>
            <w:pPr>
              <w:jc w:val="right"/>
              <w:ind w:right="184"/>
              <w:spacing w:after="0" w:line="169" w:lineRule="exact"/>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Pay-TV</w:t>
            </w:r>
          </w:p>
        </w:tc>
        <w:tc>
          <w:tcPr>
            <w:tcW w:w="16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268,423</w:t>
            </w:r>
          </w:p>
        </w:tc>
        <w:tc>
          <w:tcPr>
            <w:tcW w:w="880" w:type="dxa"/>
            <w:vAlign w:val="bottom"/>
            <w:gridSpan w:val="2"/>
            <w:shd w:val="clear" w:color="auto" w:fill="CCEEFF"/>
          </w:tcPr>
          <w:p>
            <w:pPr>
              <w:jc w:val="right"/>
              <w:ind w:right="524"/>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162,055</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Wireless</w:t>
            </w:r>
          </w:p>
        </w:tc>
        <w:tc>
          <w:tcPr>
            <w:tcW w:w="1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1,276,303</w:t>
            </w:r>
          </w:p>
        </w:tc>
        <w:tc>
          <w:tcPr>
            <w:tcW w:w="2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1,639,945</w:t>
            </w:r>
          </w:p>
        </w:tc>
        <w:tc>
          <w:tcPr>
            <w:tcW w:w="60" w:type="dxa"/>
            <w:vAlign w:val="bottom"/>
            <w:tcBorders>
              <w:bottom w:val="single" w:sz="8" w:color="CCEEFF"/>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5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construction in progress</w:t>
            </w:r>
          </w:p>
        </w:tc>
        <w:tc>
          <w:tcPr>
            <w:tcW w:w="1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1,544,726</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1,802,000</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8"/>
          </w:tcPr>
          <w:p>
            <w:pPr>
              <w:ind w:left="340"/>
              <w:spacing w:after="0"/>
              <w:rPr>
                <w:sz w:val="20"/>
                <w:szCs w:val="20"/>
                <w:color w:val="auto"/>
              </w:rPr>
            </w:pPr>
            <w:r>
              <w:rPr>
                <w:rFonts w:ascii="Arial" w:cs="Arial" w:eastAsia="Arial" w:hAnsi="Arial"/>
                <w:sz w:val="16"/>
                <w:szCs w:val="16"/>
                <w:b w:val="1"/>
                <w:bCs w:val="1"/>
                <w:color w:val="auto"/>
              </w:rPr>
              <w:t>For the Years Ended December 31,</w:t>
            </w:r>
          </w:p>
        </w:tc>
      </w:tr>
      <w:tr>
        <w:trPr>
          <w:trHeight w:val="189"/>
        </w:trPr>
        <w:tc>
          <w:tcPr>
            <w:tcW w:w="4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6"/>
                <w:szCs w:val="16"/>
                <w:color w:val="auto"/>
              </w:rPr>
            </w:pPr>
          </w:p>
        </w:tc>
      </w:tr>
      <w:tr>
        <w:trPr>
          <w:trHeight w:val="169"/>
        </w:trPr>
        <w:tc>
          <w:tcPr>
            <w:tcW w:w="4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Equipment leased to customers</w:t>
            </w:r>
          </w:p>
        </w:tc>
        <w:tc>
          <w:tcPr>
            <w:tcW w:w="8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147,282</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166,950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191,746</w:t>
            </w:r>
          </w:p>
        </w:tc>
        <w:tc>
          <w:tcPr>
            <w:tcW w:w="40" w:type="dxa"/>
            <w:vAlign w:val="bottom"/>
            <w:shd w:val="clear" w:color="auto" w:fill="CCEEFF"/>
          </w:tcPr>
          <w:p>
            <w:pPr>
              <w:spacing w:after="0"/>
              <w:rPr>
                <w:sz w:val="16"/>
                <w:szCs w:val="16"/>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Satellites</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125,230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134,948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148,051</w:t>
            </w:r>
          </w:p>
        </w:tc>
        <w:tc>
          <w:tcPr>
            <w:tcW w:w="40" w:type="dxa"/>
            <w:vAlign w:val="bottom"/>
          </w:tcPr>
          <w:p>
            <w:pPr>
              <w:spacing w:after="0"/>
              <w:rPr>
                <w:sz w:val="16"/>
                <w:szCs w:val="16"/>
                <w:color w:val="auto"/>
              </w:rPr>
            </w:pPr>
          </w:p>
        </w:tc>
      </w:tr>
      <w:tr>
        <w:trPr>
          <w:trHeight w:val="189"/>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Buildings, furniture, fixtures, equipment and other</w:t>
            </w: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41,835</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91,942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40,703</w:t>
            </w:r>
          </w:p>
        </w:tc>
        <w:tc>
          <w:tcPr>
            <w:tcW w:w="40" w:type="dxa"/>
            <w:vAlign w:val="bottom"/>
            <w:shd w:val="clear" w:color="auto" w:fill="CCEEFF"/>
          </w:tcPr>
          <w:p>
            <w:pPr>
              <w:spacing w:after="0"/>
              <w:rPr>
                <w:sz w:val="16"/>
                <w:szCs w:val="16"/>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5G Network Deployment equipment</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718,729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371,640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29,992</w:t>
            </w:r>
          </w:p>
        </w:tc>
        <w:tc>
          <w:tcPr>
            <w:tcW w:w="40" w:type="dxa"/>
            <w:vAlign w:val="bottom"/>
          </w:tcPr>
          <w:p>
            <w:pPr>
              <w:spacing w:after="0"/>
              <w:rPr>
                <w:sz w:val="16"/>
                <w:szCs w:val="16"/>
                <w:color w:val="auto"/>
              </w:rPr>
            </w:pPr>
          </w:p>
        </w:tc>
      </w:tr>
      <w:tr>
        <w:trPr>
          <w:trHeight w:val="189"/>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Software and computer equipment</w:t>
            </w: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343,487</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235,820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153,040</w:t>
            </w:r>
          </w:p>
        </w:tc>
        <w:tc>
          <w:tcPr>
            <w:tcW w:w="40" w:type="dxa"/>
            <w:vAlign w:val="bottom"/>
            <w:shd w:val="clear" w:color="auto" w:fill="CCEEFF"/>
          </w:tcPr>
          <w:p>
            <w:pPr>
              <w:spacing w:after="0"/>
              <w:rPr>
                <w:sz w:val="16"/>
                <w:szCs w:val="16"/>
                <w:color w:val="auto"/>
              </w:rPr>
            </w:pPr>
          </w:p>
        </w:tc>
      </w:tr>
      <w:tr>
        <w:trPr>
          <w:trHeight w:val="189"/>
        </w:trPr>
        <w:tc>
          <w:tcPr>
            <w:tcW w:w="4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Intangible assets and other amortization expense</w:t>
            </w:r>
          </w:p>
        </w:tc>
        <w:tc>
          <w:tcPr>
            <w:tcW w:w="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95,641</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180,621</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153,541</w:t>
            </w:r>
          </w:p>
        </w:tc>
        <w:tc>
          <w:tcPr>
            <w:tcW w:w="40" w:type="dxa"/>
            <w:vAlign w:val="bottom"/>
            <w:tcBorders>
              <w:bottom w:val="single" w:sz="8" w:color="CCEEFF"/>
            </w:tcBorders>
          </w:tcPr>
          <w:p>
            <w:pPr>
              <w:spacing w:after="0"/>
              <w:rPr>
                <w:sz w:val="16"/>
                <w:szCs w:val="16"/>
                <w:color w:val="auto"/>
              </w:rPr>
            </w:pPr>
          </w:p>
        </w:tc>
      </w:tr>
      <w:tr>
        <w:trPr>
          <w:trHeight w:val="183"/>
        </w:trPr>
        <w:tc>
          <w:tcPr>
            <w:tcW w:w="41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depreciation and amortization</w:t>
            </w:r>
          </w:p>
        </w:tc>
        <w:tc>
          <w:tcPr>
            <w:tcW w:w="5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1,472,204</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1,181,921</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717,073</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4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0" w:lineRule="exact"/>
        <w:rPr>
          <w:sz w:val="20"/>
          <w:szCs w:val="20"/>
          <w:color w:val="auto"/>
        </w:rPr>
      </w:pPr>
    </w:p>
    <w:p>
      <w:pPr>
        <w:ind w:left="200" w:right="319"/>
        <w:spacing w:after="0" w:line="247" w:lineRule="auto"/>
        <w:rPr>
          <w:sz w:val="20"/>
          <w:szCs w:val="20"/>
          <w:color w:val="auto"/>
        </w:rPr>
      </w:pPr>
      <w:r>
        <w:rPr>
          <w:rFonts w:ascii="Arial" w:cs="Arial" w:eastAsia="Arial" w:hAnsi="Arial"/>
          <w:sz w:val="18"/>
          <w:szCs w:val="18"/>
          <w:color w:val="auto"/>
        </w:rPr>
        <w:t>Cost of sales and operating expense categories included in our accompanying Consolidated Statements of Operations and Comprehensive Income (Loss) do not include depreciation and amortization expense related to satellites, equipment leased to customers, or our 5G Network Deployment equipment and software.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2" w:name="page113"/>
    <w:bookmarkEnd w:id="11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Activity relating to our asset retirement obligations was as follows:</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right"/>
              <w:ind w:right="759"/>
              <w:spacing w:after="0"/>
              <w:rPr>
                <w:sz w:val="20"/>
                <w:szCs w:val="20"/>
                <w:color w:val="auto"/>
              </w:rPr>
            </w:pPr>
            <w:r>
              <w:rPr>
                <w:rFonts w:ascii="Arial" w:cs="Arial" w:eastAsia="Arial" w:hAnsi="Arial"/>
                <w:sz w:val="16"/>
                <w:szCs w:val="16"/>
                <w:b w:val="1"/>
                <w:bCs w:val="1"/>
                <w:color w:val="auto"/>
              </w:rPr>
              <w:t>As of December 31,</w:t>
            </w:r>
          </w:p>
        </w:tc>
      </w:tr>
      <w:tr>
        <w:trPr>
          <w:trHeight w:val="189"/>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jc w:val="right"/>
              <w:ind w:right="29"/>
              <w:spacing w:after="0" w:line="169" w:lineRule="exact"/>
              <w:rPr>
                <w:sz w:val="20"/>
                <w:szCs w:val="20"/>
                <w:color w:val="auto"/>
              </w:rPr>
            </w:pPr>
            <w:r>
              <w:rPr>
                <w:rFonts w:ascii="Arial" w:cs="Arial" w:eastAsia="Arial" w:hAnsi="Arial"/>
                <w:sz w:val="16"/>
                <w:szCs w:val="16"/>
                <w:color w:val="auto"/>
              </w:rPr>
              <w:t>(In thousands)</w:t>
            </w:r>
          </w:p>
        </w:tc>
        <w:tc>
          <w:tcPr>
            <w:tcW w:w="10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beginning of period</w:t>
            </w:r>
          </w:p>
        </w:tc>
        <w:tc>
          <w:tcPr>
            <w:tcW w:w="136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278,287</w:t>
            </w:r>
          </w:p>
        </w:tc>
        <w:tc>
          <w:tcPr>
            <w:tcW w:w="2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32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183,135</w:t>
            </w:r>
          </w:p>
        </w:tc>
      </w:tr>
      <w:tr>
        <w:trPr>
          <w:trHeight w:val="189"/>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Liabilities incurred</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20,929</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74,189</w:t>
            </w:r>
          </w:p>
        </w:tc>
      </w:tr>
      <w:tr>
        <w:trPr>
          <w:trHeight w:val="189"/>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Accretion expense</w:t>
            </w:r>
          </w:p>
        </w:tc>
        <w:tc>
          <w:tcPr>
            <w:tcW w:w="10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27,815</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20,963</w:t>
            </w:r>
          </w:p>
        </w:tc>
      </w:tr>
      <w:tr>
        <w:trPr>
          <w:trHeight w:val="223"/>
        </w:trPr>
        <w:tc>
          <w:tcPr>
            <w:tcW w:w="43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Balance, end of period</w:t>
            </w:r>
          </w:p>
        </w:tc>
        <w:tc>
          <w:tcPr>
            <w:tcW w:w="1060" w:type="dxa"/>
            <w:vAlign w:val="bottom"/>
          </w:tcPr>
          <w:p>
            <w:pPr>
              <w:spacing w:after="0"/>
              <w:rPr>
                <w:sz w:val="19"/>
                <w:szCs w:val="19"/>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327,031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278,287</w:t>
            </w:r>
          </w:p>
        </w:tc>
      </w:tr>
      <w:tr>
        <w:trPr>
          <w:trHeight w:val="169"/>
        </w:trPr>
        <w:tc>
          <w:tcPr>
            <w:tcW w:w="20" w:type="dxa"/>
            <w:vAlign w:val="bottom"/>
          </w:tcPr>
          <w:p>
            <w:pPr>
              <w:spacing w:after="0"/>
              <w:rPr>
                <w:sz w:val="14"/>
                <w:szCs w:val="14"/>
                <w:color w:val="auto"/>
              </w:rPr>
            </w:pPr>
          </w:p>
        </w:tc>
        <w:tc>
          <w:tcPr>
            <w:tcW w:w="43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r>
      <w:tr>
        <w:trPr>
          <w:trHeight w:val="183"/>
        </w:trPr>
        <w:tc>
          <w:tcPr>
            <w:tcW w:w="43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Total included in Other long-term liabilities</w:t>
            </w:r>
          </w:p>
        </w:tc>
        <w:tc>
          <w:tcPr>
            <w:tcW w:w="1060" w:type="dxa"/>
            <w:vAlign w:val="bottom"/>
          </w:tcPr>
          <w:p>
            <w:pPr>
              <w:spacing w:after="0"/>
              <w:rPr>
                <w:sz w:val="15"/>
                <w:szCs w:val="15"/>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327,031</w:t>
            </w: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278,287</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00" w:right="539"/>
        <w:spacing w:after="0" w:line="271" w:lineRule="auto"/>
        <w:rPr>
          <w:sz w:val="20"/>
          <w:szCs w:val="20"/>
          <w:color w:val="auto"/>
        </w:rPr>
      </w:pPr>
      <w:r>
        <w:rPr>
          <w:rFonts w:ascii="Arial" w:cs="Arial" w:eastAsia="Arial" w:hAnsi="Arial"/>
          <w:sz w:val="18"/>
          <w:szCs w:val="18"/>
          <w:color w:val="auto"/>
        </w:rPr>
        <w:t>The corresponding assets, net of accumulated depreciation, related to asset retirement obligations were $216 million and $217 million as of December 31, 2024 and 2023, respectively.</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Satellites Pay-TV Segment</w:t>
      </w:r>
    </w:p>
    <w:p>
      <w:pPr>
        <w:spacing w:after="0" w:line="183" w:lineRule="exact"/>
        <w:rPr>
          <w:sz w:val="20"/>
          <w:szCs w:val="20"/>
          <w:color w:val="auto"/>
        </w:rPr>
      </w:pPr>
    </w:p>
    <w:p>
      <w:pPr>
        <w:ind w:left="200" w:right="439"/>
        <w:spacing w:after="0" w:line="237" w:lineRule="auto"/>
        <w:rPr>
          <w:sz w:val="20"/>
          <w:szCs w:val="20"/>
          <w:color w:val="auto"/>
        </w:rPr>
      </w:pPr>
      <w:r>
        <w:rPr>
          <w:rFonts w:ascii="Arial" w:cs="Arial" w:eastAsia="Arial" w:hAnsi="Arial"/>
          <w:sz w:val="18"/>
          <w:szCs w:val="18"/>
          <w:color w:val="auto"/>
        </w:rPr>
        <w:t xml:space="preserve">Our Pay-TV segment currently utilizes nine satellites in </w:t>
      </w:r>
      <w:r>
        <w:rPr>
          <w:rFonts w:ascii="Arial" w:cs="Arial" w:eastAsia="Arial" w:hAnsi="Arial"/>
          <w:sz w:val="18"/>
          <w:szCs w:val="18"/>
          <w:color w:val="222222"/>
        </w:rPr>
        <w:t>geosynchronous</w:t>
      </w:r>
      <w:r>
        <w:rPr>
          <w:rFonts w:ascii="Arial" w:cs="Arial" w:eastAsia="Arial" w:hAnsi="Arial"/>
          <w:sz w:val="18"/>
          <w:szCs w:val="18"/>
          <w:color w:val="auto"/>
        </w:rPr>
        <w:t xml:space="preserve"> orbit approximately 22,300 miles above the equator, seven of which we own and depreciate over their estimated useful life. We also lease</w:t>
      </w:r>
    </w:p>
    <w:p>
      <w:pPr>
        <w:ind w:left="260"/>
        <w:spacing w:after="0" w:line="235" w:lineRule="auto"/>
        <w:rPr>
          <w:sz w:val="20"/>
          <w:szCs w:val="20"/>
          <w:color w:val="auto"/>
        </w:rPr>
      </w:pPr>
      <w:r>
        <w:rPr>
          <w:rFonts w:ascii="Arial" w:cs="Arial" w:eastAsia="Arial" w:hAnsi="Arial"/>
          <w:sz w:val="18"/>
          <w:szCs w:val="18"/>
          <w:color w:val="auto"/>
        </w:rPr>
        <w:t>two satellites from third parties: Anik F3 and Nimiq 5, which are accounted for as operating leases.</w:t>
      </w:r>
    </w:p>
    <w:p>
      <w:pPr>
        <w:spacing w:after="0" w:line="1" w:lineRule="exact"/>
        <w:rPr>
          <w:sz w:val="20"/>
          <w:szCs w:val="20"/>
          <w:color w:val="auto"/>
        </w:rPr>
      </w:pPr>
    </w:p>
    <w:p>
      <w:pPr>
        <w:ind w:left="200" w:right="379"/>
        <w:spacing w:after="0" w:line="226" w:lineRule="auto"/>
        <w:rPr>
          <w:sz w:val="20"/>
          <w:szCs w:val="20"/>
          <w:color w:val="auto"/>
        </w:rPr>
      </w:pPr>
      <w:r>
        <w:rPr>
          <w:rFonts w:ascii="Arial" w:cs="Arial" w:eastAsia="Arial" w:hAnsi="Arial"/>
          <w:sz w:val="18"/>
          <w:szCs w:val="18"/>
          <w:color w:val="auto"/>
        </w:rPr>
        <w:t>Through the third quarter of 2024, our Nimiq 5 satellite was accounted for as finance lease within our Pay-TV segment. However, during October 2024, we extended the Nimiq 5 lease and as a result it is currently</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accounted for as an operating lease.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2024, our Pay-TV segment satellite fleet consisted of the following:</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Degree</w:t>
            </w:r>
          </w:p>
        </w:tc>
        <w:tc>
          <w:tcPr>
            <w:tcW w:w="2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Lease</w:t>
            </w:r>
          </w:p>
        </w:tc>
      </w:tr>
      <w:tr>
        <w:trPr>
          <w:trHeight w:val="189"/>
        </w:trPr>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Launch</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Orbital</w:t>
            </w:r>
          </w:p>
        </w:tc>
        <w:tc>
          <w:tcPr>
            <w:tcW w:w="21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8"/>
              </w:rPr>
              <w:t>Termination</w:t>
            </w:r>
          </w:p>
        </w:tc>
      </w:tr>
      <w:tr>
        <w:trPr>
          <w:trHeight w:val="203"/>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Satellites</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Date</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Location</w:t>
            </w:r>
          </w:p>
        </w:tc>
        <w:tc>
          <w:tcPr>
            <w:tcW w:w="2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7"/>
              </w:rPr>
              <w:t>Date</w:t>
            </w:r>
          </w:p>
        </w:tc>
      </w:tr>
      <w:tr>
        <w:trPr>
          <w:trHeight w:val="183"/>
        </w:trPr>
        <w:tc>
          <w:tcPr>
            <w:tcW w:w="29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Owned:</w:t>
            </w:r>
          </w:p>
        </w:tc>
        <w:tc>
          <w:tcPr>
            <w:tcW w:w="20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EchoStar X</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rPr>
              <w:t>February 2006</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tcPr>
          <w:p>
            <w:pPr>
              <w:spacing w:after="0"/>
              <w:rPr>
                <w:sz w:val="16"/>
                <w:szCs w:val="16"/>
                <w:color w:val="auto"/>
              </w:rPr>
            </w:pPr>
          </w:p>
        </w:tc>
        <w:tc>
          <w:tcPr>
            <w:tcW w:w="216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N/A</w:t>
            </w:r>
          </w:p>
        </w:tc>
      </w:tr>
      <w:tr>
        <w:trPr>
          <w:trHeight w:val="189"/>
        </w:trPr>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 XI</w:t>
            </w:r>
          </w:p>
        </w:tc>
        <w:tc>
          <w:tcPr>
            <w:tcW w:w="21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July 2008</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7"/>
              </w:rPr>
              <w:t>N/A</w:t>
            </w: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EchoStar XIV</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rPr>
              <w:t>March 2010</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119</w:t>
            </w:r>
          </w:p>
        </w:tc>
        <w:tc>
          <w:tcPr>
            <w:tcW w:w="200" w:type="dxa"/>
            <w:vAlign w:val="bottom"/>
          </w:tcPr>
          <w:p>
            <w:pPr>
              <w:spacing w:after="0"/>
              <w:rPr>
                <w:sz w:val="16"/>
                <w:szCs w:val="16"/>
                <w:color w:val="auto"/>
              </w:rPr>
            </w:pPr>
          </w:p>
        </w:tc>
        <w:tc>
          <w:tcPr>
            <w:tcW w:w="216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N/A</w:t>
            </w:r>
          </w:p>
        </w:tc>
      </w:tr>
      <w:tr>
        <w:trPr>
          <w:trHeight w:val="189"/>
        </w:trPr>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 XV</w:t>
            </w:r>
          </w:p>
        </w:tc>
        <w:tc>
          <w:tcPr>
            <w:tcW w:w="21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July 2010</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61.5</w:t>
            </w:r>
          </w:p>
        </w:tc>
        <w:tc>
          <w:tcPr>
            <w:tcW w:w="2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7"/>
              </w:rPr>
              <w:t>N/A</w:t>
            </w: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EchoStar XVI</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color w:val="auto"/>
              </w:rPr>
              <w:t>November 2012</w:t>
            </w:r>
          </w:p>
        </w:tc>
        <w:tc>
          <w:tcPr>
            <w:tcW w:w="980" w:type="dxa"/>
            <w:vAlign w:val="bottom"/>
          </w:tcPr>
          <w:p>
            <w:pPr>
              <w:jc w:val="center"/>
              <w:spacing w:after="0"/>
              <w:rPr>
                <w:sz w:val="20"/>
                <w:szCs w:val="20"/>
                <w:color w:val="auto"/>
              </w:rPr>
            </w:pPr>
            <w:r>
              <w:rPr>
                <w:rFonts w:ascii="Arial" w:cs="Arial" w:eastAsia="Arial" w:hAnsi="Arial"/>
                <w:sz w:val="16"/>
                <w:szCs w:val="16"/>
                <w:color w:val="auto"/>
              </w:rPr>
              <w:t>61.5</w:t>
            </w:r>
          </w:p>
        </w:tc>
        <w:tc>
          <w:tcPr>
            <w:tcW w:w="200" w:type="dxa"/>
            <w:vAlign w:val="bottom"/>
          </w:tcPr>
          <w:p>
            <w:pPr>
              <w:spacing w:after="0"/>
              <w:rPr>
                <w:sz w:val="16"/>
                <w:szCs w:val="16"/>
                <w:color w:val="auto"/>
              </w:rPr>
            </w:pPr>
          </w:p>
        </w:tc>
        <w:tc>
          <w:tcPr>
            <w:tcW w:w="216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N/A</w:t>
            </w:r>
          </w:p>
        </w:tc>
      </w:tr>
      <w:tr>
        <w:trPr>
          <w:trHeight w:val="189"/>
        </w:trPr>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 XVIII</w:t>
            </w:r>
          </w:p>
        </w:tc>
        <w:tc>
          <w:tcPr>
            <w:tcW w:w="21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June 2016</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61.5</w:t>
            </w:r>
          </w:p>
        </w:tc>
        <w:tc>
          <w:tcPr>
            <w:tcW w:w="2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7"/>
              </w:rPr>
              <w:t>N/A</w:t>
            </w: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EchoStar XXIII</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rPr>
              <w:t>March 2017</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tcPr>
          <w:p>
            <w:pPr>
              <w:spacing w:after="0"/>
              <w:rPr>
                <w:sz w:val="16"/>
                <w:szCs w:val="16"/>
                <w:color w:val="auto"/>
              </w:rPr>
            </w:pPr>
          </w:p>
        </w:tc>
        <w:tc>
          <w:tcPr>
            <w:tcW w:w="216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N/A</w:t>
            </w:r>
          </w:p>
        </w:tc>
      </w:tr>
      <w:tr>
        <w:trPr>
          <w:trHeight w:val="189"/>
        </w:trPr>
        <w:tc>
          <w:tcPr>
            <w:tcW w:w="2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Under Construction:</w:t>
            </w: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 XXV</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7"/>
              </w:rPr>
              <w:t>N/A</w:t>
            </w:r>
          </w:p>
        </w:tc>
      </w:tr>
      <w:tr>
        <w:trPr>
          <w:trHeight w:val="189"/>
        </w:trPr>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Leased from Other Third-Party:</w:t>
            </w:r>
          </w:p>
        </w:tc>
        <w:tc>
          <w:tcPr>
            <w:tcW w:w="1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Anik F3</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April 2007</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118.7</w:t>
            </w:r>
          </w:p>
        </w:tc>
        <w:tc>
          <w:tcPr>
            <w:tcW w:w="200" w:type="dxa"/>
            <w:vAlign w:val="bottom"/>
          </w:tcPr>
          <w:p>
            <w:pPr>
              <w:spacing w:after="0"/>
              <w:rPr>
                <w:sz w:val="16"/>
                <w:szCs w:val="16"/>
                <w:color w:val="auto"/>
              </w:rPr>
            </w:pPr>
          </w:p>
        </w:tc>
        <w:tc>
          <w:tcPr>
            <w:tcW w:w="2160" w:type="dxa"/>
            <w:vAlign w:val="bottom"/>
            <w:gridSpan w:val="2"/>
          </w:tcPr>
          <w:p>
            <w:pPr>
              <w:jc w:val="center"/>
              <w:ind w:right="20"/>
              <w:spacing w:after="0"/>
              <w:rPr>
                <w:sz w:val="20"/>
                <w:szCs w:val="20"/>
                <w:color w:val="auto"/>
              </w:rPr>
            </w:pPr>
            <w:r>
              <w:rPr>
                <w:rFonts w:ascii="Arial" w:cs="Arial" w:eastAsia="Arial" w:hAnsi="Arial"/>
                <w:sz w:val="16"/>
                <w:szCs w:val="16"/>
                <w:color w:val="auto"/>
              </w:rPr>
              <w:t>April 2025</w:t>
            </w:r>
          </w:p>
        </w:tc>
      </w:tr>
      <w:tr>
        <w:trPr>
          <w:trHeight w:val="189"/>
        </w:trPr>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Nimiq 5</w:t>
            </w:r>
          </w:p>
        </w:tc>
        <w:tc>
          <w:tcPr>
            <w:tcW w:w="21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September 2009</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72.7</w:t>
            </w:r>
          </w:p>
        </w:tc>
        <w:tc>
          <w:tcPr>
            <w:tcW w:w="2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October 2029</w:t>
            </w:r>
          </w:p>
        </w:tc>
      </w:tr>
    </w:tbl>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Satellite Under Construction</w:t>
      </w:r>
    </w:p>
    <w:p>
      <w:pPr>
        <w:spacing w:after="0" w:line="196" w:lineRule="exact"/>
        <w:rPr>
          <w:sz w:val="20"/>
          <w:szCs w:val="20"/>
          <w:color w:val="auto"/>
        </w:rPr>
      </w:pPr>
    </w:p>
    <w:p>
      <w:pPr>
        <w:ind w:left="200" w:right="279"/>
        <w:spacing w:after="0" w:line="244" w:lineRule="auto"/>
        <w:rPr>
          <w:sz w:val="20"/>
          <w:szCs w:val="20"/>
          <w:color w:val="auto"/>
        </w:rPr>
      </w:pPr>
      <w:r>
        <w:rPr>
          <w:rFonts w:ascii="Arial" w:cs="Arial" w:eastAsia="Arial" w:hAnsi="Arial"/>
          <w:sz w:val="18"/>
          <w:szCs w:val="18"/>
          <w:i w:val="1"/>
          <w:iCs w:val="1"/>
          <w:color w:val="auto"/>
        </w:rPr>
        <w:t>EchoStar XXV</w:t>
      </w:r>
      <w:r>
        <w:rPr>
          <w:rFonts w:ascii="Arial" w:cs="Arial" w:eastAsia="Arial" w:hAnsi="Arial"/>
          <w:sz w:val="18"/>
          <w:szCs w:val="18"/>
          <w:color w:val="auto"/>
        </w:rPr>
        <w:t>. On March 20, 2023, we entered into a contract with Maxar Space LLC for the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EchoStar XXV, a DBS satellite that is capable of providing service to the continental United States (“CONUS”) and is intended to be used at the 110 degree orbital location. During the fourth quarter of 2023, we entered into an agreement with Space Exploration Technologies Corp (“SpaceX”) for launch services for this satellite, which is expected to be launched during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3" w:name="page114"/>
    <w:bookmarkEnd w:id="11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219"/>
        <w:spacing w:after="0" w:line="239" w:lineRule="auto"/>
        <w:rPr>
          <w:sz w:val="20"/>
          <w:szCs w:val="20"/>
          <w:color w:val="auto"/>
        </w:rPr>
      </w:pPr>
      <w:r>
        <w:rPr>
          <w:rFonts w:ascii="Arial" w:cs="Arial" w:eastAsia="Arial" w:hAnsi="Arial"/>
          <w:sz w:val="18"/>
          <w:szCs w:val="18"/>
          <w:color w:val="auto"/>
        </w:rPr>
        <w:t>The EchoStar XXV contract was included in the Sale and Transfer of Assets to EchoStar on January 10, 2024. Subsequently, on May 2, 2024, the EchoStar XXV contract was included in the Orbital II Transfer from EchoStar and is recorded in “Property and equipment, net” on our Consolidated Balance Sheets. For the year ended December 31, 2024, capital expenditures for EchoStar XXV totaled $121 million, which includes $74 million for capital expenditures incurred after May 2, 2024, which is included in “Purchases of property and equipment,” and $ 47 million for capital expenditures incurred between the Sale and Transfer of Assets to EchoStar on January 10, 2024 and May 2, 2024, which is included in “Other, net” within “Net cash flows from investing activities” on our Consolidated Statements of Cash Flows. See Note 1 for further information.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Satellite Anomalies and Impairments</w:t>
      </w:r>
    </w:p>
    <w:p>
      <w:pPr>
        <w:spacing w:after="0" w:line="156" w:lineRule="exact"/>
        <w:rPr>
          <w:sz w:val="20"/>
          <w:szCs w:val="20"/>
          <w:color w:val="auto"/>
        </w:rPr>
      </w:pPr>
    </w:p>
    <w:p>
      <w:pPr>
        <w:ind w:left="200" w:right="219"/>
        <w:spacing w:after="0" w:line="247" w:lineRule="auto"/>
        <w:rPr>
          <w:sz w:val="20"/>
          <w:szCs w:val="20"/>
          <w:color w:val="auto"/>
        </w:rPr>
      </w:pPr>
      <w:r>
        <w:rPr>
          <w:rFonts w:ascii="Arial" w:cs="Arial" w:eastAsia="Arial" w:hAnsi="Arial"/>
          <w:sz w:val="18"/>
          <w:szCs w:val="18"/>
          <w:color w:val="auto"/>
        </w:rPr>
        <w:t>Operation of our DISH TV services requires that we have adequate satellite transmission capacity for the programming that we offer. While we generally have had in-orbit satellite capacity sufficient to transmit our existing channels and some backup capacity to recover the transmission of certain critical programming, our backup capacity is limited.</w:t>
      </w:r>
    </w:p>
    <w:p>
      <w:pPr>
        <w:spacing w:after="0" w:line="120" w:lineRule="exact"/>
        <w:rPr>
          <w:sz w:val="20"/>
          <w:szCs w:val="20"/>
          <w:color w:val="auto"/>
        </w:rPr>
      </w:pPr>
    </w:p>
    <w:p>
      <w:pPr>
        <w:ind w:left="200" w:right="259"/>
        <w:spacing w:after="0" w:line="244" w:lineRule="auto"/>
        <w:rPr>
          <w:sz w:val="20"/>
          <w:szCs w:val="20"/>
          <w:color w:val="auto"/>
        </w:rPr>
      </w:pPr>
      <w:r>
        <w:rPr>
          <w:rFonts w:ascii="Arial" w:cs="Arial" w:eastAsia="Arial" w:hAnsi="Arial"/>
          <w:sz w:val="18"/>
          <w:szCs w:val="18"/>
          <w:color w:val="auto"/>
        </w:rPr>
        <w:t>In the event of a failure or loss of any of our owned or leased satellites, we may need to acquire or lease additional satellite capacity or relocate one of our other owned or leased satellites and use it as a replacement for the failed or lost satellite. Such a failure could result in a prolonged loss of critical programming or a significant delay in our plans to expand programming as necessary to remain competitive and thus may have a material adverse effect on our business, financial condition and results of operations.</w:t>
      </w:r>
    </w:p>
    <w:p>
      <w:pPr>
        <w:spacing w:after="0" w:line="163" w:lineRule="exact"/>
        <w:rPr>
          <w:sz w:val="20"/>
          <w:szCs w:val="20"/>
          <w:color w:val="auto"/>
        </w:rPr>
      </w:pPr>
    </w:p>
    <w:p>
      <w:pPr>
        <w:ind w:left="200" w:right="299"/>
        <w:spacing w:after="0" w:line="255" w:lineRule="auto"/>
        <w:rPr>
          <w:sz w:val="20"/>
          <w:szCs w:val="20"/>
          <w:color w:val="auto"/>
        </w:rPr>
      </w:pPr>
      <w:r>
        <w:rPr>
          <w:rFonts w:ascii="Arial" w:cs="Arial" w:eastAsia="Arial" w:hAnsi="Arial"/>
          <w:sz w:val="17"/>
          <w:szCs w:val="17"/>
          <w:color w:val="auto"/>
        </w:rPr>
        <w:t>In the past, certain of our owned and leased satellites have experienced anomalies, some of which have had a significant adverse impact on their remaining useful life and/or commercial operation. There can be no assurance that future anomalies will not impact the remaining useful life and/or commercial operation of any of the owned and leased satellites in our fleet. See Note 2 for further information on evaluation of impairment. There can be no assurance that we can recover critical transmission capacity in the event one or more of our owned or leased in-orbit satellites were to fail. We are not aware of any anomalies with respect to our owned or leased satellites that have had any such significant adverse effect during the year ended December 31, 2024. We generally do not carry commercial in-orbit insurance on any of the satellites that we own and therefore, we will bear the risk associated with any uninsured in-orbit satellite failures.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4" w:name="page115"/>
    <w:bookmarkEnd w:id="11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6" w:lineRule="exact"/>
        <w:rPr>
          <w:sz w:val="20"/>
          <w:szCs w:val="20"/>
          <w:color w:val="auto"/>
        </w:rPr>
      </w:pPr>
    </w:p>
    <w:p>
      <w:pPr>
        <w:ind w:left="200" w:right="1239"/>
        <w:spacing w:after="0" w:line="271" w:lineRule="auto"/>
        <w:rPr>
          <w:sz w:val="20"/>
          <w:szCs w:val="20"/>
          <w:color w:val="auto"/>
        </w:rPr>
      </w:pPr>
      <w:r>
        <w:rPr>
          <w:rFonts w:ascii="Arial" w:cs="Arial" w:eastAsia="Arial" w:hAnsi="Arial"/>
          <w:sz w:val="18"/>
          <w:szCs w:val="18"/>
          <w:color w:val="auto"/>
        </w:rPr>
        <w:t>As of December 31, 2024 and 2023, our identifiable intangibles, including intangibles subject to amortization and non-amortizing intangibles consisted of the following:</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ind w:left="460"/>
              <w:spacing w:after="0"/>
              <w:rPr>
                <w:sz w:val="20"/>
                <w:szCs w:val="20"/>
                <w:color w:val="auto"/>
              </w:rPr>
            </w:pPr>
            <w:r>
              <w:rPr>
                <w:rFonts w:ascii="Arial" w:cs="Arial" w:eastAsia="Arial" w:hAnsi="Arial"/>
                <w:sz w:val="16"/>
                <w:szCs w:val="16"/>
                <w:b w:val="1"/>
                <w:bCs w:val="1"/>
                <w:color w:val="auto"/>
              </w:rPr>
              <w:t>As of December 31,</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9"/>
        </w:trPr>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8"/>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line="168" w:lineRule="exact"/>
              <w:rPr>
                <w:sz w:val="20"/>
                <w:szCs w:val="20"/>
                <w:color w:val="auto"/>
              </w:rPr>
            </w:pPr>
            <w:r>
              <w:rPr>
                <w:rFonts w:ascii="Arial" w:cs="Arial" w:eastAsia="Arial" w:hAnsi="Arial"/>
                <w:sz w:val="16"/>
                <w:szCs w:val="16"/>
                <w:b w:val="1"/>
                <w:bCs w:val="1"/>
                <w:color w:val="auto"/>
              </w:rPr>
              <w:t>Intangible</w:t>
            </w:r>
          </w:p>
        </w:tc>
        <w:tc>
          <w:tcPr>
            <w:tcW w:w="1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line="168" w:lineRule="exact"/>
              <w:rPr>
                <w:sz w:val="20"/>
                <w:szCs w:val="20"/>
                <w:color w:val="auto"/>
              </w:rPr>
            </w:pPr>
            <w:r>
              <w:rPr>
                <w:rFonts w:ascii="Arial" w:cs="Arial" w:eastAsia="Arial" w:hAnsi="Arial"/>
                <w:sz w:val="16"/>
                <w:szCs w:val="16"/>
                <w:b w:val="1"/>
                <w:bCs w:val="1"/>
                <w:color w:val="auto"/>
              </w:rPr>
              <w:t>Intangible</w:t>
            </w:r>
          </w:p>
        </w:tc>
        <w:tc>
          <w:tcPr>
            <w:tcW w:w="100" w:type="dxa"/>
            <w:vAlign w:val="bottom"/>
          </w:tcPr>
          <w:p>
            <w:pPr>
              <w:spacing w:after="0"/>
              <w:rPr>
                <w:sz w:val="14"/>
                <w:szCs w:val="14"/>
                <w:color w:val="auto"/>
              </w:rPr>
            </w:pPr>
          </w:p>
        </w:tc>
        <w:tc>
          <w:tcPr>
            <w:tcW w:w="112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w w:val="99"/>
              </w:rPr>
              <w:t>Accumulated</w:t>
            </w:r>
          </w:p>
        </w:tc>
        <w:tc>
          <w:tcPr>
            <w:tcW w:w="60" w:type="dxa"/>
            <w:vAlign w:val="bottom"/>
          </w:tcPr>
          <w:p>
            <w:pPr>
              <w:spacing w:after="0"/>
              <w:rPr>
                <w:sz w:val="14"/>
                <w:szCs w:val="14"/>
                <w:color w:val="auto"/>
              </w:rPr>
            </w:pPr>
          </w:p>
        </w:tc>
      </w:tr>
      <w:tr>
        <w:trPr>
          <w:trHeight w:val="203"/>
        </w:trPr>
        <w:tc>
          <w:tcPr>
            <w:tcW w:w="3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Amortization</w:t>
            </w:r>
          </w:p>
        </w:tc>
        <w:tc>
          <w:tcPr>
            <w:tcW w:w="60" w:type="dxa"/>
            <w:vAlign w:val="bottom"/>
          </w:tcPr>
          <w:p>
            <w:pPr>
              <w:spacing w:after="0"/>
              <w:rPr>
                <w:sz w:val="17"/>
                <w:szCs w:val="17"/>
                <w:color w:val="auto"/>
              </w:rPr>
            </w:pPr>
          </w:p>
        </w:tc>
      </w:tr>
      <w:tr>
        <w:trPr>
          <w:trHeight w:val="169"/>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679"/>
              <w:spacing w:after="0" w:line="169"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Technology-based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(61,157)</w:t>
            </w: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63,766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(60,590)</w:t>
            </w:r>
          </w:p>
        </w:tc>
      </w:tr>
      <w:tr>
        <w:trPr>
          <w:trHeight w:val="189"/>
        </w:trPr>
        <w:tc>
          <w:tcPr>
            <w:tcW w:w="314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135,134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(81,351)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135,134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(71,640)</w:t>
            </w:r>
          </w:p>
        </w:tc>
      </w:tr>
      <w:tr>
        <w:trPr>
          <w:trHeight w:val="189"/>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Contract-based</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(41,500)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(41,500)</w:t>
            </w:r>
          </w:p>
        </w:tc>
      </w:tr>
      <w:tr>
        <w:trPr>
          <w:trHeight w:val="189"/>
        </w:trPr>
        <w:tc>
          <w:tcPr>
            <w:tcW w:w="314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628,598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(621,140)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628,598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(535,778)</w:t>
            </w:r>
          </w:p>
        </w:tc>
      </w:tr>
      <w:tr>
        <w:trPr>
          <w:trHeight w:val="183"/>
        </w:trPr>
        <w:tc>
          <w:tcPr>
            <w:tcW w:w="31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869,005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(805,148)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868,998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(709,508)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200" w:right="339"/>
        <w:spacing w:after="0" w:line="247" w:lineRule="auto"/>
        <w:rPr>
          <w:sz w:val="20"/>
          <w:szCs w:val="20"/>
          <w:color w:val="auto"/>
        </w:rPr>
      </w:pPr>
      <w:r>
        <w:rPr>
          <w:rFonts w:ascii="Arial" w:cs="Arial" w:eastAsia="Arial" w:hAnsi="Arial"/>
          <w:sz w:val="18"/>
          <w:szCs w:val="18"/>
          <w:color w:val="auto"/>
        </w:rPr>
        <w:t>These identifiable intangibles are included in “Intangible assets, net” on our Consolidated Balance Sheets. Amortization of these intangible assets is recorded on a straight-line basis over an average finite useful life primarily ranging from approximately two to 20 years. Amortization was $96 million, $181 million and $154 million for the years ended December 31, 2024, 2023 and 2022, respectively.</w:t>
      </w:r>
    </w:p>
    <w:p>
      <w:pPr>
        <w:spacing w:after="0" w:line="160" w:lineRule="exact"/>
        <w:rPr>
          <w:sz w:val="20"/>
          <w:szCs w:val="20"/>
          <w:color w:val="auto"/>
        </w:rPr>
      </w:pPr>
    </w:p>
    <w:p>
      <w:pPr>
        <w:ind w:left="200" w:right="319"/>
        <w:spacing w:after="0" w:line="271" w:lineRule="auto"/>
        <w:rPr>
          <w:sz w:val="20"/>
          <w:szCs w:val="20"/>
          <w:color w:val="auto"/>
        </w:rPr>
      </w:pPr>
      <w:r>
        <w:rPr>
          <w:rFonts w:ascii="Arial" w:cs="Arial" w:eastAsia="Arial" w:hAnsi="Arial"/>
          <w:sz w:val="18"/>
          <w:szCs w:val="18"/>
          <w:color w:val="auto"/>
        </w:rPr>
        <w:t>Estimated future amortization of our identifiable intangible assets as of December 31, 2024, excluding non-amortizing intangibles, is as follows:</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Ending December 31,</w:t>
            </w:r>
          </w:p>
        </w:tc>
        <w:tc>
          <w:tcPr>
            <w:tcW w:w="360" w:type="dxa"/>
            <w:vAlign w:val="bottom"/>
          </w:tcPr>
          <w:p>
            <w:pPr>
              <w:spacing w:after="0"/>
              <w:rPr>
                <w:sz w:val="17"/>
                <w:szCs w:val="17"/>
                <w:color w:val="auto"/>
              </w:rPr>
            </w:pPr>
          </w:p>
        </w:tc>
        <w:tc>
          <w:tcPr>
            <w:tcW w:w="2040" w:type="dxa"/>
            <w:vAlign w:val="bottom"/>
            <w:gridSpan w:val="2"/>
          </w:tcPr>
          <w:p>
            <w:pPr>
              <w:ind w:left="600"/>
              <w:spacing w:after="0"/>
              <w:rPr>
                <w:sz w:val="20"/>
                <w:szCs w:val="20"/>
                <w:color w:val="auto"/>
              </w:rPr>
            </w:pPr>
            <w:r>
              <w:rPr>
                <w:rFonts w:ascii="Arial" w:cs="Arial" w:eastAsia="Arial" w:hAnsi="Arial"/>
                <w:sz w:val="16"/>
                <w:szCs w:val="16"/>
                <w:b w:val="1"/>
                <w:bCs w:val="1"/>
                <w:color w:val="auto"/>
              </w:rPr>
              <w:t>Total</w:t>
            </w:r>
          </w:p>
        </w:tc>
      </w:tr>
      <w:tr>
        <w:trPr>
          <w:trHeight w:val="183"/>
        </w:trPr>
        <w:tc>
          <w:tcPr>
            <w:tcW w:w="5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right"/>
              <w:ind w:right="559"/>
              <w:spacing w:after="0" w:line="183" w:lineRule="exact"/>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5"/>
                <w:szCs w:val="15"/>
                <w:color w:val="auto"/>
              </w:rPr>
            </w:pPr>
          </w:p>
        </w:tc>
      </w:tr>
      <w:tr>
        <w:trPr>
          <w:trHeight w:val="189"/>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13,534</w:t>
            </w:r>
          </w:p>
        </w:tc>
        <w:tc>
          <w:tcPr>
            <w:tcW w:w="100" w:type="dxa"/>
            <w:vAlign w:val="bottom"/>
            <w:shd w:val="clear" w:color="auto" w:fill="CCEEFF"/>
          </w:tcPr>
          <w:p>
            <w:pPr>
              <w:spacing w:after="0"/>
              <w:rPr>
                <w:sz w:val="16"/>
                <w:szCs w:val="16"/>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11,838</w:t>
            </w:r>
          </w:p>
        </w:tc>
        <w:tc>
          <w:tcPr>
            <w:tcW w:w="100" w:type="dxa"/>
            <w:vAlign w:val="bottom"/>
          </w:tcPr>
          <w:p>
            <w:pPr>
              <w:spacing w:after="0"/>
              <w:rPr>
                <w:sz w:val="16"/>
                <w:szCs w:val="16"/>
                <w:color w:val="auto"/>
              </w:rPr>
            </w:pPr>
          </w:p>
        </w:tc>
      </w:tr>
      <w:tr>
        <w:trPr>
          <w:trHeight w:val="189"/>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11,355</w:t>
            </w:r>
          </w:p>
        </w:tc>
        <w:tc>
          <w:tcPr>
            <w:tcW w:w="100" w:type="dxa"/>
            <w:vAlign w:val="bottom"/>
            <w:shd w:val="clear" w:color="auto" w:fill="CCEEFF"/>
          </w:tcPr>
          <w:p>
            <w:pPr>
              <w:spacing w:after="0"/>
              <w:rPr>
                <w:sz w:val="16"/>
                <w:szCs w:val="16"/>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2028</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10,872</w:t>
            </w:r>
          </w:p>
        </w:tc>
        <w:tc>
          <w:tcPr>
            <w:tcW w:w="100" w:type="dxa"/>
            <w:vAlign w:val="bottom"/>
          </w:tcPr>
          <w:p>
            <w:pPr>
              <w:spacing w:after="0"/>
              <w:rPr>
                <w:sz w:val="16"/>
                <w:szCs w:val="16"/>
                <w:color w:val="auto"/>
              </w:rPr>
            </w:pPr>
          </w:p>
        </w:tc>
      </w:tr>
      <w:tr>
        <w:trPr>
          <w:trHeight w:val="189"/>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2029</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10,283</w:t>
            </w:r>
          </w:p>
        </w:tc>
        <w:tc>
          <w:tcPr>
            <w:tcW w:w="100" w:type="dxa"/>
            <w:vAlign w:val="bottom"/>
            <w:shd w:val="clear" w:color="auto" w:fill="CCEEFF"/>
          </w:tcPr>
          <w:p>
            <w:pPr>
              <w:spacing w:after="0"/>
              <w:rPr>
                <w:sz w:val="16"/>
                <w:szCs w:val="16"/>
                <w:color w:val="auto"/>
              </w:rPr>
            </w:pPr>
          </w:p>
        </w:tc>
      </w:tr>
      <w:tr>
        <w:trPr>
          <w:trHeight w:val="189"/>
        </w:trPr>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5,747</w:t>
            </w:r>
          </w:p>
        </w:tc>
        <w:tc>
          <w:tcPr>
            <w:tcW w:w="100" w:type="dxa"/>
            <w:vAlign w:val="bottom"/>
            <w:tcBorders>
              <w:bottom w:val="single" w:sz="8" w:color="CCEEFF"/>
            </w:tcBorders>
          </w:tcPr>
          <w:p>
            <w:pPr>
              <w:spacing w:after="0"/>
              <w:rPr>
                <w:sz w:val="16"/>
                <w:szCs w:val="16"/>
                <w:color w:val="auto"/>
              </w:rPr>
            </w:pPr>
          </w:p>
        </w:tc>
      </w:tr>
      <w:tr>
        <w:trPr>
          <w:trHeight w:val="183"/>
        </w:trPr>
        <w:tc>
          <w:tcPr>
            <w:tcW w:w="618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63,629</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w:t>
      </w:r>
    </w:p>
    <w:p>
      <w:pPr>
        <w:spacing w:after="0" w:line="196" w:lineRule="exact"/>
        <w:rPr>
          <w:sz w:val="20"/>
          <w:szCs w:val="20"/>
          <w:color w:val="auto"/>
        </w:rPr>
      </w:pPr>
    </w:p>
    <w:p>
      <w:pPr>
        <w:ind w:left="200" w:right="239"/>
        <w:spacing w:after="0" w:line="253" w:lineRule="auto"/>
        <w:rPr>
          <w:sz w:val="20"/>
          <w:szCs w:val="20"/>
          <w:color w:val="auto"/>
        </w:rPr>
      </w:pPr>
      <w:r>
        <w:rPr>
          <w:rFonts w:ascii="Arial" w:cs="Arial" w:eastAsia="Arial" w:hAnsi="Arial"/>
          <w:sz w:val="18"/>
          <w:szCs w:val="18"/>
          <w:color w:val="auto"/>
        </w:rPr>
        <w:t>Goodwill represents the excess of the consideration transferred over the estimated fair values of assets acquired and liabilities assumed as of the acquisition date and is not subject to amortization but is subject to impairment testing annually or whenever indicators of impairment arise.</w:t>
      </w:r>
    </w:p>
    <w:p>
      <w:pPr>
        <w:spacing w:after="0" w:line="155" w:lineRule="exact"/>
        <w:rPr>
          <w:sz w:val="20"/>
          <w:szCs w:val="20"/>
          <w:color w:val="auto"/>
        </w:rPr>
      </w:pPr>
    </w:p>
    <w:p>
      <w:pPr>
        <w:jc w:val="both"/>
        <w:ind w:left="200" w:right="279"/>
        <w:spacing w:after="0" w:line="244" w:lineRule="auto"/>
        <w:rPr>
          <w:sz w:val="20"/>
          <w:szCs w:val="20"/>
          <w:color w:val="auto"/>
        </w:rPr>
      </w:pPr>
      <w:r>
        <w:rPr>
          <w:rFonts w:ascii="Arial" w:cs="Arial" w:eastAsia="Arial" w:hAnsi="Arial"/>
          <w:sz w:val="18"/>
          <w:szCs w:val="18"/>
          <w:color w:val="auto"/>
        </w:rPr>
        <w:t>During the year ended December 31, 2023 we recorded a noncash impairment charge for goodwill of $ 225 million in “Impairment of long-lived assets and goodwill” on our Consolidated Statements of Operations and Comprehensive Income (Loss). See Note 2 for further information. The non-recurring measurement of fair value of goodwill is classified as Level 3 in the fair value hierarchy. As of December 31, 2024 and 2023, we have zero goodwill recorded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5" w:name="page116"/>
    <w:bookmarkEnd w:id="11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Regulatory Authorizations – Pay-TV and Wireless Segments</w:t>
      </w:r>
    </w:p>
    <w:p>
      <w:pPr>
        <w:spacing w:after="0" w:line="196" w:lineRule="exact"/>
        <w:rPr>
          <w:sz w:val="20"/>
          <w:szCs w:val="20"/>
          <w:color w:val="auto"/>
        </w:rPr>
      </w:pPr>
    </w:p>
    <w:p>
      <w:pPr>
        <w:ind w:left="200" w:right="639"/>
        <w:spacing w:after="0" w:line="271" w:lineRule="auto"/>
        <w:rPr>
          <w:sz w:val="20"/>
          <w:szCs w:val="20"/>
          <w:color w:val="auto"/>
        </w:rPr>
      </w:pPr>
      <w:r>
        <w:rPr>
          <w:rFonts w:ascii="Arial" w:cs="Arial" w:eastAsia="Arial" w:hAnsi="Arial"/>
          <w:sz w:val="18"/>
          <w:szCs w:val="18"/>
          <w:color w:val="auto"/>
        </w:rPr>
        <w:t>As of December 31, 2024 and 2023, our Regulatory Authorizations with indefinite lives consisted of the following:</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Segment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Owned:</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06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60"/>
              <w:spacing w:after="0"/>
              <w:rPr>
                <w:sz w:val="20"/>
                <w:szCs w:val="20"/>
                <w:color w:val="auto"/>
              </w:rPr>
            </w:pPr>
            <w:r>
              <w:rPr>
                <w:rFonts w:ascii="Arial" w:cs="Arial" w:eastAsia="Arial" w:hAnsi="Arial"/>
                <w:sz w:val="14"/>
                <w:szCs w:val="14"/>
                <w:color w:val="auto"/>
              </w:rPr>
              <w:t>DBS Licenses</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Pay-TV</w:t>
            </w:r>
          </w:p>
        </w:tc>
        <w:tc>
          <w:tcPr>
            <w:tcW w:w="4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677,409</w:t>
            </w:r>
          </w:p>
        </w:tc>
        <w:tc>
          <w:tcPr>
            <w:tcW w:w="5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677,409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ind w:left="60"/>
              <w:spacing w:after="0"/>
              <w:rPr>
                <w:sz w:val="20"/>
                <w:szCs w:val="20"/>
                <w:color w:val="auto"/>
              </w:rPr>
            </w:pPr>
            <w:r>
              <w:rPr>
                <w:rFonts w:ascii="Arial" w:cs="Arial" w:eastAsia="Arial" w:hAnsi="Arial"/>
                <w:sz w:val="14"/>
                <w:szCs w:val="14"/>
                <w:color w:val="auto"/>
              </w:rPr>
              <w:t>600 MHz Licenses</w:t>
            </w:r>
          </w:p>
        </w:tc>
        <w:tc>
          <w:tcPr>
            <w:tcW w:w="760" w:type="dxa"/>
            <w:vAlign w:val="bottom"/>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6,192,575</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6,213,335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60"/>
              <w:spacing w:after="0"/>
              <w:rPr>
                <w:sz w:val="20"/>
                <w:szCs w:val="20"/>
                <w:color w:val="auto"/>
              </w:rPr>
            </w:pPr>
            <w:r>
              <w:rPr>
                <w:rFonts w:ascii="Arial" w:cs="Arial" w:eastAsia="Arial" w:hAnsi="Arial"/>
                <w:sz w:val="14"/>
                <w:szCs w:val="14"/>
                <w:color w:val="auto"/>
              </w:rPr>
              <w:t>3.45-3.55 GHz Licenses</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7,329,093</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7,327,989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ind w:left="60"/>
              <w:spacing w:after="0"/>
              <w:rPr>
                <w:sz w:val="20"/>
                <w:szCs w:val="20"/>
                <w:color w:val="auto"/>
              </w:rPr>
            </w:pPr>
            <w:r>
              <w:rPr>
                <w:rFonts w:ascii="Arial" w:cs="Arial" w:eastAsia="Arial" w:hAnsi="Arial"/>
                <w:sz w:val="14"/>
                <w:szCs w:val="14"/>
                <w:color w:val="auto"/>
              </w:rPr>
              <w:t>1695-1710 MHz, 1755-1780 MHz, and 2155-2180 MHz</w:t>
            </w:r>
          </w:p>
        </w:tc>
        <w:tc>
          <w:tcPr>
            <w:tcW w:w="760" w:type="dxa"/>
            <w:vAlign w:val="bottom"/>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972</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60"/>
              <w:spacing w:after="0"/>
              <w:rPr>
                <w:sz w:val="20"/>
                <w:szCs w:val="20"/>
                <w:color w:val="auto"/>
              </w:rPr>
            </w:pPr>
            <w:r>
              <w:rPr>
                <w:rFonts w:ascii="Arial" w:cs="Arial" w:eastAsia="Arial" w:hAnsi="Arial"/>
                <w:sz w:val="14"/>
                <w:szCs w:val="14"/>
                <w:color w:val="auto"/>
              </w:rPr>
              <w:t>AWS-3</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5,557,828</w:t>
            </w:r>
          </w:p>
        </w:tc>
        <w:tc>
          <w:tcPr>
            <w:tcW w:w="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5,618,930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Subtotal owned</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19,757,877</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19,838,635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0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40" w:type="dxa"/>
            <w:vAlign w:val="bottom"/>
          </w:tcPr>
          <w:p>
            <w:pPr>
              <w:spacing w:after="0"/>
              <w:rPr>
                <w:sz w:val="20"/>
                <w:szCs w:val="20"/>
                <w:color w:val="auto"/>
              </w:rPr>
            </w:pPr>
            <w:r>
              <w:rPr>
                <w:rFonts w:ascii="Arial" w:cs="Arial" w:eastAsia="Arial" w:hAnsi="Arial"/>
                <w:sz w:val="14"/>
                <w:szCs w:val="14"/>
                <w:b w:val="1"/>
                <w:bCs w:val="1"/>
                <w:color w:val="auto"/>
              </w:rPr>
              <w:t>Noncontrolling Investments: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60"/>
              <w:spacing w:after="0"/>
              <w:rPr>
                <w:sz w:val="20"/>
                <w:szCs w:val="20"/>
                <w:color w:val="auto"/>
              </w:rPr>
            </w:pPr>
            <w:r>
              <w:rPr>
                <w:rFonts w:ascii="Arial" w:cs="Arial" w:eastAsia="Arial" w:hAnsi="Arial"/>
                <w:sz w:val="14"/>
                <w:szCs w:val="14"/>
                <w:color w:val="auto"/>
              </w:rPr>
              <w:t>SNR</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4,271,459</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4,271,459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Capitalized Interest (1)</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6,811,062</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8,523,682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Regulatory authorizations, net as of December 31, 2024</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30,840,398</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Leased from EchoStar (2):</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ind w:left="60"/>
              <w:spacing w:after="0"/>
              <w:rPr>
                <w:sz w:val="20"/>
                <w:szCs w:val="20"/>
                <w:color w:val="auto"/>
              </w:rPr>
            </w:pPr>
            <w:r>
              <w:rPr>
                <w:rFonts w:ascii="Arial" w:cs="Arial" w:eastAsia="Arial" w:hAnsi="Arial"/>
                <w:sz w:val="14"/>
                <w:szCs w:val="14"/>
                <w:color w:val="auto"/>
              </w:rPr>
              <w:t>700 MHz Licenses</w:t>
            </w:r>
          </w:p>
        </w:tc>
        <w:tc>
          <w:tcPr>
            <w:tcW w:w="760" w:type="dxa"/>
            <w:vAlign w:val="bottom"/>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701,803</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711,871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60"/>
              <w:spacing w:after="0"/>
              <w:rPr>
                <w:sz w:val="20"/>
                <w:szCs w:val="20"/>
                <w:color w:val="auto"/>
              </w:rPr>
            </w:pPr>
            <w:r>
              <w:rPr>
                <w:rFonts w:ascii="Arial" w:cs="Arial" w:eastAsia="Arial" w:hAnsi="Arial"/>
                <w:sz w:val="14"/>
                <w:szCs w:val="14"/>
                <w:color w:val="auto"/>
              </w:rPr>
              <w:t>AWS-4 Licenses</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1,928,688</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ind w:left="60"/>
              <w:spacing w:after="0"/>
              <w:rPr>
                <w:sz w:val="20"/>
                <w:szCs w:val="20"/>
                <w:color w:val="auto"/>
              </w:rPr>
            </w:pPr>
            <w:r>
              <w:rPr>
                <w:rFonts w:ascii="Arial" w:cs="Arial" w:eastAsia="Arial" w:hAnsi="Arial"/>
                <w:sz w:val="14"/>
                <w:szCs w:val="14"/>
                <w:color w:val="auto"/>
              </w:rPr>
              <w:t>H Block Licenses</w:t>
            </w:r>
          </w:p>
        </w:tc>
        <w:tc>
          <w:tcPr>
            <w:tcW w:w="760" w:type="dxa"/>
            <w:vAlign w:val="bottom"/>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1,671,506</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1,671,506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60"/>
              <w:spacing w:after="0"/>
              <w:rPr>
                <w:sz w:val="20"/>
                <w:szCs w:val="20"/>
                <w:color w:val="auto"/>
              </w:rPr>
            </w:pPr>
            <w:r>
              <w:rPr>
                <w:rFonts w:ascii="Arial" w:cs="Arial" w:eastAsia="Arial" w:hAnsi="Arial"/>
                <w:sz w:val="14"/>
                <w:szCs w:val="14"/>
                <w:color w:val="auto"/>
              </w:rPr>
              <w:t>MVDDS Licenses</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ind w:left="60"/>
              <w:spacing w:after="0"/>
              <w:rPr>
                <w:sz w:val="20"/>
                <w:szCs w:val="20"/>
                <w:color w:val="auto"/>
              </w:rPr>
            </w:pPr>
            <w:r>
              <w:rPr>
                <w:rFonts w:ascii="Arial" w:cs="Arial" w:eastAsia="Arial" w:hAnsi="Arial"/>
                <w:sz w:val="14"/>
                <w:szCs w:val="14"/>
                <w:color w:val="auto"/>
              </w:rPr>
              <w:t>28 GHz Licenses</w:t>
            </w:r>
          </w:p>
        </w:tc>
        <w:tc>
          <w:tcPr>
            <w:tcW w:w="760" w:type="dxa"/>
            <w:vAlign w:val="bottom"/>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2,883</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60"/>
              <w:spacing w:after="0"/>
              <w:rPr>
                <w:sz w:val="20"/>
                <w:szCs w:val="20"/>
                <w:color w:val="auto"/>
              </w:rPr>
            </w:pPr>
            <w:r>
              <w:rPr>
                <w:rFonts w:ascii="Arial" w:cs="Arial" w:eastAsia="Arial" w:hAnsi="Arial"/>
                <w:sz w:val="14"/>
                <w:szCs w:val="14"/>
                <w:color w:val="auto"/>
              </w:rPr>
              <w:t>24 GHz Licenses</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11,772</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ind w:left="60"/>
              <w:spacing w:after="0"/>
              <w:rPr>
                <w:sz w:val="20"/>
                <w:szCs w:val="20"/>
                <w:color w:val="auto"/>
              </w:rPr>
            </w:pPr>
            <w:r>
              <w:rPr>
                <w:rFonts w:ascii="Arial" w:cs="Arial" w:eastAsia="Arial" w:hAnsi="Arial"/>
                <w:sz w:val="14"/>
                <w:szCs w:val="14"/>
                <w:color w:val="auto"/>
              </w:rPr>
              <w:t>37 GHz, 39 GHz and 47 GHz Licenses</w:t>
            </w:r>
          </w:p>
        </w:tc>
        <w:tc>
          <w:tcPr>
            <w:tcW w:w="760" w:type="dxa"/>
            <w:vAlign w:val="bottom"/>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202,392</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202,533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60"/>
              <w:spacing w:after="0"/>
              <w:rPr>
                <w:sz w:val="20"/>
                <w:szCs w:val="20"/>
                <w:color w:val="auto"/>
              </w:rPr>
            </w:pPr>
            <w:r>
              <w:rPr>
                <w:rFonts w:ascii="Arial" w:cs="Arial" w:eastAsia="Arial" w:hAnsi="Arial"/>
                <w:sz w:val="14"/>
                <w:szCs w:val="14"/>
                <w:color w:val="auto"/>
              </w:rPr>
              <w:t>3550-3650 MHz Licenses</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912,200</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912,939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3.7-3.98 GHz Licenses</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Wireless</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2,969</w:t>
            </w: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50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Leased from EchoStar</w:t>
            </w: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5,458,213</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5,480,473</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Regulatory authorizations, net as of December 31, 2023</w:t>
            </w:r>
          </w:p>
        </w:tc>
        <w:tc>
          <w:tcPr>
            <w:tcW w:w="7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38,114,249</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40" w:hanging="331"/>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 Note 2 for further information</w:t>
      </w:r>
      <w:r>
        <w:rPr>
          <w:rFonts w:ascii="Times New Roman" w:cs="Times New Roman" w:eastAsia="Times New Roman" w:hAnsi="Times New Roman"/>
          <w:sz w:val="18"/>
          <w:szCs w:val="18"/>
          <w:color w:val="auto"/>
        </w:rPr>
        <w:t>.</w:t>
      </w:r>
    </w:p>
    <w:p>
      <w:pPr>
        <w:spacing w:after="0" w:line="26" w:lineRule="exact"/>
        <w:rPr>
          <w:rFonts w:ascii="Arial" w:cs="Arial" w:eastAsia="Arial" w:hAnsi="Arial"/>
          <w:sz w:val="18"/>
          <w:szCs w:val="18"/>
          <w:color w:val="auto"/>
        </w:rPr>
      </w:pPr>
    </w:p>
    <w:p>
      <w:pPr>
        <w:ind w:left="540" w:right="379" w:hanging="331"/>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 Note 1 for further information on the Sale and Transfer of Assets to EchoStar and see Note 16 for Related Party Transactions with EchoStar.</w:t>
      </w:r>
    </w:p>
    <w:p>
      <w:pPr>
        <w:spacing w:after="0" w:line="172" w:lineRule="exact"/>
        <w:rPr>
          <w:sz w:val="20"/>
          <w:szCs w:val="20"/>
          <w:color w:val="auto"/>
        </w:rPr>
      </w:pPr>
    </w:p>
    <w:p>
      <w:pPr>
        <w:ind w:left="600" w:hanging="391"/>
        <w:spacing w:after="0"/>
        <w:tabs>
          <w:tab w:leader="none" w:pos="6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96" w:lineRule="exact"/>
        <w:rPr>
          <w:sz w:val="20"/>
          <w:szCs w:val="20"/>
          <w:color w:val="auto"/>
        </w:rPr>
      </w:pPr>
    </w:p>
    <w:p>
      <w:pPr>
        <w:ind w:left="200" w:right="299"/>
        <w:spacing w:after="0" w:line="253" w:lineRule="auto"/>
        <w:rPr>
          <w:sz w:val="20"/>
          <w:szCs w:val="20"/>
          <w:color w:val="auto"/>
        </w:rPr>
      </w:pPr>
      <w:r>
        <w:rPr>
          <w:rFonts w:ascii="Arial" w:cs="Arial" w:eastAsia="Arial" w:hAnsi="Arial"/>
          <w:sz w:val="18"/>
          <w:szCs w:val="18"/>
          <w:color w:val="auto"/>
        </w:rPr>
        <w:t>We enter into non-cancelable operating and finance leases for, among other things, communication towers, satellites, satellite-related ground infrastructure, data centers, office space, dark fiber and transport equipment, warehouses and distribution centers, vehicles and other equipment.</w:t>
      </w:r>
    </w:p>
    <w:p>
      <w:pPr>
        <w:spacing w:after="0" w:line="155" w:lineRule="exact"/>
        <w:rPr>
          <w:sz w:val="20"/>
          <w:szCs w:val="20"/>
          <w:color w:val="auto"/>
        </w:rPr>
      </w:pPr>
    </w:p>
    <w:p>
      <w:pPr>
        <w:ind w:left="200" w:right="239"/>
        <w:spacing w:after="0" w:line="244" w:lineRule="auto"/>
        <w:rPr>
          <w:sz w:val="20"/>
          <w:szCs w:val="20"/>
          <w:color w:val="auto"/>
        </w:rPr>
      </w:pPr>
      <w:r>
        <w:rPr>
          <w:rFonts w:ascii="Arial" w:cs="Arial" w:eastAsia="Arial" w:hAnsi="Arial"/>
          <w:sz w:val="18"/>
          <w:szCs w:val="18"/>
          <w:color w:val="auto"/>
        </w:rPr>
        <w:t>Substantially all of our leases have remaining lease terms from one to 13 years, with a weighted average remaining lease term of 1.7 to 9.7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spacing w:after="0" w:line="163" w:lineRule="exact"/>
        <w:rPr>
          <w:sz w:val="20"/>
          <w:szCs w:val="20"/>
          <w:color w:val="auto"/>
        </w:rPr>
      </w:pPr>
    </w:p>
    <w:p>
      <w:pPr>
        <w:ind w:left="200" w:right="379"/>
        <w:spacing w:after="0" w:line="247" w:lineRule="auto"/>
        <w:rPr>
          <w:sz w:val="20"/>
          <w:szCs w:val="20"/>
          <w:color w:val="auto"/>
        </w:rPr>
      </w:pPr>
      <w:r>
        <w:rPr>
          <w:rFonts w:ascii="Arial" w:cs="Arial" w:eastAsia="Arial" w:hAnsi="Arial"/>
          <w:sz w:val="18"/>
          <w:szCs w:val="18"/>
          <w:color w:val="auto"/>
        </w:rPr>
        <w:t>Through the third quarter of 2024, our Nimiq 5 satellite was accounted for as finance lease within our Pay-TV segment. However, during October 2024, we extended the Nimiq 5 lease and as a result it is currently accounted for as an operating lease. Substantially all of our remaining leases are accounted for as operating leases, including our Anik F3 satellite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6" w:name="page117"/>
    <w:bookmarkEnd w:id="11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 (1)</w:t>
            </w:r>
          </w:p>
        </w:tc>
        <w:tc>
          <w:tcPr>
            <w:tcW w:w="11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616,519</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516,920</w:t>
            </w:r>
          </w:p>
        </w:tc>
        <w:tc>
          <w:tcPr>
            <w:tcW w:w="60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332,385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Short-term lease cost (2)</w:t>
            </w: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10,521</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Finance lease cost: (3)</w:t>
            </w: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Arial" w:cs="Arial" w:eastAsia="Arial" w:hAnsi="Arial"/>
                <w:sz w:val="16"/>
                <w:szCs w:val="16"/>
                <w:color w:val="auto"/>
              </w:rPr>
              <w:t>Amortization of right-of-use assets</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47,610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66,966</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on lease liabilities</w:t>
            </w:r>
          </w:p>
        </w:tc>
        <w:tc>
          <w:tcPr>
            <w:tcW w:w="8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8,799</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14,090</w:t>
            </w:r>
          </w:p>
        </w:tc>
        <w:tc>
          <w:tcPr>
            <w:tcW w:w="6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0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Total finance lease cost</w:t>
            </w:r>
          </w:p>
        </w:tc>
        <w:tc>
          <w:tcPr>
            <w:tcW w:w="8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56,409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81,056</w:t>
            </w: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40,182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lease costs</w:t>
            </w:r>
          </w:p>
        </w:tc>
        <w:tc>
          <w:tcPr>
            <w:tcW w:w="8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697,236</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608,497</w:t>
            </w: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385,895</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40" w:hanging="331"/>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increase in operating lease cost is primarily related to communication tower leases.</w:t>
      </w:r>
    </w:p>
    <w:p>
      <w:pPr>
        <w:spacing w:after="0" w:line="13" w:lineRule="exact"/>
        <w:rPr>
          <w:rFonts w:ascii="Arial" w:cs="Arial" w:eastAsia="Arial" w:hAnsi="Arial"/>
          <w:sz w:val="18"/>
          <w:szCs w:val="18"/>
          <w:color w:val="auto"/>
        </w:rPr>
      </w:pPr>
    </w:p>
    <w:p>
      <w:pPr>
        <w:ind w:left="540" w:hanging="331"/>
        <w:spacing w:after="0" w:line="234"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Leases that have terms of 12 months or less.</w:t>
      </w:r>
    </w:p>
    <w:p>
      <w:pPr>
        <w:ind w:left="540" w:right="919" w:hanging="331"/>
        <w:spacing w:after="0" w:line="250"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increase in finance lease cost for the year ended December 31, 2023 is primarily related to equipment for our 5G Network Deployment.</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8"/>
          </w:tcPr>
          <w:p>
            <w:pPr>
              <w:ind w:left="8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spacing w:after="0" w:line="169" w:lineRule="exact"/>
              <w:rPr>
                <w:sz w:val="20"/>
                <w:szCs w:val="20"/>
                <w:color w:val="auto"/>
              </w:rPr>
            </w:pPr>
            <w:r>
              <w:rPr>
                <w:rFonts w:ascii="Arial" w:cs="Arial" w:eastAsia="Arial" w:hAnsi="Arial"/>
                <w:sz w:val="16"/>
                <w:szCs w:val="16"/>
                <w:color w:val="auto"/>
                <w:w w:val="97"/>
              </w:rPr>
              <w:t>(In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ind w:left="220"/>
              <w:spacing w:after="0"/>
              <w:rPr>
                <w:sz w:val="20"/>
                <w:szCs w:val="20"/>
                <w:color w:val="auto"/>
              </w:rPr>
            </w:pPr>
            <w:r>
              <w:rPr>
                <w:rFonts w:ascii="Arial" w:cs="Arial" w:eastAsia="Arial" w:hAnsi="Arial"/>
                <w:sz w:val="16"/>
                <w:szCs w:val="16"/>
                <w:color w:val="auto"/>
              </w:rPr>
              <w:t>Operating cash flows from operating leases</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474,964</w:t>
            </w:r>
          </w:p>
        </w:tc>
        <w:tc>
          <w:tcPr>
            <w:tcW w:w="2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346,091</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163,320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cash flows from finance leases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9,094</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ind w:left="220"/>
              <w:spacing w:after="0"/>
              <w:rPr>
                <w:sz w:val="20"/>
                <w:szCs w:val="20"/>
                <w:color w:val="auto"/>
              </w:rPr>
            </w:pPr>
            <w:r>
              <w:rPr>
                <w:rFonts w:ascii="Arial" w:cs="Arial" w:eastAsia="Arial" w:hAnsi="Arial"/>
                <w:sz w:val="16"/>
                <w:szCs w:val="16"/>
                <w:color w:val="auto"/>
              </w:rPr>
              <w:t>Financing cash flows from finance leases</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56,459</w:t>
            </w:r>
          </w:p>
        </w:tc>
        <w:tc>
          <w:tcPr>
            <w:tcW w:w="2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53,467</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42,617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Right-of-use assets obtained in exchange for lease obligations: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522,747</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741,017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1,398,050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220"/>
              <w:spacing w:after="0"/>
              <w:rPr>
                <w:sz w:val="20"/>
                <w:szCs w:val="20"/>
                <w:color w:val="auto"/>
              </w:rPr>
            </w:pPr>
            <w:r>
              <w:rPr>
                <w:rFonts w:ascii="Arial" w:cs="Arial" w:eastAsia="Arial" w:hAnsi="Arial"/>
                <w:sz w:val="16"/>
                <w:szCs w:val="16"/>
                <w:color w:val="auto"/>
              </w:rPr>
              <w:t>Finance leases</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53,771</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7" w:name="page118"/>
    <w:bookmarkEnd w:id="11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12"/>
          </w:tcPr>
          <w:p>
            <w:pPr>
              <w:ind w:left="90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95"/>
              </w:rPr>
              <w:t>2023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Leases: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Operating lease assets</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4"/>
          </w:tcPr>
          <w:p>
            <w:pPr>
              <w:jc w:val="right"/>
              <w:spacing w:after="0"/>
              <w:rPr>
                <w:sz w:val="20"/>
                <w:szCs w:val="20"/>
                <w:color w:val="auto"/>
              </w:rPr>
            </w:pPr>
            <w:r>
              <w:rPr>
                <w:rFonts w:ascii="Arial" w:cs="Arial" w:eastAsia="Arial" w:hAnsi="Arial"/>
                <w:sz w:val="16"/>
                <w:szCs w:val="16"/>
                <w:color w:val="auto"/>
              </w:rPr>
              <w:t>3,134,938</w:t>
            </w:r>
          </w:p>
        </w:tc>
        <w:tc>
          <w:tcPr>
            <w:tcW w:w="640" w:type="dxa"/>
            <w:vAlign w:val="bottom"/>
            <w:gridSpan w:val="3"/>
          </w:tcPr>
          <w:p>
            <w:pPr>
              <w:jc w:val="right"/>
              <w:ind w:right="35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2,934,862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8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510,697</w:t>
            </w:r>
          </w:p>
        </w:tc>
        <w:tc>
          <w:tcPr>
            <w:tcW w:w="640" w:type="dxa"/>
            <w:vAlign w:val="bottom"/>
            <w:gridSpan w:val="3"/>
          </w:tcPr>
          <w:p>
            <w:pPr>
              <w:jc w:val="right"/>
              <w:ind w:right="35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301,172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3,089,950</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2,992,863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line="183" w:lineRule="exact"/>
              <w:rPr>
                <w:sz w:val="20"/>
                <w:szCs w:val="20"/>
                <w:color w:val="auto"/>
              </w:rPr>
            </w:pPr>
            <w:r>
              <w:rPr>
                <w:rFonts w:ascii="Arial" w:cs="Arial" w:eastAsia="Arial" w:hAnsi="Arial"/>
                <w:sz w:val="16"/>
                <w:szCs w:val="16"/>
                <w:color w:val="auto"/>
              </w:rPr>
              <w:t>Total operating lease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3,600,647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w w:val="89"/>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3,294,035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8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b w:val="1"/>
                <w:bCs w:val="1"/>
                <w:color w:val="auto"/>
              </w:rPr>
              <w:t>Finance Leases: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gross</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121,102</w:t>
            </w:r>
          </w:p>
        </w:tc>
        <w:tc>
          <w:tcPr>
            <w:tcW w:w="64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465,549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depreciation</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(73,419)</w:t>
            </w:r>
          </w:p>
        </w:tc>
        <w:tc>
          <w:tcPr>
            <w:tcW w:w="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(370,768)</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Property and equipment, net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47,683</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59"/>
              <w:spacing w:after="0" w:line="183" w:lineRule="exact"/>
              <w:rPr>
                <w:sz w:val="20"/>
                <w:szCs w:val="20"/>
                <w:color w:val="auto"/>
              </w:rPr>
            </w:pPr>
            <w:r>
              <w:rPr>
                <w:rFonts w:ascii="Arial" w:cs="Arial" w:eastAsia="Arial" w:hAnsi="Arial"/>
                <w:sz w:val="16"/>
                <w:szCs w:val="16"/>
                <w:color w:val="auto"/>
                <w:w w:val="89"/>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94,781</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30,381</w:t>
            </w:r>
          </w:p>
        </w:tc>
        <w:tc>
          <w:tcPr>
            <w:tcW w:w="64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liabilities</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36,818</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67,199</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finance lease liabilities</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67,199</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59"/>
              <w:spacing w:after="0" w:line="183" w:lineRule="exact"/>
              <w:rPr>
                <w:sz w:val="20"/>
                <w:szCs w:val="20"/>
                <w:color w:val="auto"/>
              </w:rPr>
            </w:pPr>
            <w:r>
              <w:rPr>
                <w:rFonts w:ascii="Arial" w:cs="Arial" w:eastAsia="Arial" w:hAnsi="Arial"/>
                <w:sz w:val="16"/>
                <w:szCs w:val="16"/>
                <w:color w:val="auto"/>
                <w:w w:val="89"/>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123,658</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Remaining Lease Term:</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rPr>
              <w:t>Operating leases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right"/>
              <w:spacing w:after="0"/>
              <w:rPr>
                <w:sz w:val="20"/>
                <w:szCs w:val="20"/>
                <w:color w:val="auto"/>
              </w:rPr>
            </w:pPr>
            <w:r>
              <w:rPr>
                <w:rFonts w:ascii="Arial" w:cs="Arial" w:eastAsia="Arial" w:hAnsi="Arial"/>
                <w:sz w:val="16"/>
                <w:szCs w:val="16"/>
                <w:color w:val="auto"/>
              </w:rPr>
              <w:t>9.7 years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10.7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 years</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2.2 years</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Discount Rate:</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rPr>
              <w:t>Operating leases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6060" w:type="dxa"/>
            <w:vAlign w:val="bottom"/>
            <w:gridSpan w:val="6"/>
          </w:tcPr>
          <w:p>
            <w:pPr>
              <w:spacing w:after="0"/>
              <w:rPr>
                <w:sz w:val="20"/>
                <w:szCs w:val="20"/>
                <w:color w:val="auto"/>
              </w:rPr>
            </w:pPr>
            <w:r>
              <w:rPr>
                <w:rFonts w:ascii="Arial" w:cs="Arial" w:eastAsia="Arial" w:hAnsi="Arial"/>
                <w:sz w:val="18"/>
                <w:szCs w:val="18"/>
                <w:color w:val="auto"/>
              </w:rPr>
              <w:t>Maturities of lease liabilities as of December 31, 2024 were as follows: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12"/>
          </w:tcPr>
          <w:p>
            <w:pPr>
              <w:jc w:val="center"/>
              <w:ind w:right="240"/>
              <w:spacing w:after="0"/>
              <w:rPr>
                <w:sz w:val="20"/>
                <w:szCs w:val="20"/>
                <w:color w:val="auto"/>
              </w:rPr>
            </w:pPr>
            <w:r>
              <w:rPr>
                <w:rFonts w:ascii="Arial" w:cs="Arial" w:eastAsia="Arial" w:hAnsi="Arial"/>
                <w:sz w:val="16"/>
                <w:szCs w:val="16"/>
                <w:b w:val="1"/>
                <w:bCs w:val="1"/>
                <w:color w:val="auto"/>
              </w:rPr>
              <w:t>Maturities of Lease Liabilities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99"/>
              <w:spacing w:after="0" w:line="175" w:lineRule="exact"/>
              <w:rPr>
                <w:sz w:val="20"/>
                <w:szCs w:val="20"/>
                <w:color w:val="auto"/>
              </w:rPr>
            </w:pPr>
            <w:r>
              <w:rPr>
                <w:rFonts w:ascii="Arial" w:cs="Arial" w:eastAsia="Arial" w:hAnsi="Arial"/>
                <w:sz w:val="16"/>
                <w:szCs w:val="16"/>
                <w:b w:val="1"/>
                <w:bCs w:val="1"/>
                <w:color w:val="auto"/>
              </w:rPr>
              <w:t>Operating</w:t>
            </w: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4"/>
          </w:tcPr>
          <w:p>
            <w:pPr>
              <w:jc w:val="center"/>
              <w:spacing w:after="0" w:line="175" w:lineRule="exact"/>
              <w:rPr>
                <w:sz w:val="20"/>
                <w:szCs w:val="20"/>
                <w:color w:val="auto"/>
              </w:rPr>
            </w:pPr>
            <w:r>
              <w:rPr>
                <w:rFonts w:ascii="Arial" w:cs="Arial" w:eastAsia="Arial" w:hAnsi="Arial"/>
                <w:sz w:val="16"/>
                <w:szCs w:val="16"/>
                <w:b w:val="1"/>
                <w:bCs w:val="1"/>
                <w:color w:val="auto"/>
              </w:rPr>
              <w:t>Finance</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Ending December 31,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Leases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9"/>
              </w:rPr>
              <w:t>Leases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Borders>
              <w:top w:val="single" w:sz="8" w:color="auto"/>
            </w:tcBorders>
            <w:gridSpan w:val="4"/>
          </w:tcPr>
          <w:p>
            <w:pPr>
              <w:jc w:val="center"/>
              <w:spacing w:after="0" w:line="183" w:lineRule="exact"/>
              <w:rPr>
                <w:sz w:val="20"/>
                <w:szCs w:val="20"/>
                <w:color w:val="auto"/>
              </w:rPr>
            </w:pPr>
            <w:r>
              <w:rPr>
                <w:rFonts w:ascii="Arial" w:cs="Arial" w:eastAsia="Arial" w:hAnsi="Arial"/>
                <w:sz w:val="16"/>
                <w:szCs w:val="16"/>
                <w:color w:val="auto"/>
                <w:w w:val="99"/>
              </w:rPr>
              <w:t>(In thousands)</w:t>
            </w: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545,077</w:t>
            </w: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35,392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580,469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2026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577,160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36,588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613,748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579,203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2,574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581,777</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2028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536,551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536,551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2029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523,216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523,216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2,923,077</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2,923,077</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lease payments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5,684,284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74,554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5,758,838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Imputed interest</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(2,083,637)</w:t>
            </w:r>
          </w:p>
        </w:tc>
        <w:tc>
          <w:tcPr>
            <w:tcW w:w="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(7,355)</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(2,090,992)</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3,600,647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67,199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3,667,846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Current portion</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(510,697)</w:t>
            </w:r>
          </w:p>
        </w:tc>
        <w:tc>
          <w:tcPr>
            <w:tcW w:w="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(30,381)</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(541,078)</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Long-term portion of lease obligations</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3,089,950</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36,818</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3,126,768</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8" w:name="page119"/>
    <w:bookmarkEnd w:id="11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660" w:hanging="451"/>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Debt, Finance Lease and Other Obligations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our Debt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carrying amount and fair value of our debt facilities as of December 31,</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2024 and 2023:</w:t>
      </w:r>
    </w:p>
    <w:p>
      <w:pPr>
        <w:spacing w:after="0" w:line="32" w:lineRule="exact"/>
        <w:rPr>
          <w:sz w:val="20"/>
          <w:szCs w:val="20"/>
          <w:color w:val="auto"/>
        </w:rPr>
      </w:pPr>
    </w:p>
    <w:tbl>
      <w:tblPr>
        <w:tblLayout w:type="fixed"/>
        <w:tblInd w:w="220" w:type="dxa"/>
        <w:tblCellMar>
          <w:top w:w="0" w:type="dxa"/>
          <w:left w:w="0" w:type="dxa"/>
          <w:bottom w:w="0" w:type="dxa"/>
          <w:right w:w="0" w:type="dxa"/>
        </w:tblCellMar>
      </w:tblPr>
      <w:tr>
        <w:trPr>
          <w:trHeight w:val="160"/>
        </w:trPr>
        <w:tc>
          <w:tcPr>
            <w:tcW w:w="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3"/>
                <w:szCs w:val="13"/>
                <w:b w:val="1"/>
                <w:bCs w:val="1"/>
                <w:color w:val="auto"/>
                <w:w w:val="97"/>
              </w:rPr>
              <w:t>As of December 31,</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2023</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Issuer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tcPr>
          <w:p>
            <w:pPr>
              <w:jc w:val="right"/>
              <w:ind w:right="400"/>
              <w:spacing w:after="0" w:line="111" w:lineRule="exact"/>
              <w:rPr>
                <w:sz w:val="20"/>
                <w:szCs w:val="20"/>
                <w:color w:val="auto"/>
              </w:rPr>
            </w:pPr>
            <w:r>
              <w:rPr>
                <w:rFonts w:ascii="Arial" w:cs="Arial" w:eastAsia="Arial" w:hAnsi="Arial"/>
                <w:sz w:val="12"/>
                <w:szCs w:val="12"/>
                <w:b w:val="1"/>
                <w:bCs w:val="1"/>
                <w:color w:val="auto"/>
              </w:rPr>
              <w:t>Carrying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6"/>
              </w:rPr>
              <w:t>Fair Value</w:t>
            </w:r>
          </w:p>
        </w:tc>
        <w:tc>
          <w:tcPr>
            <w:tcW w:w="220" w:type="dxa"/>
            <w:vAlign w:val="bottom"/>
            <w:gridSpan w:val="2"/>
            <w:vMerge w:val="restart"/>
          </w:tcPr>
          <w:p>
            <w:pPr>
              <w:spacing w:after="0"/>
              <w:rPr>
                <w:sz w:val="9"/>
                <w:szCs w:val="9"/>
                <w:color w:val="auto"/>
              </w:rPr>
            </w:pPr>
          </w:p>
        </w:tc>
        <w:tc>
          <w:tcPr>
            <w:tcW w:w="980" w:type="dxa"/>
            <w:vAlign w:val="bottom"/>
            <w:gridSpan w:val="2"/>
          </w:tcPr>
          <w:p>
            <w:pPr>
              <w:ind w:left="120"/>
              <w:spacing w:after="0" w:line="111"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9"/>
                <w:szCs w:val="9"/>
                <w:color w:val="auto"/>
              </w:rPr>
            </w:pPr>
          </w:p>
        </w:tc>
        <w:tc>
          <w:tcPr>
            <w:tcW w:w="7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440"/>
              <w:spacing w:after="0"/>
              <w:rPr>
                <w:sz w:val="20"/>
                <w:szCs w:val="20"/>
                <w:color w:val="auto"/>
              </w:rPr>
            </w:pPr>
            <w:r>
              <w:rPr>
                <w:rFonts w:ascii="Arial" w:cs="Arial" w:eastAsia="Arial" w:hAnsi="Arial"/>
                <w:sz w:val="13"/>
                <w:szCs w:val="13"/>
                <w:b w:val="1"/>
                <w:bCs w:val="1"/>
                <w:color w:val="auto"/>
                <w:w w:val="95"/>
              </w:rPr>
              <w:t>(In thousands)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2</w:t>
            </w:r>
          </w:p>
        </w:tc>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3/8% Convertible Notes due 2024 (1)</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DISH</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951,168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944,034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20"/>
                <w:szCs w:val="20"/>
                <w:color w:val="auto"/>
              </w:rPr>
            </w:pPr>
            <w:r>
              <w:rPr>
                <w:rFonts w:ascii="Arial" w:cs="Arial" w:eastAsia="Arial" w:hAnsi="Arial"/>
                <w:sz w:val="13"/>
                <w:szCs w:val="13"/>
                <w:color w:val="auto"/>
                <w:w w:val="82"/>
              </w:rPr>
              <w:t>5</w:t>
            </w:r>
          </w:p>
        </w:tc>
        <w:tc>
          <w:tcPr>
            <w:tcW w:w="2960" w:type="dxa"/>
            <w:vAlign w:val="bottom"/>
          </w:tcPr>
          <w:p>
            <w:pPr>
              <w:ind w:left="20"/>
              <w:spacing w:after="0"/>
              <w:rPr>
                <w:sz w:val="20"/>
                <w:szCs w:val="20"/>
                <w:color w:val="auto"/>
              </w:rPr>
            </w:pPr>
            <w:r>
              <w:rPr>
                <w:rFonts w:ascii="Arial" w:cs="Arial" w:eastAsia="Arial" w:hAnsi="Arial"/>
                <w:sz w:val="13"/>
                <w:szCs w:val="13"/>
                <w:color w:val="auto"/>
              </w:rPr>
              <w:t>7/8% Senior Notes due 2024 (2)</w:t>
            </w:r>
          </w:p>
        </w:tc>
        <w:tc>
          <w:tcPr>
            <w:tcW w:w="1180" w:type="dxa"/>
            <w:vAlign w:val="bottom"/>
          </w:tcPr>
          <w:p>
            <w:pPr>
              <w:jc w:val="center"/>
              <w:spacing w:after="0"/>
              <w:rPr>
                <w:sz w:val="20"/>
                <w:szCs w:val="20"/>
                <w:color w:val="auto"/>
              </w:rPr>
            </w:pPr>
            <w:r>
              <w:rPr>
                <w:rFonts w:ascii="Arial" w:cs="Arial" w:eastAsia="Arial" w:hAnsi="Arial"/>
                <w:sz w:val="13"/>
                <w:szCs w:val="13"/>
                <w:color w:val="auto"/>
                <w:w w:val="99"/>
              </w:rPr>
              <w:t>DDBS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1,982,544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1,872,275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 Convertible Notes due 2025 (3)(4)</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DISH</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138,403</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124,916</w:t>
            </w:r>
          </w:p>
        </w:tc>
        <w:tc>
          <w:tcPr>
            <w:tcW w:w="1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1,957,197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1,228,141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gridSpan w:val="2"/>
          </w:tcPr>
          <w:p>
            <w:pPr>
              <w:spacing w:after="0"/>
              <w:rPr>
                <w:sz w:val="20"/>
                <w:szCs w:val="20"/>
                <w:color w:val="auto"/>
              </w:rPr>
            </w:pPr>
            <w:r>
              <w:rPr>
                <w:rFonts w:ascii="Arial" w:cs="Arial" w:eastAsia="Arial" w:hAnsi="Arial"/>
                <w:sz w:val="13"/>
                <w:szCs w:val="13"/>
                <w:color w:val="auto"/>
              </w:rPr>
              <w:t>Term Loan due 2025 (5)</w:t>
            </w:r>
          </w:p>
        </w:tc>
        <w:tc>
          <w:tcPr>
            <w:tcW w:w="1180" w:type="dxa"/>
            <w:vAlign w:val="bottom"/>
          </w:tcPr>
          <w:p>
            <w:pPr>
              <w:jc w:val="center"/>
              <w:spacing w:after="0"/>
              <w:rPr>
                <w:sz w:val="20"/>
                <w:szCs w:val="20"/>
                <w:color w:val="auto"/>
              </w:rPr>
            </w:pPr>
            <w:r>
              <w:rPr>
                <w:rFonts w:ascii="Arial" w:cs="Arial" w:eastAsia="Arial" w:hAnsi="Arial"/>
                <w:sz w:val="13"/>
                <w:szCs w:val="13"/>
                <w:color w:val="auto"/>
                <w:w w:val="97"/>
              </w:rPr>
              <w:t>DBS SubscriberCo</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500,000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7</w:t>
            </w:r>
          </w:p>
        </w:tc>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3/4% Senior Notes due 2026</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DDBS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1,678,640</w:t>
            </w:r>
          </w:p>
        </w:tc>
        <w:tc>
          <w:tcPr>
            <w:tcW w:w="1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1,388,060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20"/>
                <w:szCs w:val="20"/>
                <w:color w:val="auto"/>
              </w:rPr>
            </w:pPr>
            <w:r>
              <w:rPr>
                <w:rFonts w:ascii="Arial" w:cs="Arial" w:eastAsia="Arial" w:hAnsi="Arial"/>
                <w:sz w:val="13"/>
                <w:szCs w:val="13"/>
                <w:color w:val="auto"/>
                <w:w w:val="82"/>
              </w:rPr>
              <w:t>3</w:t>
            </w:r>
          </w:p>
        </w:tc>
        <w:tc>
          <w:tcPr>
            <w:tcW w:w="2960" w:type="dxa"/>
            <w:vAlign w:val="bottom"/>
          </w:tcPr>
          <w:p>
            <w:pPr>
              <w:ind w:left="20"/>
              <w:spacing w:after="0"/>
              <w:rPr>
                <w:sz w:val="20"/>
                <w:szCs w:val="20"/>
                <w:color w:val="auto"/>
              </w:rPr>
            </w:pPr>
            <w:r>
              <w:rPr>
                <w:rFonts w:ascii="Arial" w:cs="Arial" w:eastAsia="Arial" w:hAnsi="Arial"/>
                <w:sz w:val="13"/>
                <w:szCs w:val="13"/>
                <w:color w:val="auto"/>
              </w:rPr>
              <w:t>3/8% Convertible Notes due 2026 (4)</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DISH</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45,209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38,495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2,908,801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1,570,753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5</w:t>
            </w:r>
          </w:p>
        </w:tc>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1/4% Senior Secured Notes due 2026</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DDBS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2,750,000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2,507,780</w:t>
            </w:r>
          </w:p>
        </w:tc>
        <w:tc>
          <w:tcPr>
            <w:tcW w:w="1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2,750,000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2,366,073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gridSpan w:val="2"/>
          </w:tcPr>
          <w:p>
            <w:pPr>
              <w:spacing w:after="0"/>
              <w:rPr>
                <w:sz w:val="20"/>
                <w:szCs w:val="20"/>
                <w:color w:val="auto"/>
              </w:rPr>
            </w:pPr>
            <w:r>
              <w:rPr>
                <w:rFonts w:ascii="Arial" w:cs="Arial" w:eastAsia="Arial" w:hAnsi="Arial"/>
                <w:sz w:val="13"/>
                <w:szCs w:val="13"/>
                <w:color w:val="auto"/>
              </w:rPr>
              <w:t>11 3/4% Senior Secured Notes due 2027</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DISH</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3,500,000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3,708,460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3,500,000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3,668,980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7</w:t>
            </w:r>
          </w:p>
        </w:tc>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3/8% Senior Notes due 2028</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DDBS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715,680</w:t>
            </w:r>
          </w:p>
        </w:tc>
        <w:tc>
          <w:tcPr>
            <w:tcW w:w="1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600,160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20"/>
                <w:szCs w:val="20"/>
                <w:color w:val="auto"/>
              </w:rPr>
            </w:pPr>
            <w:r>
              <w:rPr>
                <w:rFonts w:ascii="Arial" w:cs="Arial" w:eastAsia="Arial" w:hAnsi="Arial"/>
                <w:sz w:val="13"/>
                <w:szCs w:val="13"/>
                <w:color w:val="auto"/>
                <w:w w:val="82"/>
              </w:rPr>
              <w:t>5</w:t>
            </w:r>
          </w:p>
        </w:tc>
        <w:tc>
          <w:tcPr>
            <w:tcW w:w="2960" w:type="dxa"/>
            <w:vAlign w:val="bottom"/>
          </w:tcPr>
          <w:p>
            <w:pPr>
              <w:ind w:left="20"/>
              <w:spacing w:after="0"/>
              <w:rPr>
                <w:sz w:val="20"/>
                <w:szCs w:val="20"/>
                <w:color w:val="auto"/>
              </w:rPr>
            </w:pPr>
            <w:r>
              <w:rPr>
                <w:rFonts w:ascii="Arial" w:cs="Arial" w:eastAsia="Arial" w:hAnsi="Arial"/>
                <w:sz w:val="13"/>
                <w:szCs w:val="13"/>
                <w:color w:val="auto"/>
              </w:rPr>
              <w:t>3/4% Senior Secured Notes due 2028</w:t>
            </w:r>
          </w:p>
        </w:tc>
        <w:tc>
          <w:tcPr>
            <w:tcW w:w="1180" w:type="dxa"/>
            <w:vAlign w:val="bottom"/>
          </w:tcPr>
          <w:p>
            <w:pPr>
              <w:jc w:val="center"/>
              <w:spacing w:after="0"/>
              <w:rPr>
                <w:sz w:val="20"/>
                <w:szCs w:val="20"/>
                <w:color w:val="auto"/>
              </w:rPr>
            </w:pPr>
            <w:r>
              <w:rPr>
                <w:rFonts w:ascii="Arial" w:cs="Arial" w:eastAsia="Arial" w:hAnsi="Arial"/>
                <w:sz w:val="13"/>
                <w:szCs w:val="13"/>
                <w:color w:val="auto"/>
                <w:w w:val="99"/>
              </w:rPr>
              <w:t>DDBS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2,500,000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2,143,350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2,500,000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2,013,125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5</w:t>
            </w:r>
          </w:p>
        </w:tc>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1/8% Senior Notes due 2029</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DDBS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959,610</w:t>
            </w:r>
          </w:p>
        </w:tc>
        <w:tc>
          <w:tcPr>
            <w:tcW w:w="1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774,600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gridSpan w:val="2"/>
          </w:tcPr>
          <w:p>
            <w:pPr>
              <w:spacing w:after="0"/>
              <w:rPr>
                <w:sz w:val="20"/>
                <w:szCs w:val="20"/>
                <w:color w:val="auto"/>
              </w:rPr>
            </w:pPr>
            <w:r>
              <w:rPr>
                <w:rFonts w:ascii="Arial" w:cs="Arial" w:eastAsia="Arial" w:hAnsi="Arial"/>
                <w:sz w:val="13"/>
                <w:szCs w:val="13"/>
                <w:color w:val="auto"/>
              </w:rPr>
              <w:t>Term Loan due 2029 (5)(6)</w:t>
            </w:r>
          </w:p>
        </w:tc>
        <w:tc>
          <w:tcPr>
            <w:tcW w:w="1180" w:type="dxa"/>
            <w:vAlign w:val="bottom"/>
          </w:tcPr>
          <w:p>
            <w:pPr>
              <w:jc w:val="center"/>
              <w:spacing w:after="0"/>
              <w:rPr>
                <w:sz w:val="20"/>
                <w:szCs w:val="20"/>
                <w:color w:val="auto"/>
              </w:rPr>
            </w:pPr>
            <w:r>
              <w:rPr>
                <w:rFonts w:ascii="Arial" w:cs="Arial" w:eastAsia="Arial" w:hAnsi="Arial"/>
                <w:sz w:val="13"/>
                <w:szCs w:val="13"/>
                <w:color w:val="auto"/>
                <w:w w:val="97"/>
              </w:rPr>
              <w:t>DBS SubscriberCo</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1,800,000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1,800,000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30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w w:val="99"/>
              </w:rPr>
              <w:t>Mandatorily Redeemable Preferred Shares due 2029</w:t>
            </w: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(5)(6)(7)</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DBS SubscriberCo</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040" w:type="dxa"/>
            <w:vAlign w:val="bottom"/>
            <w:gridSpan w:val="2"/>
          </w:tcPr>
          <w:p>
            <w:pPr>
              <w:spacing w:after="0"/>
              <w:rPr>
                <w:sz w:val="20"/>
                <w:szCs w:val="20"/>
                <w:color w:val="auto"/>
              </w:rPr>
            </w:pPr>
            <w:r>
              <w:rPr>
                <w:rFonts w:ascii="Arial" w:cs="Arial" w:eastAsia="Arial" w:hAnsi="Arial"/>
                <w:sz w:val="13"/>
                <w:szCs w:val="13"/>
                <w:color w:val="auto"/>
              </w:rPr>
              <w:t>DISH 2021 Intercompany Loan 2026 Tranche (8)</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Intercompany</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4,767,289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4,767,289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EchoStar 2024 Intercompany Loan (9)</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Intercompany</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1,014,522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1,014,522</w:t>
            </w:r>
          </w:p>
        </w:tc>
        <w:tc>
          <w:tcPr>
            <w:tcW w:w="1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notes payable</w:t>
            </w:r>
          </w:p>
        </w:tc>
        <w:tc>
          <w:tcPr>
            <w:tcW w:w="1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63,297</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63,297</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113,564</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113,564</w:t>
            </w:r>
          </w:p>
        </w:tc>
        <w:tc>
          <w:tcPr>
            <w:tcW w:w="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Subtotal</w:t>
            </w: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21,778,720</w:t>
            </w:r>
          </w:p>
        </w:tc>
        <w:tc>
          <w:tcPr>
            <w:tcW w:w="1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20,222,039</w:t>
            </w: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21,163,274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16,539,765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gridSpan w:val="2"/>
            <w:vMerge w:val="restart"/>
          </w:tcPr>
          <w:p>
            <w:pPr>
              <w:spacing w:after="0" w:line="111" w:lineRule="exact"/>
              <w:rPr>
                <w:sz w:val="20"/>
                <w:szCs w:val="20"/>
                <w:color w:val="auto"/>
              </w:rPr>
            </w:pPr>
            <w:r>
              <w:rPr>
                <w:rFonts w:ascii="Arial" w:cs="Arial" w:eastAsia="Arial" w:hAnsi="Arial"/>
                <w:sz w:val="12"/>
                <w:szCs w:val="12"/>
                <w:color w:val="auto"/>
              </w:rPr>
              <w:t>Unamortized deferred financing costs and other debt</w:t>
            </w: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304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spacing w:after="0"/>
              <w:rPr>
                <w:sz w:val="20"/>
                <w:szCs w:val="20"/>
                <w:color w:val="auto"/>
              </w:rPr>
            </w:pPr>
            <w:r>
              <w:rPr>
                <w:rFonts w:ascii="Arial" w:cs="Arial" w:eastAsia="Arial" w:hAnsi="Arial"/>
                <w:sz w:val="13"/>
                <w:szCs w:val="13"/>
                <w:color w:val="auto"/>
              </w:rPr>
              <w:t>discounts, net</w:t>
            </w: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(157,662)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(67,215)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Finance lease obligations (10)</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67,199</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123,658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21,688,257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21,219,717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 (6)</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(933,481)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(3,041,429)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line="117" w:lineRule="exact"/>
              <w:rPr>
                <w:sz w:val="20"/>
                <w:szCs w:val="20"/>
                <w:color w:val="auto"/>
              </w:rPr>
            </w:pPr>
            <w:r>
              <w:rPr>
                <w:rFonts w:ascii="Arial" w:cs="Arial" w:eastAsia="Arial" w:hAnsi="Arial"/>
                <w:sz w:val="13"/>
                <w:szCs w:val="13"/>
                <w:b w:val="1"/>
                <w:bCs w:val="1"/>
                <w:color w:val="auto"/>
                <w:w w:val="96"/>
              </w:rPr>
              <w:t>Total debt, finance lease and other obligations, net</w:t>
            </w: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04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20,754,776</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18,178,288</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04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of current portion</w:t>
            </w:r>
          </w:p>
        </w:tc>
        <w:tc>
          <w:tcPr>
            <w:tcW w:w="118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40" w:right="559" w:hanging="331"/>
        <w:spacing w:after="0" w:line="245"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repurchased or redeemed the principal balance of our 2 3/8% Convertible Notes due 2024 as of March 15, 2024, the instrument’s maturity date.</w:t>
      </w:r>
    </w:p>
    <w:p>
      <w:pPr>
        <w:ind w:left="540" w:right="939" w:hanging="331"/>
        <w:spacing w:after="0" w:line="23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repurchased or redeemed the principal balance of our 5 7/8% Senior Notes due 2024 as of November 15, 2024, the instrument’s maturity date.</w:t>
      </w:r>
    </w:p>
    <w:p>
      <w:pPr>
        <w:spacing w:after="0" w:line="1" w:lineRule="exact"/>
        <w:rPr>
          <w:rFonts w:ascii="Arial" w:cs="Arial" w:eastAsia="Arial" w:hAnsi="Arial"/>
          <w:sz w:val="18"/>
          <w:szCs w:val="18"/>
          <w:color w:val="auto"/>
        </w:rPr>
      </w:pPr>
    </w:p>
    <w:p>
      <w:pPr>
        <w:ind w:left="540" w:right="479" w:hanging="331"/>
        <w:spacing w:after="0" w:line="23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0% Convertible Notes due 2025 have been reclassified to “Current portion of debt, finance lease and other obligations” on our Consolidated Balance Sheets as of December 31, 2024</w:t>
      </w:r>
    </w:p>
    <w:p>
      <w:pPr>
        <w:spacing w:after="0" w:line="1" w:lineRule="exact"/>
        <w:rPr>
          <w:rFonts w:ascii="Arial" w:cs="Arial" w:eastAsia="Arial" w:hAnsi="Arial"/>
          <w:sz w:val="18"/>
          <w:szCs w:val="18"/>
          <w:color w:val="auto"/>
        </w:rPr>
      </w:pPr>
    </w:p>
    <w:p>
      <w:pPr>
        <w:ind w:left="540" w:hanging="331"/>
        <w:spacing w:after="0" w:line="23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 “EchoStar Exchange Offers” below for further information.</w:t>
      </w:r>
    </w:p>
    <w:p>
      <w:pPr>
        <w:ind w:left="540" w:hanging="331"/>
        <w:spacing w:after="0" w:line="23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 “New DISH DBS Financing” below for further information.</w:t>
      </w:r>
    </w:p>
    <w:p>
      <w:pPr>
        <w:ind w:left="540" w:right="399" w:hanging="331"/>
        <w:spacing w:after="0" w:line="23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 portion of the principal balance of these instruments is classified as “Current portion of debt, finance lease and other obligations” due to payment terms upon which </w:t>
      </w:r>
      <w:r>
        <w:rPr>
          <w:rFonts w:ascii="Arial" w:cs="Arial" w:eastAsia="Arial" w:hAnsi="Arial"/>
          <w:sz w:val="18"/>
          <w:szCs w:val="18"/>
          <w:color w:val="222222"/>
        </w:rPr>
        <w:t>we may pay a portion of</w:t>
      </w:r>
      <w:r>
        <w:rPr>
          <w:rFonts w:ascii="Arial" w:cs="Arial" w:eastAsia="Arial" w:hAnsi="Arial"/>
          <w:sz w:val="18"/>
          <w:szCs w:val="18"/>
          <w:color w:val="auto"/>
        </w:rPr>
        <w:t xml:space="preserve"> principal balance based on estimated </w:t>
      </w:r>
      <w:r>
        <w:rPr>
          <w:rFonts w:ascii="Arial" w:cs="Arial" w:eastAsia="Arial" w:hAnsi="Arial"/>
          <w:sz w:val="18"/>
          <w:szCs w:val="18"/>
          <w:color w:val="222222"/>
        </w:rPr>
        <w:t>variable cash flows for certain Pay-TV business metrics which could</w:t>
      </w:r>
      <w:r>
        <w:rPr>
          <w:rFonts w:ascii="Arial" w:cs="Arial" w:eastAsia="Arial" w:hAnsi="Arial"/>
          <w:sz w:val="18"/>
          <w:szCs w:val="18"/>
          <w:color w:val="auto"/>
        </w:rPr>
        <w:t xml:space="preserve"> </w:t>
      </w:r>
      <w:r>
        <w:rPr>
          <w:rFonts w:ascii="Arial" w:cs="Arial" w:eastAsia="Arial" w:hAnsi="Arial"/>
          <w:sz w:val="18"/>
          <w:szCs w:val="18"/>
          <w:color w:val="222222"/>
        </w:rPr>
        <w:t>change significantly based on actual performance.</w:t>
      </w:r>
    </w:p>
    <w:p>
      <w:pPr>
        <w:spacing w:after="0" w:line="2" w:lineRule="exact"/>
        <w:rPr>
          <w:rFonts w:ascii="Arial" w:cs="Arial" w:eastAsia="Arial" w:hAnsi="Arial"/>
          <w:sz w:val="18"/>
          <w:szCs w:val="18"/>
          <w:color w:val="auto"/>
        </w:rPr>
      </w:pPr>
    </w:p>
    <w:p>
      <w:pPr>
        <w:ind w:left="540" w:right="739" w:hanging="331"/>
        <w:spacing w:after="0" w:line="23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Due to the June 30, 2029 mandatory redemption feature of this instrument, it is considered a debt instrument.</w:t>
      </w:r>
    </w:p>
    <w:p>
      <w:pPr>
        <w:spacing w:after="0" w:line="1" w:lineRule="exact"/>
        <w:rPr>
          <w:rFonts w:ascii="Arial" w:cs="Arial" w:eastAsia="Arial" w:hAnsi="Arial"/>
          <w:sz w:val="18"/>
          <w:szCs w:val="18"/>
          <w:color w:val="auto"/>
        </w:rPr>
      </w:pPr>
    </w:p>
    <w:p>
      <w:pPr>
        <w:ind w:left="540" w:right="339" w:hanging="331"/>
        <w:spacing w:after="0" w:line="237" w:lineRule="auto"/>
        <w:tabs>
          <w:tab w:leader="none" w:pos="5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January 2024, DISH DBS assigned the DISH 2021 Intercompany Loan 2026 Tranche of $4.7 billion to EchoStar Intercompany Receivable Company L.L.C., our parent, EchoStar’s, direct wholly-owned subsidiary, such that amounts owed in respect of the DISH 2021 Intercompany Loan 2026 Tranche will now be paid by us to EchoStar Intercompany Receivable L.L.C. The DISH 2021 Intercompany Loan 2026 Tranche was previously eliminated in consolidation and held by DISH DBS. The DISH 2021 Intercompany Loan 2026 Tranche is not publicly traded and therefore the carrying value is the fair value.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9" w:name="page120"/>
    <w:bookmarkEnd w:id="11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540" w:right="1279" w:hanging="331"/>
        <w:spacing w:after="0" w:line="259"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See “EchoStar 2024 Intercompany Loan” below for further information. The EchoStar 2024 Intercompany Loan is not publicly traded and therefore the carrying value is the fair value.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(10)Disclosure regarding fair value of finance leases is not required.</w:t>
      </w:r>
    </w:p>
    <w:p>
      <w:pPr>
        <w:spacing w:after="0" w:line="167" w:lineRule="exact"/>
        <w:rPr>
          <w:sz w:val="20"/>
          <w:szCs w:val="20"/>
          <w:color w:val="auto"/>
        </w:rPr>
      </w:pPr>
    </w:p>
    <w:p>
      <w:pPr>
        <w:ind w:left="200" w:right="319"/>
        <w:spacing w:after="0" w:line="256"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DISH DBS Exchange Offers</w:t>
      </w:r>
    </w:p>
    <w:p>
      <w:pPr>
        <w:spacing w:after="0" w:line="196" w:lineRule="exact"/>
        <w:rPr>
          <w:sz w:val="20"/>
          <w:szCs w:val="20"/>
          <w:color w:val="auto"/>
        </w:rPr>
      </w:pPr>
    </w:p>
    <w:p>
      <w:pPr>
        <w:ind w:left="200" w:right="259"/>
        <w:spacing w:after="0" w:line="236" w:lineRule="auto"/>
        <w:rPr>
          <w:sz w:val="20"/>
          <w:szCs w:val="20"/>
          <w:color w:val="auto"/>
        </w:rPr>
      </w:pPr>
      <w:r>
        <w:rPr>
          <w:rFonts w:ascii="Arial" w:cs="Arial" w:eastAsia="Arial" w:hAnsi="Arial"/>
          <w:sz w:val="18"/>
          <w:szCs w:val="18"/>
          <w:color w:val="auto"/>
        </w:rPr>
        <w:t>On September 30, 2024, we announced DISH DBS, our wholly-owned, indirect subsidiary, commenced offers to exchange (the “DISH DBS Exchange Offers”) any and all of its: (a) 5 1/4% Senior Secured Notes due 2026 (the “Outstanding 2026 DBS Secured Notes”) for an equal principal amount of its new 5 1/4% First Lien Notes due 2026 (the “New 2026 DBS First Lien Notes”), (b) 5 3/4% Senior Secured Notes due 2028 (the “Outstanding 2028 DBS Secured Notes”) for an equal principal amount of its new 5 3/4% First Lien Notes due 2028 (the “New 2028 DBS First Lien Notes”), (c) 7 3/4% Senior Notes due 2026 (the “Outstanding 2026 DBS Notes”) for an equal principal amount of its new 7 3/4% Second Lien Notes due 2026 (the “New 2026 DBS Second Lien Notes”), (d) 7 3/8% Senior Notes due 2028 (the “Outstanding 2028 DBS Notes”) for an equal principal amount of its new 7 3/8% Second Lien Notes due 2028 (the “New 2028 DBS Second Lien Notes”) and (e) 5 1/8% Senior Notes due 2029 (the “Outstanding 2029 DBS Notes” and, together with the Outstanding 2026 DBS Secured Notes, the Outstanding 2028 DBS Secured Notes, the Outstanding 2026 DBS Notes and the Outstanding 2028 DBS Notes, the “Outstanding DBS Notes”) for an equal principal amount of its new 5 1/8% Second Lien Notes due 2029 (the “New 2029 DBS Second Lien Notes” and, together with the New 2026 DBS First Lien Notes, the New 2028 DBS First Lien Notes, the New 2026 DBS Second Lien Notes and the New 2028 DBS Second Lien Notes, the “New DBS Notes”), in each case, pursuant to the terms described in a confidential exchange offering memorandum and consent solicitation statement, dated September 30, 2024 (“Original Exchange Offering Memorandum”). On October 28, 2024, we announced DISH DBS, our wholly-owned, indirect subsidiary, amended certain terms of the DISH DBS Exchange Offers pursuant to the terms described in Supplement No. 1, dated October 28, 2024 (the “Supplement” and together with the Original Exchange Offering Memorandum, the “Exchange Offering Memorandum”). On November 12, 2024 (the “Exchange Offer Settlement Date”), the DISH DBS Exchange Offers expired and were terminated.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22222"/>
        </w:rPr>
        <w:t>EchoStar Exchange Offers</w:t>
      </w:r>
    </w:p>
    <w:p>
      <w:pPr>
        <w:spacing w:after="0" w:line="196" w:lineRule="exact"/>
        <w:rPr>
          <w:sz w:val="20"/>
          <w:szCs w:val="20"/>
          <w:color w:val="auto"/>
        </w:rPr>
      </w:pPr>
    </w:p>
    <w:p>
      <w:pPr>
        <w:ind w:left="200" w:right="319"/>
        <w:spacing w:after="0" w:line="239" w:lineRule="auto"/>
        <w:rPr>
          <w:sz w:val="20"/>
          <w:szCs w:val="20"/>
          <w:color w:val="auto"/>
        </w:rPr>
      </w:pPr>
      <w:r>
        <w:rPr>
          <w:rFonts w:ascii="Arial" w:cs="Arial" w:eastAsia="Arial" w:hAnsi="Arial"/>
          <w:sz w:val="18"/>
          <w:szCs w:val="18"/>
          <w:color w:val="auto"/>
        </w:rPr>
        <w:t xml:space="preserve">On October 10, 2024, we and our parent, EchoStar, </w:t>
      </w:r>
      <w:r>
        <w:rPr>
          <w:rFonts w:ascii="Arial" w:cs="Arial" w:eastAsia="Arial" w:hAnsi="Arial"/>
          <w:sz w:val="18"/>
          <w:szCs w:val="18"/>
          <w:color w:val="222222"/>
        </w:rPr>
        <w:t>commenced offers to exchange (the “EchoStar</w:t>
      </w:r>
      <w:r>
        <w:rPr>
          <w:rFonts w:ascii="Arial" w:cs="Arial" w:eastAsia="Arial" w:hAnsi="Arial"/>
          <w:sz w:val="18"/>
          <w:szCs w:val="18"/>
          <w:color w:val="auto"/>
        </w:rPr>
        <w:t xml:space="preserve"> </w:t>
      </w:r>
      <w:r>
        <w:rPr>
          <w:rFonts w:ascii="Arial" w:cs="Arial" w:eastAsia="Arial" w:hAnsi="Arial"/>
          <w:sz w:val="18"/>
          <w:szCs w:val="18"/>
          <w:color w:val="222222"/>
        </w:rPr>
        <w:t xml:space="preserve">Exchange Offers”) the DISH Network’s 0% Convertible Notes due 2025 (the “DISH Network 2025 Notes”) and 3 3/8% Convertible Notes due 2026 (the “DISH Network 2026 Notes” and, together with the DISH Network 2025 Notes, the “Existing DISH Convertible Notes”), with an aggregate principal amount of $4.866 billion for up to $2.381 billion aggregate principal amount of 6 3/4% Senior Secured Notes due 2030 (the "EchoStar Exchange Notes") and up to $ 1.950 billion aggregate principal amount of 3 7/8% Convertible Secured Notes due 2030 (the "EchoStar Convertible Notes" and together with the EchoStar Exchange Notes, the "EchoStar Notes") with an aggregate principal amount of $4.331 billion to be issued by </w:t>
      </w:r>
      <w:r>
        <w:rPr>
          <w:rFonts w:ascii="Arial" w:cs="Arial" w:eastAsia="Arial" w:hAnsi="Arial"/>
          <w:sz w:val="18"/>
          <w:szCs w:val="18"/>
          <w:color w:val="000000"/>
        </w:rPr>
        <w:t>our</w:t>
      </w:r>
      <w:r>
        <w:rPr>
          <w:rFonts w:ascii="Arial" w:cs="Arial" w:eastAsia="Arial" w:hAnsi="Arial"/>
          <w:sz w:val="18"/>
          <w:szCs w:val="18"/>
          <w:color w:val="222222"/>
        </w:rPr>
        <w:t xml:space="preserve"> </w:t>
      </w:r>
      <w:r>
        <w:rPr>
          <w:rFonts w:ascii="Arial" w:cs="Arial" w:eastAsia="Arial" w:hAnsi="Arial"/>
          <w:sz w:val="18"/>
          <w:szCs w:val="18"/>
          <w:color w:val="000000"/>
        </w:rPr>
        <w:t xml:space="preserve">parent, EchoStar, </w:t>
      </w:r>
      <w:r>
        <w:rPr>
          <w:rFonts w:ascii="Arial" w:cs="Arial" w:eastAsia="Arial" w:hAnsi="Arial"/>
          <w:sz w:val="18"/>
          <w:szCs w:val="18"/>
          <w:color w:val="222222"/>
        </w:rPr>
        <w:t>pursuant to the terms described in a prospectus and consent solicitation statement,</w:t>
      </w:r>
      <w:r>
        <w:rPr>
          <w:rFonts w:ascii="Arial" w:cs="Arial" w:eastAsia="Arial" w:hAnsi="Arial"/>
          <w:sz w:val="18"/>
          <w:szCs w:val="18"/>
          <w:color w:val="000000"/>
        </w:rPr>
        <w:t xml:space="preserve"> </w:t>
      </w:r>
      <w:r>
        <w:rPr>
          <w:rFonts w:ascii="Arial" w:cs="Arial" w:eastAsia="Arial" w:hAnsi="Arial"/>
          <w:sz w:val="18"/>
          <w:szCs w:val="18"/>
          <w:color w:val="222222"/>
        </w:rPr>
        <w:t xml:space="preserve">dated </w:t>
      </w:r>
      <w:r>
        <w:rPr>
          <w:rFonts w:ascii="Arial" w:cs="Arial" w:eastAsia="Arial" w:hAnsi="Arial"/>
          <w:sz w:val="18"/>
          <w:szCs w:val="18"/>
          <w:color w:val="000000"/>
        </w:rPr>
        <w:t>October 10, 2024</w:t>
      </w:r>
      <w:r>
        <w:rPr>
          <w:rFonts w:ascii="Arial" w:cs="Arial" w:eastAsia="Arial" w:hAnsi="Arial"/>
          <w:sz w:val="18"/>
          <w:szCs w:val="18"/>
          <w:color w:val="222222"/>
        </w:rPr>
        <w:t xml:space="preserve"> as amended (the "Exchange Offer Prospectus").</w:t>
      </w:r>
    </w:p>
    <w:p>
      <w:pPr>
        <w:spacing w:after="0" w:line="193" w:lineRule="exact"/>
        <w:rPr>
          <w:sz w:val="20"/>
          <w:szCs w:val="20"/>
          <w:color w:val="auto"/>
        </w:rPr>
      </w:pPr>
    </w:p>
    <w:p>
      <w:pPr>
        <w:ind w:left="200" w:right="479"/>
        <w:spacing w:after="0" w:line="244" w:lineRule="auto"/>
        <w:rPr>
          <w:sz w:val="20"/>
          <w:szCs w:val="20"/>
          <w:color w:val="auto"/>
        </w:rPr>
      </w:pPr>
      <w:r>
        <w:rPr>
          <w:rFonts w:ascii="Arial" w:cs="Arial" w:eastAsia="Arial" w:hAnsi="Arial"/>
          <w:sz w:val="18"/>
          <w:szCs w:val="18"/>
          <w:color w:val="222222"/>
        </w:rPr>
        <w:t>On November 8, 2024, upon the expiration of the EchoStar Exchange Offers, $1.819 billion aggregate principal amount, or approximately 92.9%, of the DISH Network 2025 Notes and $2.863 billion aggregate principal amount, or approximately 98.5%, of the DISH Network 2026 Notes, together $4.682 billion total aggregate principal amount of the Existing DISH Convertible Notes, had been validly tendered for exchange, with a carrying value of $4.674 billion, net of deferred financing costs.</w:t>
      </w:r>
    </w:p>
    <w:p>
      <w:pPr>
        <w:spacing w:after="0" w:line="163" w:lineRule="exact"/>
        <w:rPr>
          <w:sz w:val="20"/>
          <w:szCs w:val="20"/>
          <w:color w:val="auto"/>
        </w:rPr>
      </w:pPr>
    </w:p>
    <w:p>
      <w:pPr>
        <w:ind w:left="200" w:right="319"/>
        <w:spacing w:after="0" w:line="247" w:lineRule="auto"/>
        <w:rPr>
          <w:sz w:val="20"/>
          <w:szCs w:val="20"/>
          <w:color w:val="auto"/>
        </w:rPr>
      </w:pPr>
      <w:r>
        <w:rPr>
          <w:rFonts w:ascii="Arial" w:cs="Arial" w:eastAsia="Arial" w:hAnsi="Arial"/>
          <w:sz w:val="18"/>
          <w:szCs w:val="18"/>
          <w:color w:val="222222"/>
        </w:rPr>
        <w:t xml:space="preserve">On November 12, 2024, all of the Existing DISH Convertible Notes validly tendered were exchanged for $2.288 billion aggregate principal amount of EchoStar Exchange Notes and $1.876 billion aggregate principal amount of EchoStar Convertible Notes, together $4.164 billion total aggregate principal amount of the EchoStar Notes, </w:t>
      </w:r>
      <w:r>
        <w:rPr>
          <w:rFonts w:ascii="Arial" w:cs="Arial" w:eastAsia="Arial" w:hAnsi="Arial"/>
          <w:sz w:val="18"/>
          <w:szCs w:val="18"/>
          <w:color w:val="000000"/>
        </w:rPr>
        <w:t>with a fair value of $3.986 billion</w:t>
      </w:r>
      <w:r>
        <w:rPr>
          <w:rFonts w:ascii="Arial" w:cs="Arial" w:eastAsia="Arial" w:hAnsi="Arial"/>
          <w:sz w:val="18"/>
          <w:szCs w:val="18"/>
          <w:color w:val="222222"/>
        </w:rPr>
        <w: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0" w:name="page121"/>
    <w:bookmarkEnd w:id="12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We determined that the EchoStar Exchange Offers were debt extinguishments. </w:t>
      </w:r>
      <w:r>
        <w:rPr>
          <w:rFonts w:ascii="Arial" w:cs="Arial" w:eastAsia="Arial" w:hAnsi="Arial"/>
          <w:sz w:val="18"/>
          <w:szCs w:val="18"/>
          <w:color w:val="222222"/>
        </w:rPr>
        <w:t>Upon the completion of the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222222"/>
        </w:rPr>
        <w:t>EchoStar Exchange Offers, our Existing DISH Convertible Notes with an aggregate principal amount of</w:t>
      </w:r>
    </w:p>
    <w:p>
      <w:pPr>
        <w:ind w:left="200"/>
        <w:spacing w:after="0" w:line="234" w:lineRule="auto"/>
        <w:rPr>
          <w:sz w:val="20"/>
          <w:szCs w:val="20"/>
          <w:color w:val="auto"/>
        </w:rPr>
      </w:pPr>
      <w:r>
        <w:rPr>
          <w:rFonts w:ascii="Arial" w:cs="Arial" w:eastAsia="Arial" w:hAnsi="Arial"/>
          <w:sz w:val="18"/>
          <w:szCs w:val="18"/>
          <w:color w:val="222222"/>
        </w:rPr>
        <w:t xml:space="preserve">$4.674 billion, net of deferred financing costs, were cancelled and forgiven by our parent, EchoStar, </w:t>
      </w:r>
      <w:r>
        <w:rPr>
          <w:rFonts w:ascii="Arial" w:cs="Arial" w:eastAsia="Arial" w:hAnsi="Arial"/>
          <w:sz w:val="18"/>
          <w:szCs w:val="18"/>
          <w:color w:val="000000"/>
        </w:rPr>
        <w:t>and we</w:t>
      </w:r>
    </w:p>
    <w:p>
      <w:pPr>
        <w:ind w:left="200"/>
        <w:spacing w:after="0" w:line="235" w:lineRule="auto"/>
        <w:rPr>
          <w:sz w:val="20"/>
          <w:szCs w:val="20"/>
          <w:color w:val="auto"/>
        </w:rPr>
      </w:pPr>
      <w:r>
        <w:rPr>
          <w:rFonts w:ascii="Arial" w:cs="Arial" w:eastAsia="Arial" w:hAnsi="Arial"/>
          <w:sz w:val="18"/>
          <w:szCs w:val="18"/>
          <w:color w:val="auto"/>
        </w:rPr>
        <w:t>recorded $3.986 billion in “Additional paid-in capital” on our Consolidated Balance Sheets as of December</w:t>
      </w:r>
    </w:p>
    <w:p>
      <w:pPr>
        <w:ind w:left="200"/>
        <w:spacing w:after="0" w:line="235" w:lineRule="auto"/>
        <w:rPr>
          <w:sz w:val="20"/>
          <w:szCs w:val="20"/>
          <w:color w:val="auto"/>
        </w:rPr>
      </w:pPr>
      <w:r>
        <w:rPr>
          <w:rFonts w:ascii="Arial" w:cs="Arial" w:eastAsia="Arial" w:hAnsi="Arial"/>
          <w:sz w:val="18"/>
          <w:szCs w:val="18"/>
          <w:color w:val="auto"/>
        </w:rPr>
        <w:t>31, 2024, which resulted in a non-cash gain on debt extinguishment of $689 million, which was recorded in</w:t>
      </w:r>
    </w:p>
    <w:p>
      <w:pPr>
        <w:ind w:left="200"/>
        <w:spacing w:after="0" w:line="235" w:lineRule="auto"/>
        <w:rPr>
          <w:sz w:val="20"/>
          <w:szCs w:val="20"/>
          <w:color w:val="auto"/>
        </w:rPr>
      </w:pPr>
      <w:r>
        <w:rPr>
          <w:rFonts w:ascii="Arial" w:cs="Arial" w:eastAsia="Arial" w:hAnsi="Arial"/>
          <w:sz w:val="18"/>
          <w:szCs w:val="18"/>
          <w:color w:val="auto"/>
        </w:rPr>
        <w:t>“Other, net” within “Other Income (Expense)” on our Consolidated Statements of Operations and</w:t>
      </w:r>
    </w:p>
    <w:p>
      <w:pPr>
        <w:ind w:left="200"/>
        <w:spacing w:after="0"/>
        <w:rPr>
          <w:sz w:val="20"/>
          <w:szCs w:val="20"/>
          <w:color w:val="auto"/>
        </w:rPr>
      </w:pPr>
      <w:r>
        <w:rPr>
          <w:rFonts w:ascii="Arial" w:cs="Arial" w:eastAsia="Arial" w:hAnsi="Arial"/>
          <w:sz w:val="18"/>
          <w:szCs w:val="18"/>
          <w:color w:val="auto"/>
        </w:rPr>
        <w:t>Comprehensive Income (Loss) for the year ended December 31, 2024.</w:t>
      </w:r>
    </w:p>
    <w:p>
      <w:pPr>
        <w:spacing w:after="0" w:line="180" w:lineRule="exact"/>
        <w:rPr>
          <w:sz w:val="20"/>
          <w:szCs w:val="20"/>
          <w:color w:val="auto"/>
        </w:rPr>
      </w:pPr>
    </w:p>
    <w:p>
      <w:pPr>
        <w:ind w:left="200" w:right="1239"/>
        <w:spacing w:after="0" w:line="253" w:lineRule="auto"/>
        <w:rPr>
          <w:sz w:val="20"/>
          <w:szCs w:val="20"/>
          <w:color w:val="auto"/>
        </w:rPr>
      </w:pPr>
      <w:r>
        <w:rPr>
          <w:rFonts w:ascii="Arial" w:cs="Arial" w:eastAsia="Arial" w:hAnsi="Arial"/>
          <w:sz w:val="18"/>
          <w:szCs w:val="18"/>
          <w:color w:val="222222"/>
        </w:rPr>
        <w:t>A total of $ 138 million aggregate principal amount of DISH Network 2025 Notes and $45 million aggregate principal amount of DISH Network 2026 Notes remain outstanding following the consummation of the EchoStar Exchange Offers.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22222"/>
        </w:rPr>
        <w:t>New DISH DBS Financing</w:t>
      </w:r>
    </w:p>
    <w:p>
      <w:pPr>
        <w:spacing w:after="0" w:line="196" w:lineRule="exact"/>
        <w:rPr>
          <w:sz w:val="20"/>
          <w:szCs w:val="20"/>
          <w:color w:val="auto"/>
        </w:rPr>
      </w:pPr>
    </w:p>
    <w:p>
      <w:pPr>
        <w:ind w:left="200" w:right="259"/>
        <w:spacing w:after="0" w:line="238" w:lineRule="auto"/>
        <w:rPr>
          <w:sz w:val="20"/>
          <w:szCs w:val="20"/>
          <w:color w:val="auto"/>
        </w:rPr>
      </w:pPr>
      <w:r>
        <w:rPr>
          <w:rFonts w:ascii="Arial" w:cs="Arial" w:eastAsia="Arial" w:hAnsi="Arial"/>
          <w:sz w:val="18"/>
          <w:szCs w:val="18"/>
          <w:color w:val="auto"/>
        </w:rPr>
        <w:t xml:space="preserve">On September 29, 2024 (the “Financing Closing Date”), we and our subsidiary, DBS SubscriberCo, received $2.5 billion in financing from TPG Angelo Gordon and other co-lenders in the form of Term Loans and Mandatorily Redeemable Preferred Shares (each as defined below and together, the </w:t>
      </w:r>
      <w:r>
        <w:rPr>
          <w:rFonts w:ascii="Arial" w:cs="Arial" w:eastAsia="Arial" w:hAnsi="Arial"/>
          <w:sz w:val="18"/>
          <w:szCs w:val="18"/>
          <w:color w:val="222222"/>
        </w:rPr>
        <w:t>“New DISH DBS</w:t>
      </w:r>
      <w:r>
        <w:rPr>
          <w:rFonts w:ascii="Arial" w:cs="Arial" w:eastAsia="Arial" w:hAnsi="Arial"/>
          <w:sz w:val="18"/>
          <w:szCs w:val="18"/>
          <w:color w:val="auto"/>
        </w:rPr>
        <w:t xml:space="preserve"> </w:t>
      </w:r>
      <w:r>
        <w:rPr>
          <w:rFonts w:ascii="Arial" w:cs="Arial" w:eastAsia="Arial" w:hAnsi="Arial"/>
          <w:sz w:val="18"/>
          <w:szCs w:val="18"/>
          <w:color w:val="222222"/>
        </w:rPr>
        <w:t xml:space="preserve">Financing”). Approximately </w:t>
      </w:r>
      <w:r>
        <w:rPr>
          <w:rFonts w:ascii="Arial" w:cs="Arial" w:eastAsia="Arial" w:hAnsi="Arial"/>
          <w:sz w:val="18"/>
          <w:szCs w:val="18"/>
          <w:color w:val="000000"/>
        </w:rPr>
        <w:t>$2.047 billion in proceeds received from the New DISH DBS Financing were</w:t>
      </w:r>
      <w:r>
        <w:rPr>
          <w:rFonts w:ascii="Arial" w:cs="Arial" w:eastAsia="Arial" w:hAnsi="Arial"/>
          <w:sz w:val="18"/>
          <w:szCs w:val="18"/>
          <w:color w:val="222222"/>
        </w:rPr>
        <w:t xml:space="preserve"> </w:t>
      </w:r>
      <w:r>
        <w:rPr>
          <w:rFonts w:ascii="Arial" w:cs="Arial" w:eastAsia="Arial" w:hAnsi="Arial"/>
          <w:sz w:val="18"/>
          <w:szCs w:val="18"/>
          <w:color w:val="000000"/>
        </w:rPr>
        <w:t>used for the redemption of the principal balance and remaining interest outstanding on our 5 7/8% Senior Notes due November 15, 2024. Solely in the case that the DIRECTV Transaction is not consummated on or prior to the Outside Date (as defined in the Purchase Agreement as in effect on the Financing Closing Date and as it may be extended in accordance with the terms of the Purchase Agreement as in effect on the Financing Closing Date) and until the date that is 180 days after such Outside Date, DBS SubscriberCo may prepay the outstanding New DISH DBS Financing in whole, together with accrued interest to the date of such prepayment, without premium or penalty.</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 Loans</w:t>
      </w:r>
    </w:p>
    <w:p>
      <w:pPr>
        <w:spacing w:after="0" w:line="196"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color w:val="auto"/>
        </w:rPr>
        <w:t>On the Financing Closing Date, DBS SubscriberCo, Alter Domus (US) LLC, as Administrative Agent, and the lenders party thereto, entered into a Loan and Security Agreement (together with all the exhibits, annexes and schedules thereto, the “Loan and Security Agreement”), pursuant to which, among other things and subject to the terms and conditions set forth therein, the lenders agreed to extend credit to DBS SubscriberCo in an aggregate principal amount of up to $ 2.3 billion secured by the assets of DBS SubscriberCo, which includes approximately three million DISH TV subscribers and their related subscription and equipment agreements (such transactions, the “Loan Financing”). The Loan Financing consists of the following: (i) initial term loans in an aggregate principal amount of $1.8 billion that mature on June 30, 2029 (the “Term Loan due 2029”), (ii) incremental term loans in an aggregate principal amount of $500 million that are payable in equal monthly installments which began in January 2025 and mature on September 30, 2025 (the “Term Loan due 2025”) and (iii) an additional amount of incremental term loans (the “Roll-up Incremental Term Loans” and, together with the Term Loan due 2029 and the Term Loan due 2025, the “Term Loans”). The Roll-up Incremental Term Loans may be incurred from time to time, subject to DBS SubscriberCo’s prior approval and pro forma compliance with a leverage ratio set forth in the Loan and Security Agreement, and mature on June 30, 2029.</w:t>
      </w:r>
    </w:p>
    <w:p>
      <w:pPr>
        <w:spacing w:after="0" w:line="174"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The Roll-up Incremental Term Loans may be incurred in exchange for Outstanding DBS Notes in an aggregate principal amount equal to: (i) the price at which certain lenders acquire such notes plus (ii)(A) in the case of Outstanding 2028 DBS Notes and Outstanding 2029 DBS Notes, 15% of the difference between the aggregate principal amount of such notes and the purchase price thereof, or (B) in the case of Outstanding 2026 DBS Notes, Outstanding 2026 DBS Secured Notes and Outstanding 2028 DBS Secured Notes, 20% of the difference between the aggregate principal amount of such notes and the purchase price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1" w:name="page122"/>
    <w:bookmarkEnd w:id="12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239"/>
        <w:spacing w:after="0" w:line="256" w:lineRule="auto"/>
        <w:rPr>
          <w:sz w:val="20"/>
          <w:szCs w:val="20"/>
          <w:color w:val="auto"/>
        </w:rPr>
      </w:pPr>
      <w:r>
        <w:rPr>
          <w:rFonts w:ascii="Arial" w:cs="Arial" w:eastAsia="Arial" w:hAnsi="Arial"/>
          <w:sz w:val="17"/>
          <w:szCs w:val="17"/>
          <w:color w:val="auto"/>
        </w:rPr>
        <w:t>Interest on the Term Loans accrues and is payable monthly, generally in cash. The interest rate with respect to the Term Loan due 2029 is: (i) from (and including) the Financing Closing Date and until (but excluding) the date that is twelve months thereafter, 10.75% per annum; and (ii) from (and including) the date that is twelve months after the Financing Closing Date and until June 30, 2029, 11.25% per annum. The interest rate with respect to the Term Loan due 2025 is 11.00% per annum. The interest rate with respect to the Roll-up Incremental Term Loans is: (i) from (and including) the Financing Closing Date and until (but excluding) the date that is twelve months thereafter, 11.00% per annum; and (ii) from (and including) the date that is twelve months after the Financing Closing Date and until the Maturity Date, 11.50% per annum.</w:t>
      </w:r>
    </w:p>
    <w:p>
      <w:pPr>
        <w:spacing w:after="0" w:line="154"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color w:val="auto"/>
        </w:rPr>
        <w:t>The Loan and Security Agreement specifies a priority of payments for funds received by DBS SubscriberCo from subscriber payments and certain other revenue. Specifically, on each Transfer Date, as defined in the Loan and Security Agreement, payments will be made, as applicable, to the Administrative Agent for certain administrative and other fees, to DBS SubscriberCo for reimbursement of certain operating costs, to a subsidiary of DISH Network as Manager under the Loan and Security Agreement and as Servicer for DBS SubscriberCo, and to an account used to collect and remit interest on the Term Loans, preferred distributions with respect to Preferred Membership interests (as defined below) and monthly principal payments on the Term Loan due 2025. After remitting those payments, through September 30, 2025, if DBS SubscriberCo is in compliance with the terms of the Loan and Security Agreement, it will have the ability to accumulate any excess collections, subject to the terms of the Loan and Security Agreement. At its election, any such excess collections can be distributed by DBS SubscriberCo to its parent via an intercompany loan. No later than September 30, 2025, all excess collections will be used to fund the payment of the Term Loans, the Mandatorily Redeemable Preferred Shares and the associated interest and preferred distributions. If DBS SubscriberCo is not in compliance with its covenants, the entity will lose the ability to accumulate any excess collections with those proceeds being utilized to satisfy the debt obligation and associated interest.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Mandatorily Redeemable Preferred Shares Due 2029</w:t>
      </w:r>
    </w:p>
    <w:p>
      <w:pPr>
        <w:spacing w:after="0" w:line="196"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On the Financing Closing Date, DBS SubscriberCo, entered into an amended and restated limited liability company agreement (the “SubscriberCo LLCA”), pursuant to which, among other things, DBS SubscriberCo issued to certain investors (the “Preferred Members”) redeemable preferred equity interests (the “Preferred Membership Interests”) with an aggregate liquidation preference of $200 million (the “Mandatorily Redeemable Preferred Shares”). The Mandatorily Redeemable Preferred Shares mature on June 30, 2029. Due to the mandatory redemption feature of this instrument, it is considered a debt instrument and recorded in “Long-term debt, finance lease and other obligations, net of current portion” on our Consolidated Balance Sheets.</w:t>
      </w:r>
    </w:p>
    <w:p>
      <w:pPr>
        <w:spacing w:after="0" w:line="167" w:lineRule="exact"/>
        <w:rPr>
          <w:sz w:val="20"/>
          <w:szCs w:val="20"/>
          <w:color w:val="auto"/>
        </w:rPr>
      </w:pPr>
    </w:p>
    <w:p>
      <w:pPr>
        <w:ind w:left="200" w:right="319"/>
        <w:spacing w:after="0" w:line="242" w:lineRule="auto"/>
        <w:rPr>
          <w:sz w:val="20"/>
          <w:szCs w:val="20"/>
          <w:color w:val="auto"/>
        </w:rPr>
      </w:pPr>
      <w:r>
        <w:rPr>
          <w:rFonts w:ascii="Arial" w:cs="Arial" w:eastAsia="Arial" w:hAnsi="Arial"/>
          <w:sz w:val="18"/>
          <w:szCs w:val="18"/>
          <w:color w:val="auto"/>
        </w:rPr>
        <w:t>The Preferred Membership Interests have a preferential cumulative return that accumulates daily in arrears at a rate of: (a) from (and including) the Financing Closing Date and until (but excluding) the date that is 12 months thereafter, 13.25% per annum; and (b) from (and including) the date that is 12 months after the Financing Closing Date and until June 30, 2029 (or the first business day thereafter), 13.75% per annum, payable in cash monthly and a liquidation preference equal to the issue price plus all accrued and unpaid dividends.</w:t>
      </w:r>
    </w:p>
    <w:p>
      <w:pPr>
        <w:spacing w:after="0" w:line="165" w:lineRule="exact"/>
        <w:rPr>
          <w:sz w:val="20"/>
          <w:szCs w:val="20"/>
          <w:color w:val="auto"/>
        </w:rPr>
      </w:pPr>
    </w:p>
    <w:p>
      <w:pPr>
        <w:ind w:left="200" w:right="539"/>
        <w:spacing w:after="0" w:line="242" w:lineRule="auto"/>
        <w:rPr>
          <w:sz w:val="20"/>
          <w:szCs w:val="20"/>
          <w:color w:val="auto"/>
        </w:rPr>
      </w:pPr>
      <w:r>
        <w:rPr>
          <w:rFonts w:ascii="Arial" w:cs="Arial" w:eastAsia="Arial" w:hAnsi="Arial"/>
          <w:sz w:val="18"/>
          <w:szCs w:val="18"/>
          <w:color w:val="auto"/>
        </w:rPr>
        <w:t>The Preferred Membership Interests are redeemable at DBS SubscriberCo’s option prior to the June 30, 2029 maturity date at a premium as described in the SubscriberCo LLCA. Upon the maturity date, DBS SubscriberCo is required to redeem all of the Preferred Membership Interests issued and outstanding at such time, and upon payment in full of the aggregate liquidation preference, all rights of the Preferred Members will terminate. The Preferred Members also have certain governance and economic rights set forth in the SubscriberCo LLCA.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2" w:name="page123"/>
    <w:bookmarkEnd w:id="12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DISH DBS Unsecured Senior Notes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Senior Notes are:</w:t>
      </w:r>
    </w:p>
    <w:p>
      <w:pPr>
        <w:spacing w:after="0" w:line="185" w:lineRule="exact"/>
        <w:rPr>
          <w:sz w:val="20"/>
          <w:szCs w:val="20"/>
          <w:color w:val="auto"/>
        </w:rPr>
      </w:pPr>
    </w:p>
    <w:p>
      <w:pPr>
        <w:ind w:left="880" w:hanging="320"/>
        <w:spacing w:after="0"/>
        <w:tabs>
          <w:tab w:leader="none" w:pos="8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general unsecured senior obligations of DISH DBS Corporation (“DISH DBS”);</w:t>
      </w:r>
    </w:p>
    <w:p>
      <w:pPr>
        <w:spacing w:after="0" w:line="12" w:lineRule="exact"/>
        <w:rPr>
          <w:rFonts w:ascii="Times New Roman" w:cs="Times New Roman" w:eastAsia="Times New Roman" w:hAnsi="Times New Roman"/>
          <w:sz w:val="18"/>
          <w:szCs w:val="18"/>
          <w:color w:val="auto"/>
        </w:rPr>
      </w:pPr>
    </w:p>
    <w:p>
      <w:pPr>
        <w:ind w:left="880" w:right="579" w:hanging="320"/>
        <w:spacing w:after="0" w:line="226" w:lineRule="auto"/>
        <w:tabs>
          <w:tab w:leader="none" w:pos="8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DISH DBS’ and the guarantors’ existing and future unsecured senior debt; and</w:t>
      </w:r>
    </w:p>
    <w:p>
      <w:pPr>
        <w:ind w:left="880" w:right="319" w:hanging="320"/>
        <w:spacing w:after="0" w:line="249" w:lineRule="auto"/>
        <w:tabs>
          <w:tab w:leader="none" w:pos="8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our and the guarantors’ current and future secured senior indebtedness up to the value of the collateral securing such indebtedness.</w:t>
      </w:r>
    </w:p>
    <w:p>
      <w:pPr>
        <w:spacing w:after="0" w:line="146" w:lineRule="exact"/>
        <w:rPr>
          <w:sz w:val="20"/>
          <w:szCs w:val="20"/>
          <w:color w:val="auto"/>
        </w:rPr>
      </w:pPr>
    </w:p>
    <w:p>
      <w:pPr>
        <w:ind w:left="200" w:right="419"/>
        <w:spacing w:after="0" w:line="271" w:lineRule="auto"/>
        <w:rPr>
          <w:sz w:val="20"/>
          <w:szCs w:val="20"/>
          <w:color w:val="auto"/>
        </w:rPr>
      </w:pPr>
      <w:r>
        <w:rPr>
          <w:rFonts w:ascii="Arial" w:cs="Arial" w:eastAsia="Arial" w:hAnsi="Arial"/>
          <w:sz w:val="18"/>
          <w:szCs w:val="18"/>
          <w:color w:val="auto"/>
        </w:rPr>
        <w:t>The indentures related to our Senior Notes contain restrictive covenants that, among other things, impose limitations on the ability of DISH DBS and its restricted subsidiaries to:</w:t>
      </w:r>
    </w:p>
    <w:p>
      <w:pPr>
        <w:spacing w:after="0" w:line="140" w:lineRule="exact"/>
        <w:rPr>
          <w:sz w:val="20"/>
          <w:szCs w:val="20"/>
          <w:color w:val="auto"/>
        </w:rPr>
      </w:pPr>
    </w:p>
    <w:p>
      <w:pPr>
        <w:ind w:left="880" w:hanging="320"/>
        <w:spacing w:after="0"/>
        <w:tabs>
          <w:tab w:leader="none" w:pos="8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debt;</w:t>
      </w:r>
    </w:p>
    <w:p>
      <w:pPr>
        <w:spacing w:after="0" w:line="12" w:lineRule="exact"/>
        <w:rPr>
          <w:rFonts w:ascii="Times New Roman" w:cs="Times New Roman" w:eastAsia="Times New Roman" w:hAnsi="Times New Roman"/>
          <w:sz w:val="18"/>
          <w:szCs w:val="18"/>
          <w:color w:val="auto"/>
        </w:rPr>
      </w:pPr>
    </w:p>
    <w:p>
      <w:pPr>
        <w:ind w:left="880" w:right="419" w:hanging="320"/>
        <w:spacing w:after="0" w:line="226" w:lineRule="auto"/>
        <w:tabs>
          <w:tab w:leader="none" w:pos="8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or make distributions on DISH DBS’ capital stock or repurchase DISH DBS’ capital stock;</w:t>
      </w:r>
    </w:p>
    <w:p>
      <w:pPr>
        <w:ind w:left="880" w:hanging="320"/>
        <w:spacing w:after="0" w:line="233" w:lineRule="auto"/>
        <w:tabs>
          <w:tab w:leader="none" w:pos="8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w:t>
      </w:r>
    </w:p>
    <w:p>
      <w:pPr>
        <w:ind w:left="880" w:hanging="320"/>
        <w:spacing w:after="0" w:line="233" w:lineRule="auto"/>
        <w:tabs>
          <w:tab w:leader="none" w:pos="8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 or enter into sale and leaseback transactions;</w:t>
      </w:r>
    </w:p>
    <w:p>
      <w:pPr>
        <w:ind w:left="880" w:hanging="320"/>
        <w:spacing w:after="0" w:line="233" w:lineRule="auto"/>
        <w:tabs>
          <w:tab w:leader="none" w:pos="8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ind w:left="880" w:hanging="320"/>
        <w:spacing w:after="0" w:line="233" w:lineRule="auto"/>
        <w:tabs>
          <w:tab w:leader="none" w:pos="8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 and</w:t>
      </w:r>
    </w:p>
    <w:p>
      <w:pPr>
        <w:ind w:left="880" w:hanging="320"/>
        <w:spacing w:after="0"/>
        <w:tabs>
          <w:tab w:leader="none" w:pos="8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or sell assets.</w:t>
      </w:r>
    </w:p>
    <w:p>
      <w:pPr>
        <w:spacing w:after="0" w:line="193" w:lineRule="exact"/>
        <w:rPr>
          <w:sz w:val="20"/>
          <w:szCs w:val="20"/>
          <w:color w:val="auto"/>
        </w:rPr>
      </w:pPr>
    </w:p>
    <w:p>
      <w:pPr>
        <w:ind w:left="200" w:right="419"/>
        <w:spacing w:after="0" w:line="247" w:lineRule="auto"/>
        <w:rPr>
          <w:sz w:val="20"/>
          <w:szCs w:val="20"/>
          <w:color w:val="auto"/>
        </w:rPr>
      </w:pPr>
      <w:r>
        <w:rPr>
          <w:rFonts w:ascii="Arial" w:cs="Arial" w:eastAsia="Arial" w:hAnsi="Arial"/>
          <w:sz w:val="18"/>
          <w:szCs w:val="18"/>
          <w:color w:val="auto"/>
        </w:rPr>
        <w:t>In the event of a change of control, as defined in the related indentures, we would be required to make an offer to repurchase all or any part of a holder’s Senior Notes at a purchase price equal to 101% of the aggregate principal amount thereof, together with accrued and unpaid interest thereon, to the date of repurchase.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7 3/4% Senior Notes due 2026</w:t>
      </w:r>
    </w:p>
    <w:p>
      <w:pPr>
        <w:spacing w:after="0" w:line="196" w:lineRule="exact"/>
        <w:rPr>
          <w:sz w:val="20"/>
          <w:szCs w:val="20"/>
          <w:color w:val="auto"/>
        </w:rPr>
      </w:pPr>
    </w:p>
    <w:p>
      <w:pPr>
        <w:ind w:left="200" w:right="419"/>
        <w:spacing w:after="0" w:line="253" w:lineRule="auto"/>
        <w:rPr>
          <w:sz w:val="20"/>
          <w:szCs w:val="20"/>
          <w:color w:val="auto"/>
        </w:rPr>
      </w:pPr>
      <w:r>
        <w:rPr>
          <w:rFonts w:ascii="Arial" w:cs="Arial" w:eastAsia="Arial" w:hAnsi="Arial"/>
          <w:sz w:val="18"/>
          <w:szCs w:val="18"/>
          <w:color w:val="auto"/>
        </w:rPr>
        <w:t>On June 13, 2016, we issued $2.0 billion aggregate principal amount of our ten-year 7 3/4% Senior Notes due July 1, 2026. Interest accrues at an annual rate of 7 3/4% and is payable semi-annually in cash, in arrears on January 1 and July 1 of each year.</w:t>
      </w:r>
    </w:p>
    <w:p>
      <w:pPr>
        <w:spacing w:after="0" w:line="155" w:lineRule="exact"/>
        <w:rPr>
          <w:sz w:val="20"/>
          <w:szCs w:val="20"/>
          <w:color w:val="auto"/>
        </w:rPr>
      </w:pPr>
    </w:p>
    <w:p>
      <w:pPr>
        <w:jc w:val="both"/>
        <w:ind w:left="200" w:right="479"/>
        <w:spacing w:after="0" w:line="253" w:lineRule="auto"/>
        <w:rPr>
          <w:sz w:val="20"/>
          <w:szCs w:val="20"/>
          <w:color w:val="auto"/>
        </w:rPr>
      </w:pPr>
      <w:r>
        <w:rPr>
          <w:rFonts w:ascii="Arial" w:cs="Arial" w:eastAsia="Arial" w:hAnsi="Arial"/>
          <w:sz w:val="18"/>
          <w:szCs w:val="18"/>
          <w:color w:val="auto"/>
        </w:rPr>
        <w:t>The 7 3/4% Senior Notes are redeemable, in whole or in part, at any time at a redemption price equal to 100% of the principal amount plus a “make-whole” premium, as defined in the related indenture, together with accrued and unpaid interest.</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7 3/8% Senior Notes due 2028</w:t>
      </w:r>
    </w:p>
    <w:p>
      <w:pPr>
        <w:spacing w:after="0" w:line="196" w:lineRule="exact"/>
        <w:rPr>
          <w:sz w:val="20"/>
          <w:szCs w:val="20"/>
          <w:color w:val="auto"/>
        </w:rPr>
      </w:pPr>
    </w:p>
    <w:p>
      <w:pPr>
        <w:ind w:left="200" w:right="379"/>
        <w:spacing w:after="0" w:line="253" w:lineRule="auto"/>
        <w:rPr>
          <w:sz w:val="20"/>
          <w:szCs w:val="20"/>
          <w:color w:val="auto"/>
        </w:rPr>
      </w:pPr>
      <w:r>
        <w:rPr>
          <w:rFonts w:ascii="Arial" w:cs="Arial" w:eastAsia="Arial" w:hAnsi="Arial"/>
          <w:sz w:val="18"/>
          <w:szCs w:val="18"/>
          <w:color w:val="auto"/>
        </w:rPr>
        <w:t>On July 1, 2020, we issued $ 1.0 billion aggregate principal amount of our 7 3/8% Senior Notes due July 1, 2028. Interest accrues at an annual rate of 7 3/8% and is payable semi-annually in cash, in arrears on January 1 and July 1 of each year.</w:t>
      </w:r>
    </w:p>
    <w:p>
      <w:pPr>
        <w:spacing w:after="0" w:line="155" w:lineRule="exact"/>
        <w:rPr>
          <w:sz w:val="20"/>
          <w:szCs w:val="20"/>
          <w:color w:val="auto"/>
        </w:rPr>
      </w:pPr>
    </w:p>
    <w:p>
      <w:pPr>
        <w:ind w:left="200" w:right="259"/>
        <w:spacing w:after="0" w:line="271" w:lineRule="auto"/>
        <w:rPr>
          <w:sz w:val="20"/>
          <w:szCs w:val="20"/>
          <w:color w:val="auto"/>
        </w:rPr>
      </w:pPr>
      <w:r>
        <w:rPr>
          <w:rFonts w:ascii="Arial" w:cs="Arial" w:eastAsia="Arial" w:hAnsi="Arial"/>
          <w:sz w:val="18"/>
          <w:szCs w:val="18"/>
          <w:color w:val="auto"/>
        </w:rPr>
        <w:t>The 7 3/8% Senior Notes are redeemable, in whole or in part, at any time at the redemption prices specified under the related indenture, together with accrued and unpaid interest.</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 1/8% Senior Notes due 2029</w:t>
      </w:r>
    </w:p>
    <w:p>
      <w:pPr>
        <w:spacing w:after="0" w:line="196" w:lineRule="exact"/>
        <w:rPr>
          <w:sz w:val="20"/>
          <w:szCs w:val="20"/>
          <w:color w:val="auto"/>
        </w:rPr>
      </w:pPr>
    </w:p>
    <w:p>
      <w:pPr>
        <w:jc w:val="both"/>
        <w:ind w:left="200" w:right="379"/>
        <w:spacing w:after="0" w:line="253" w:lineRule="auto"/>
        <w:rPr>
          <w:sz w:val="20"/>
          <w:szCs w:val="20"/>
          <w:color w:val="auto"/>
        </w:rPr>
      </w:pPr>
      <w:r>
        <w:rPr>
          <w:rFonts w:ascii="Arial" w:cs="Arial" w:eastAsia="Arial" w:hAnsi="Arial"/>
          <w:sz w:val="18"/>
          <w:szCs w:val="18"/>
          <w:color w:val="auto"/>
        </w:rPr>
        <w:t>On May 24, 2021, we issued $1.5 billion aggregate principal amount of our 5 1/8% Senior Notes due June 1, 2029. Interest accrues at an annual rate of 5 1/8% and is payable semi-annually in cash, in arrears on June 1 and December 1 of each year.</w:t>
      </w:r>
    </w:p>
    <w:p>
      <w:pPr>
        <w:spacing w:after="0" w:line="155" w:lineRule="exact"/>
        <w:rPr>
          <w:sz w:val="20"/>
          <w:szCs w:val="20"/>
          <w:color w:val="auto"/>
        </w:rPr>
      </w:pPr>
    </w:p>
    <w:p>
      <w:pPr>
        <w:jc w:val="both"/>
        <w:ind w:left="200" w:right="479"/>
        <w:spacing w:after="0" w:line="253" w:lineRule="auto"/>
        <w:rPr>
          <w:sz w:val="20"/>
          <w:szCs w:val="20"/>
          <w:color w:val="auto"/>
        </w:rPr>
      </w:pPr>
      <w:r>
        <w:rPr>
          <w:rFonts w:ascii="Arial" w:cs="Arial" w:eastAsia="Arial" w:hAnsi="Arial"/>
          <w:sz w:val="18"/>
          <w:szCs w:val="18"/>
          <w:color w:val="auto"/>
        </w:rPr>
        <w:t>The 5 1/8% Senior Notes are redeemable, in whole or in part, at any time at a redemption price equal to 100% of the principal amount plus a “make-whole” premium, as defined in the related indenture, together with accrued and unpaid interest.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3" w:name="page124"/>
    <w:bookmarkEnd w:id="12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Existing DISH Convertible Notes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0% Convertible Notes due 2025</w:t>
      </w:r>
    </w:p>
    <w:p>
      <w:pPr>
        <w:spacing w:after="0" w:line="196" w:lineRule="exact"/>
        <w:rPr>
          <w:sz w:val="20"/>
          <w:szCs w:val="20"/>
          <w:color w:val="auto"/>
        </w:rPr>
      </w:pPr>
    </w:p>
    <w:p>
      <w:pPr>
        <w:ind w:left="200" w:right="319"/>
        <w:spacing w:after="0" w:line="247" w:lineRule="auto"/>
        <w:rPr>
          <w:sz w:val="20"/>
          <w:szCs w:val="20"/>
          <w:color w:val="auto"/>
        </w:rPr>
      </w:pPr>
      <w:r>
        <w:rPr>
          <w:rFonts w:ascii="Arial" w:cs="Arial" w:eastAsia="Arial" w:hAnsi="Arial"/>
          <w:sz w:val="18"/>
          <w:szCs w:val="18"/>
          <w:color w:val="auto"/>
        </w:rPr>
        <w:t>On December 21, 2020, we issued $2.0 billion aggregate principal amount of the Convertible Notes due December 15, 2025 in a private placement. These notes were part of the EchoStar Exchange Offers (as defined above) and have a remaining aggregate principal amount outstanding of $138 million. These notes will not bear interest, and the principal amount of the Notes will not accrete.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Convertible Notes due 2025 are:</w:t>
      </w:r>
    </w:p>
    <w:p>
      <w:pPr>
        <w:spacing w:after="0" w:line="185" w:lineRule="exact"/>
        <w:rPr>
          <w:sz w:val="20"/>
          <w:szCs w:val="20"/>
          <w:color w:val="auto"/>
        </w:rPr>
      </w:pPr>
    </w:p>
    <w:p>
      <w:pPr>
        <w:ind w:left="880" w:hanging="320"/>
        <w:spacing w:after="0"/>
        <w:tabs>
          <w:tab w:leader="none" w:pos="88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12" w:lineRule="exact"/>
        <w:rPr>
          <w:rFonts w:ascii="Times New Roman" w:cs="Times New Roman" w:eastAsia="Times New Roman" w:hAnsi="Times New Roman"/>
          <w:sz w:val="18"/>
          <w:szCs w:val="18"/>
          <w:color w:val="auto"/>
        </w:rPr>
      </w:pPr>
    </w:p>
    <w:p>
      <w:pPr>
        <w:ind w:left="880" w:right="319" w:hanging="320"/>
        <w:spacing w:after="0" w:line="226" w:lineRule="auto"/>
        <w:tabs>
          <w:tab w:leader="none" w:pos="88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2025;</w:t>
      </w:r>
    </w:p>
    <w:p>
      <w:pPr>
        <w:ind w:left="880" w:right="1379" w:hanging="320"/>
        <w:spacing w:after="0" w:line="226" w:lineRule="auto"/>
        <w:tabs>
          <w:tab w:leader="none" w:pos="88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ind w:left="880" w:right="319" w:hanging="320"/>
        <w:spacing w:after="0" w:line="226" w:lineRule="auto"/>
        <w:tabs>
          <w:tab w:leader="none" w:pos="88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880" w:hanging="320"/>
        <w:spacing w:after="0" w:line="233" w:lineRule="auto"/>
        <w:tabs>
          <w:tab w:leader="none" w:pos="88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ind w:left="880" w:hanging="320"/>
        <w:spacing w:after="0"/>
        <w:tabs>
          <w:tab w:leader="none" w:pos="88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200" w:right="359"/>
        <w:spacing w:after="0" w:line="244" w:lineRule="auto"/>
        <w:rPr>
          <w:sz w:val="20"/>
          <w:szCs w:val="20"/>
          <w:color w:val="auto"/>
        </w:rPr>
      </w:pPr>
      <w:r>
        <w:rPr>
          <w:rFonts w:ascii="Arial" w:cs="Arial" w:eastAsia="Arial" w:hAnsi="Arial"/>
          <w:sz w:val="18"/>
          <w:szCs w:val="18"/>
          <w:color w:val="auto"/>
        </w:rPr>
        <w:t>We may not redeem the Convertible Notes due 2025 prior to the maturity date. If a “fundamental change” (as defined in the related indenture) occurs prior to the maturity date of the Convertible Notes due 2025, holders may require us to repurchase for cash all or part of their Convertible Notes due 2025 at a repurchase price equal to 100% of the principal amount of such Convertible Notes due 2025, plus accrued and unpaid interest to, but not including, the fundamental change repurchase date.</w:t>
      </w:r>
    </w:p>
    <w:p>
      <w:pPr>
        <w:spacing w:after="0" w:line="163" w:lineRule="exact"/>
        <w:rPr>
          <w:sz w:val="20"/>
          <w:szCs w:val="20"/>
          <w:color w:val="auto"/>
        </w:rPr>
      </w:pPr>
    </w:p>
    <w:p>
      <w:pPr>
        <w:ind w:left="200" w:right="239"/>
        <w:spacing w:after="0" w:line="253" w:lineRule="auto"/>
        <w:rPr>
          <w:sz w:val="20"/>
          <w:szCs w:val="20"/>
          <w:color w:val="auto"/>
        </w:rPr>
      </w:pPr>
      <w:r>
        <w:rPr>
          <w:rFonts w:ascii="Arial" w:cs="Arial" w:eastAsia="Arial" w:hAnsi="Arial"/>
          <w:sz w:val="18"/>
          <w:szCs w:val="18"/>
          <w:color w:val="auto"/>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200" w:right="279"/>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2025 may be converted at an initial conversion rate of 8.566 shares of EchoStar’s Class A common stock per $1,000 principal amount of the Convertible Notes due 2025 (equivalent to an initial conversion price of approximately $116.74 per share of EchoStar’s Class A common stock) (the “Initial Conversion Rate”), at any time on or after July 15, 2025 through the second scheduled trading day preceding the maturity date. Holders of the Convertible Notes due 2025 will also have the right to convert the Convertible Notes due 2025 at the Initial Conversion Rate prior to July 15, 2025, but only upon the occurrence of specified events described in the related indenture. The conversion rate is subject to anti-dilution adjustments if certain events occur. Upon any conversion, EchoStar will settle its conversion obligation in cash, shares of EchoStar’s Class A common stock or a combination of cash and shares of EchoStar’s Class A common stock, at its election.</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3 3/8% Convertible Notes due 2026</w:t>
      </w:r>
    </w:p>
    <w:p>
      <w:pPr>
        <w:spacing w:after="0" w:line="196" w:lineRule="exact"/>
        <w:rPr>
          <w:sz w:val="20"/>
          <w:szCs w:val="20"/>
          <w:color w:val="auto"/>
        </w:rPr>
      </w:pPr>
    </w:p>
    <w:p>
      <w:pPr>
        <w:ind w:left="200" w:right="319"/>
        <w:spacing w:after="0" w:line="244" w:lineRule="auto"/>
        <w:rPr>
          <w:sz w:val="20"/>
          <w:szCs w:val="20"/>
          <w:color w:val="auto"/>
        </w:rPr>
      </w:pPr>
      <w:r>
        <w:rPr>
          <w:rFonts w:ascii="Arial" w:cs="Arial" w:eastAsia="Arial" w:hAnsi="Arial"/>
          <w:sz w:val="18"/>
          <w:szCs w:val="18"/>
          <w:color w:val="auto"/>
        </w:rPr>
        <w:t>On August 8, 2016, we issued $3.0 billion aggregate principal amount of the Convertible Notes due August 15, 2026 in a private offering. These notes were part of the EchoStar Exchange Offers (as defined above) and have a remaining aggregate principal amount outstanding of $45 million. Interest accrues at an annual rate of 3 3/8% and is payable semi-annually in cash, in arrears on February 15 and August 15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4" w:name="page125"/>
    <w:bookmarkEnd w:id="12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Convertible Notes due 2026 are:</w:t>
      </w:r>
    </w:p>
    <w:p>
      <w:pPr>
        <w:spacing w:after="0" w:line="198" w:lineRule="exact"/>
        <w:rPr>
          <w:sz w:val="20"/>
          <w:szCs w:val="20"/>
          <w:color w:val="auto"/>
        </w:rPr>
      </w:pPr>
    </w:p>
    <w:p>
      <w:pPr>
        <w:ind w:left="880" w:hanging="320"/>
        <w:spacing w:after="0"/>
        <w:tabs>
          <w:tab w:leader="none" w:pos="88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880" w:right="319" w:hanging="320"/>
        <w:spacing w:after="0" w:line="234" w:lineRule="auto"/>
        <w:tabs>
          <w:tab w:leader="none" w:pos="88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2026;</w:t>
      </w:r>
    </w:p>
    <w:p>
      <w:pPr>
        <w:ind w:left="880" w:right="1379" w:hanging="320"/>
        <w:spacing w:after="0" w:line="234" w:lineRule="auto"/>
        <w:tabs>
          <w:tab w:leader="none" w:pos="88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ind w:left="880" w:right="319" w:hanging="320"/>
        <w:spacing w:after="0" w:line="234" w:lineRule="auto"/>
        <w:tabs>
          <w:tab w:leader="none" w:pos="88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880" w:hanging="320"/>
        <w:spacing w:after="0"/>
        <w:tabs>
          <w:tab w:leader="none" w:pos="88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200" w:right="299"/>
        <w:spacing w:after="0" w:line="244" w:lineRule="auto"/>
        <w:rPr>
          <w:sz w:val="20"/>
          <w:szCs w:val="20"/>
          <w:color w:val="auto"/>
        </w:rPr>
      </w:pPr>
      <w:r>
        <w:rPr>
          <w:rFonts w:ascii="Arial" w:cs="Arial" w:eastAsia="Arial" w:hAnsi="Arial"/>
          <w:sz w:val="18"/>
          <w:szCs w:val="18"/>
          <w:color w:val="auto"/>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spacing w:after="0" w:line="163" w:lineRule="exact"/>
        <w:rPr>
          <w:sz w:val="20"/>
          <w:szCs w:val="20"/>
          <w:color w:val="auto"/>
        </w:rPr>
      </w:pPr>
    </w:p>
    <w:p>
      <w:pPr>
        <w:ind w:left="200" w:right="239"/>
        <w:spacing w:after="0" w:line="253" w:lineRule="auto"/>
        <w:rPr>
          <w:sz w:val="20"/>
          <w:szCs w:val="20"/>
          <w:color w:val="auto"/>
        </w:rPr>
      </w:pPr>
      <w:r>
        <w:rPr>
          <w:rFonts w:ascii="Arial" w:cs="Arial" w:eastAsia="Arial" w:hAnsi="Arial"/>
          <w:sz w:val="18"/>
          <w:szCs w:val="18"/>
          <w:color w:val="auto"/>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200" w:right="279"/>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2026 may be converted at an initial conversion rate of 5.383 shares of EchoStar’s Class A common stock per $1,000 principal amount of Convertible Notes due 2026 (equivalent to an initial conversion price of approximately $185.76 per share of EchoStar’s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 The conversion rate is subject to anti-dilution adjustments if certain events occur. Upon any conversion, EchoStar will settle its conversion obligation in cash, shares of EchoStar’s Class A common stock or a combination of cash and shares of EchoStar’s Class A common stock, at its election.</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Convertible Note Hedge and Warrant Transactions</w:t>
      </w:r>
    </w:p>
    <w:p>
      <w:pPr>
        <w:spacing w:after="0" w:line="196" w:lineRule="exact"/>
        <w:rPr>
          <w:sz w:val="20"/>
          <w:szCs w:val="20"/>
          <w:color w:val="auto"/>
        </w:rPr>
      </w:pPr>
    </w:p>
    <w:p>
      <w:pPr>
        <w:ind w:left="200" w:right="259"/>
        <w:spacing w:after="0" w:line="242" w:lineRule="auto"/>
        <w:rPr>
          <w:sz w:val="20"/>
          <w:szCs w:val="20"/>
          <w:color w:val="auto"/>
        </w:rPr>
      </w:pPr>
      <w:r>
        <w:rPr>
          <w:rFonts w:ascii="Arial" w:cs="Arial" w:eastAsia="Arial" w:hAnsi="Arial"/>
          <w:sz w:val="18"/>
          <w:szCs w:val="18"/>
          <w:i w:val="1"/>
          <w:iCs w:val="1"/>
          <w:color w:val="auto"/>
        </w:rPr>
        <w:t>Merger with EchoStar</w:t>
      </w:r>
      <w:r>
        <w:rPr>
          <w:rFonts w:ascii="Arial" w:cs="Arial" w:eastAsia="Arial" w:hAnsi="Arial"/>
          <w:sz w:val="18"/>
          <w:szCs w:val="18"/>
          <w:color w:val="auto"/>
        </w:rPr>
        <w:t>. As defined and detailed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in connection with the completion of the Merger, on December 31, 2023, we and EchoStar entered into a note hedge amendment letter agreement with each option counterparty pursuant to which, at the Effective Time, our right to purchase shares of DISH Class A Common Stock pursuant to the terms of the applicable convertible note hedge transactions was changed into a right to purchase shares of EchoStar Class A Common Stock.</w:t>
      </w:r>
    </w:p>
    <w:p>
      <w:pPr>
        <w:spacing w:after="0" w:line="165" w:lineRule="exact"/>
        <w:rPr>
          <w:sz w:val="20"/>
          <w:szCs w:val="20"/>
          <w:color w:val="auto"/>
        </w:rPr>
      </w:pPr>
    </w:p>
    <w:p>
      <w:pPr>
        <w:ind w:left="200" w:right="219"/>
        <w:spacing w:after="0" w:line="242" w:lineRule="auto"/>
        <w:rPr>
          <w:sz w:val="20"/>
          <w:szCs w:val="20"/>
          <w:color w:val="auto"/>
        </w:rPr>
      </w:pPr>
      <w:r>
        <w:rPr>
          <w:rFonts w:ascii="Arial" w:cs="Arial" w:eastAsia="Arial" w:hAnsi="Arial"/>
          <w:sz w:val="18"/>
          <w:szCs w:val="18"/>
          <w:color w:val="auto"/>
        </w:rPr>
        <w:t>In addition, in connection with the completion of the Merger, on December 31, 2023, we and EchoStar entered into a warrant amendment letter agreement and warrant guarantee with each option counterparty, pursuant to which, at the Effective Time, each counterparty’s right to purchase shares of DISH Network Class A Common Stock pursuant to the applicable warrant transactions was changed into a right to purchase shares of EchoStar Class A Common Stock, and EchoStar guaranteed all of our obligations under the applicable warrant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5" w:name="page126"/>
    <w:bookmarkEnd w:id="12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offering of the Convertible Notes due 2026, we entered into convertible note hedge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transactions with certain option counterparties. The convertible note hedge transactions cover, subject to</w:t>
      </w:r>
    </w:p>
    <w:p>
      <w:pPr>
        <w:ind w:left="200"/>
        <w:spacing w:after="0" w:line="234" w:lineRule="auto"/>
        <w:rPr>
          <w:sz w:val="20"/>
          <w:szCs w:val="20"/>
          <w:color w:val="auto"/>
        </w:rPr>
      </w:pPr>
      <w:r>
        <w:rPr>
          <w:rFonts w:ascii="Arial" w:cs="Arial" w:eastAsia="Arial" w:hAnsi="Arial"/>
          <w:sz w:val="18"/>
          <w:szCs w:val="18"/>
          <w:color w:val="auto"/>
        </w:rPr>
        <w:t>anti-dilution adjustments substantially similar to those applicable to the Convertible Notes due 2026, the</w:t>
      </w:r>
    </w:p>
    <w:p>
      <w:pPr>
        <w:ind w:left="200"/>
        <w:spacing w:after="0" w:line="235" w:lineRule="auto"/>
        <w:rPr>
          <w:sz w:val="20"/>
          <w:szCs w:val="20"/>
          <w:color w:val="auto"/>
        </w:rPr>
      </w:pPr>
      <w:r>
        <w:rPr>
          <w:rFonts w:ascii="Arial" w:cs="Arial" w:eastAsia="Arial" w:hAnsi="Arial"/>
          <w:sz w:val="18"/>
          <w:szCs w:val="18"/>
          <w:color w:val="auto"/>
        </w:rPr>
        <w:t>number of shares of DISH Network Class A Common Stock underlying the Convertible Notes due 2026,</w:t>
      </w:r>
    </w:p>
    <w:p>
      <w:pPr>
        <w:ind w:left="200"/>
        <w:spacing w:after="0" w:line="235" w:lineRule="auto"/>
        <w:rPr>
          <w:sz w:val="20"/>
          <w:szCs w:val="20"/>
          <w:color w:val="auto"/>
        </w:rPr>
      </w:pPr>
      <w:r>
        <w:rPr>
          <w:rFonts w:ascii="Arial" w:cs="Arial" w:eastAsia="Arial" w:hAnsi="Arial"/>
          <w:sz w:val="18"/>
          <w:szCs w:val="18"/>
          <w:color w:val="auto"/>
        </w:rPr>
        <w:t>which initially gives us the option to purchase approximately 46 million shares of DISH Network Class A</w:t>
      </w:r>
    </w:p>
    <w:p>
      <w:pPr>
        <w:ind w:left="200"/>
        <w:spacing w:after="0" w:line="235" w:lineRule="auto"/>
        <w:rPr>
          <w:sz w:val="20"/>
          <w:szCs w:val="20"/>
          <w:color w:val="auto"/>
        </w:rPr>
      </w:pPr>
      <w:r>
        <w:rPr>
          <w:rFonts w:ascii="Arial" w:cs="Arial" w:eastAsia="Arial" w:hAnsi="Arial"/>
          <w:sz w:val="18"/>
          <w:szCs w:val="18"/>
          <w:color w:val="auto"/>
        </w:rPr>
        <w:t>Common Stock at a price of approximately $65.18 per share, which in connection with the completion of the</w:t>
      </w:r>
    </w:p>
    <w:p>
      <w:pPr>
        <w:ind w:left="200"/>
        <w:spacing w:after="0" w:line="235" w:lineRule="auto"/>
        <w:rPr>
          <w:sz w:val="20"/>
          <w:szCs w:val="20"/>
          <w:color w:val="auto"/>
        </w:rPr>
      </w:pPr>
      <w:r>
        <w:rPr>
          <w:rFonts w:ascii="Arial" w:cs="Arial" w:eastAsia="Arial" w:hAnsi="Arial"/>
          <w:sz w:val="18"/>
          <w:szCs w:val="18"/>
          <w:color w:val="auto"/>
        </w:rPr>
        <w:t>Merger converted into approximately 16 million shares of EchoStar Class A Common Stock at a price of</w:t>
      </w:r>
    </w:p>
    <w:p>
      <w:pPr>
        <w:ind w:left="200"/>
        <w:spacing w:after="0" w:line="234" w:lineRule="auto"/>
        <w:rPr>
          <w:sz w:val="20"/>
          <w:szCs w:val="20"/>
          <w:color w:val="auto"/>
        </w:rPr>
      </w:pPr>
      <w:r>
        <w:rPr>
          <w:rFonts w:ascii="Arial" w:cs="Arial" w:eastAsia="Arial" w:hAnsi="Arial"/>
          <w:sz w:val="18"/>
          <w:szCs w:val="18"/>
          <w:color w:val="auto"/>
        </w:rPr>
        <w:t>approximately $185.76 per share. The total cost of the original convertible note hedge transactions was</w:t>
      </w:r>
    </w:p>
    <w:p>
      <w:pPr>
        <w:ind w:left="260"/>
        <w:spacing w:after="0" w:line="235" w:lineRule="auto"/>
        <w:rPr>
          <w:sz w:val="20"/>
          <w:szCs w:val="20"/>
          <w:color w:val="auto"/>
        </w:rPr>
      </w:pPr>
      <w:r>
        <w:rPr>
          <w:rFonts w:ascii="Arial" w:cs="Arial" w:eastAsia="Arial" w:hAnsi="Arial"/>
          <w:sz w:val="18"/>
          <w:szCs w:val="18"/>
          <w:color w:val="auto"/>
        </w:rPr>
        <w:t>$635 million. Concurrently with entering into the convertible note hedge transactions, we also entered into</w:t>
      </w:r>
    </w:p>
    <w:p>
      <w:pPr>
        <w:ind w:left="200"/>
        <w:spacing w:after="0" w:line="235" w:lineRule="auto"/>
        <w:rPr>
          <w:sz w:val="20"/>
          <w:szCs w:val="20"/>
          <w:color w:val="auto"/>
        </w:rPr>
      </w:pPr>
      <w:r>
        <w:rPr>
          <w:rFonts w:ascii="Arial" w:cs="Arial" w:eastAsia="Arial" w:hAnsi="Arial"/>
          <w:sz w:val="18"/>
          <w:szCs w:val="18"/>
          <w:color w:val="auto"/>
        </w:rPr>
        <w:t>warrant transactions with each option counterparty whereby we sold to such option counterparty warrants to</w:t>
      </w:r>
    </w:p>
    <w:p>
      <w:pPr>
        <w:ind w:left="200"/>
        <w:spacing w:after="0" w:line="235" w:lineRule="auto"/>
        <w:rPr>
          <w:sz w:val="20"/>
          <w:szCs w:val="20"/>
          <w:color w:val="auto"/>
        </w:rPr>
      </w:pPr>
      <w:r>
        <w:rPr>
          <w:rFonts w:ascii="Arial" w:cs="Arial" w:eastAsia="Arial" w:hAnsi="Arial"/>
          <w:sz w:val="18"/>
          <w:szCs w:val="18"/>
          <w:color w:val="auto"/>
        </w:rPr>
        <w:t>purchase, subject to customary anti-dilution adjustments, up to the same number of shares of DISH</w:t>
      </w:r>
    </w:p>
    <w:p>
      <w:pPr>
        <w:ind w:left="200"/>
        <w:spacing w:after="0" w:line="235" w:lineRule="auto"/>
        <w:rPr>
          <w:sz w:val="20"/>
          <w:szCs w:val="20"/>
          <w:color w:val="auto"/>
        </w:rPr>
      </w:pPr>
      <w:r>
        <w:rPr>
          <w:rFonts w:ascii="Arial" w:cs="Arial" w:eastAsia="Arial" w:hAnsi="Arial"/>
          <w:sz w:val="18"/>
          <w:szCs w:val="18"/>
          <w:color w:val="auto"/>
        </w:rPr>
        <w:t>Network Class A common stock, which initially gives the option counterparties the option to purchase</w:t>
      </w:r>
    </w:p>
    <w:p>
      <w:pPr>
        <w:ind w:left="200"/>
        <w:spacing w:after="0" w:line="234" w:lineRule="auto"/>
        <w:rPr>
          <w:sz w:val="20"/>
          <w:szCs w:val="20"/>
          <w:color w:val="auto"/>
        </w:rPr>
      </w:pPr>
      <w:r>
        <w:rPr>
          <w:rFonts w:ascii="Arial" w:cs="Arial" w:eastAsia="Arial" w:hAnsi="Arial"/>
          <w:sz w:val="18"/>
          <w:szCs w:val="18"/>
          <w:color w:val="auto"/>
        </w:rPr>
        <w:t>approximately 46 million shares of DISH Network Class A common stock at a price of approximately $86.08</w:t>
      </w:r>
    </w:p>
    <w:p>
      <w:pPr>
        <w:ind w:left="200"/>
        <w:spacing w:after="0" w:line="235" w:lineRule="auto"/>
        <w:rPr>
          <w:sz w:val="20"/>
          <w:szCs w:val="20"/>
          <w:color w:val="auto"/>
        </w:rPr>
      </w:pPr>
      <w:r>
        <w:rPr>
          <w:rFonts w:ascii="Arial" w:cs="Arial" w:eastAsia="Arial" w:hAnsi="Arial"/>
          <w:sz w:val="18"/>
          <w:szCs w:val="18"/>
          <w:color w:val="auto"/>
        </w:rPr>
        <w:t>per share, which in connection with the completion of the Merger converted into approximately 16 million</w:t>
      </w:r>
    </w:p>
    <w:p>
      <w:pPr>
        <w:ind w:left="200"/>
        <w:spacing w:after="0" w:line="235" w:lineRule="auto"/>
        <w:rPr>
          <w:sz w:val="20"/>
          <w:szCs w:val="20"/>
          <w:color w:val="auto"/>
        </w:rPr>
      </w:pPr>
      <w:r>
        <w:rPr>
          <w:rFonts w:ascii="Arial" w:cs="Arial" w:eastAsia="Arial" w:hAnsi="Arial"/>
          <w:sz w:val="18"/>
          <w:szCs w:val="18"/>
          <w:color w:val="auto"/>
        </w:rPr>
        <w:t>shares of EchoStar Class A Common Stock at price ranges of approximately $185.75 to $245.33 per share.</w:t>
      </w:r>
    </w:p>
    <w:p>
      <w:pPr>
        <w:ind w:left="200"/>
        <w:spacing w:after="0" w:line="235" w:lineRule="auto"/>
        <w:rPr>
          <w:sz w:val="20"/>
          <w:szCs w:val="20"/>
          <w:color w:val="auto"/>
        </w:rPr>
      </w:pPr>
      <w:r>
        <w:rPr>
          <w:rFonts w:ascii="Arial" w:cs="Arial" w:eastAsia="Arial" w:hAnsi="Arial"/>
          <w:sz w:val="18"/>
          <w:szCs w:val="18"/>
          <w:color w:val="auto"/>
        </w:rPr>
        <w:t>We received $376 million in cash proceeds from the original sale of these warrants. In accordance with</w:t>
      </w:r>
    </w:p>
    <w:p>
      <w:pPr>
        <w:ind w:left="200"/>
        <w:spacing w:after="0" w:line="235" w:lineRule="auto"/>
        <w:rPr>
          <w:sz w:val="20"/>
          <w:szCs w:val="20"/>
          <w:color w:val="auto"/>
        </w:rPr>
      </w:pPr>
      <w:r>
        <w:rPr>
          <w:rFonts w:ascii="Arial" w:cs="Arial" w:eastAsia="Arial" w:hAnsi="Arial"/>
          <w:sz w:val="18"/>
          <w:szCs w:val="18"/>
          <w:color w:val="auto"/>
        </w:rPr>
        <w:t>accounting guidance on hedge and warrant transactions, the net cost incurred in connection with the</w:t>
      </w:r>
    </w:p>
    <w:p>
      <w:pPr>
        <w:ind w:left="200"/>
        <w:spacing w:after="0" w:line="234" w:lineRule="auto"/>
        <w:rPr>
          <w:sz w:val="20"/>
          <w:szCs w:val="20"/>
          <w:color w:val="auto"/>
        </w:rPr>
      </w:pPr>
      <w:r>
        <w:rPr>
          <w:rFonts w:ascii="Arial" w:cs="Arial" w:eastAsia="Arial" w:hAnsi="Arial"/>
          <w:sz w:val="18"/>
          <w:szCs w:val="18"/>
          <w:color w:val="auto"/>
        </w:rPr>
        <w:t>convertible note hedge and warrant transactions are recorded as a reduction in “Additional paid-in capital”</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within “Stockholder’s Equity (Deficit)” on our Consolidated Balance Sheets as of December 31, 2016.</w:t>
      </w:r>
    </w:p>
    <w:p>
      <w:pPr>
        <w:spacing w:after="0" w:line="140" w:lineRule="exact"/>
        <w:rPr>
          <w:sz w:val="20"/>
          <w:szCs w:val="20"/>
          <w:color w:val="auto"/>
        </w:rPr>
      </w:pPr>
    </w:p>
    <w:p>
      <w:pPr>
        <w:ind w:left="200" w:right="299"/>
        <w:spacing w:after="0" w:line="238" w:lineRule="auto"/>
        <w:rPr>
          <w:sz w:val="20"/>
          <w:szCs w:val="20"/>
          <w:color w:val="auto"/>
        </w:rPr>
      </w:pPr>
      <w:r>
        <w:rPr>
          <w:rFonts w:ascii="Arial" w:cs="Arial" w:eastAsia="Arial" w:hAnsi="Arial"/>
          <w:sz w:val="18"/>
          <w:szCs w:val="18"/>
          <w:color w:val="auto"/>
        </w:rPr>
        <w:t>We will not be required to make any cash payments to each option counterparty or its affiliates upon the exercise of the options that are a part of the convertible note hedge transactions, but will be entitled to receive from them a number of shares of Class A common stock, an amount of cash or a combination thereof. This consideration is generally based on the amount by which the market price per share of Class A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Class A common stock, as measured under the terms of the warrant transactions, exceeds the strike price of the warrants during the measurement period at the maturity of the warrants, we will owe each option counterparty a number of shares of Class A common stock in an amount based on the excess of such market price per share of Class A common stock over the strike price of the warrants. However, as specified under the terms of the warrant transactions, we may elect to settle the warrants in cash.</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DISH DBS Senior Secured Notes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DISH DBS Senior Secured Notes are:</w:t>
      </w:r>
    </w:p>
    <w:p>
      <w:pPr>
        <w:spacing w:after="0" w:line="198" w:lineRule="exact"/>
        <w:rPr>
          <w:sz w:val="20"/>
          <w:szCs w:val="20"/>
          <w:color w:val="auto"/>
        </w:rPr>
      </w:pPr>
    </w:p>
    <w:p>
      <w:pPr>
        <w:ind w:left="880" w:hanging="320"/>
        <w:spacing w:after="0"/>
        <w:tabs>
          <w:tab w:leader="none" w:pos="88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general senior secured obligations of DISH DBS Corporation (“DISH DBS”);</w:t>
      </w:r>
    </w:p>
    <w:p>
      <w:pPr>
        <w:spacing w:after="0" w:line="26" w:lineRule="exact"/>
        <w:rPr>
          <w:rFonts w:ascii="Times New Roman" w:cs="Times New Roman" w:eastAsia="Times New Roman" w:hAnsi="Times New Roman"/>
          <w:sz w:val="18"/>
          <w:szCs w:val="18"/>
          <w:color w:val="auto"/>
        </w:rPr>
      </w:pPr>
    </w:p>
    <w:p>
      <w:pPr>
        <w:ind w:left="880" w:right="259" w:hanging="320"/>
        <w:spacing w:after="0" w:line="234" w:lineRule="auto"/>
        <w:tabs>
          <w:tab w:leader="none" w:pos="88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secured by security interests in substantially all existing and future tangible and intangible assets of DISH DBS and its principal operating subsidiaries on a first priority basis, subject to certain exceptions;</w:t>
      </w:r>
    </w:p>
    <w:p>
      <w:pPr>
        <w:spacing w:after="0" w:line="1" w:lineRule="exact"/>
        <w:rPr>
          <w:rFonts w:ascii="Times New Roman" w:cs="Times New Roman" w:eastAsia="Times New Roman" w:hAnsi="Times New Roman"/>
          <w:sz w:val="18"/>
          <w:szCs w:val="18"/>
          <w:color w:val="auto"/>
        </w:rPr>
      </w:pPr>
    </w:p>
    <w:p>
      <w:pPr>
        <w:ind w:left="880" w:right="579" w:hanging="320"/>
        <w:spacing w:after="0" w:line="234" w:lineRule="auto"/>
        <w:tabs>
          <w:tab w:leader="none" w:pos="88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DISH DBS’ and the guarantors’ existing and future senior debt;</w:t>
      </w:r>
    </w:p>
    <w:p>
      <w:pPr>
        <w:jc w:val="both"/>
        <w:ind w:left="880" w:right="499" w:hanging="320"/>
        <w:spacing w:after="0" w:line="234" w:lineRule="auto"/>
        <w:tabs>
          <w:tab w:leader="none" w:pos="88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and effectively senior to any of DISH DBS’ and the guarantors’ junior lien or unsecured debt to the extent of the value of the pledged collateral that secures the Senior Secured Notes; and</w:t>
      </w:r>
    </w:p>
    <w:p>
      <w:pPr>
        <w:spacing w:after="0" w:line="1" w:lineRule="exact"/>
        <w:rPr>
          <w:rFonts w:ascii="Times New Roman" w:cs="Times New Roman" w:eastAsia="Times New Roman" w:hAnsi="Times New Roman"/>
          <w:sz w:val="18"/>
          <w:szCs w:val="18"/>
          <w:color w:val="auto"/>
        </w:rPr>
      </w:pPr>
    </w:p>
    <w:p>
      <w:pPr>
        <w:jc w:val="both"/>
        <w:ind w:left="880" w:right="439" w:hanging="320"/>
        <w:spacing w:after="0" w:line="242" w:lineRule="auto"/>
        <w:tabs>
          <w:tab w:leader="none" w:pos="88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DISH DBS’ and the guarantors’ obligations that are secured by assets that are not part of the pledged collateral that secures the Senior Secured Notes, to the extent of the value of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6" w:name="page127"/>
    <w:bookmarkEnd w:id="12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559"/>
        <w:spacing w:after="0" w:line="271" w:lineRule="auto"/>
        <w:rPr>
          <w:sz w:val="20"/>
          <w:szCs w:val="20"/>
          <w:color w:val="auto"/>
        </w:rPr>
      </w:pPr>
      <w:r>
        <w:rPr>
          <w:rFonts w:ascii="Arial" w:cs="Arial" w:eastAsia="Arial" w:hAnsi="Arial"/>
          <w:sz w:val="18"/>
          <w:szCs w:val="18"/>
          <w:color w:val="auto"/>
        </w:rPr>
        <w:t>The indenture related to our DISH DBS Senior Secured Notes contain restrictive covenants that, among other things, impose limitations on the ability of DISH DBS and its restricted subsidiaries to:</w:t>
      </w:r>
    </w:p>
    <w:p>
      <w:pPr>
        <w:spacing w:after="0" w:line="140" w:lineRule="exact"/>
        <w:rPr>
          <w:sz w:val="20"/>
          <w:szCs w:val="20"/>
          <w:color w:val="auto"/>
        </w:rPr>
      </w:pPr>
    </w:p>
    <w:p>
      <w:pPr>
        <w:ind w:left="880" w:hanging="320"/>
        <w:spacing w:after="0"/>
        <w:tabs>
          <w:tab w:leader="none" w:pos="88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debt;</w:t>
      </w:r>
    </w:p>
    <w:p>
      <w:pPr>
        <w:spacing w:after="0" w:line="26" w:lineRule="exact"/>
        <w:rPr>
          <w:rFonts w:ascii="Times New Roman" w:cs="Times New Roman" w:eastAsia="Times New Roman" w:hAnsi="Times New Roman"/>
          <w:sz w:val="18"/>
          <w:szCs w:val="18"/>
          <w:color w:val="auto"/>
        </w:rPr>
      </w:pPr>
    </w:p>
    <w:p>
      <w:pPr>
        <w:ind w:left="880" w:right="419" w:hanging="320"/>
        <w:spacing w:after="0" w:line="234" w:lineRule="auto"/>
        <w:tabs>
          <w:tab w:leader="none" w:pos="88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or make distributions on DISH DBS’ capital stock or repurchase DISH DBS’ capital stock;</w:t>
      </w:r>
    </w:p>
    <w:p>
      <w:pPr>
        <w:ind w:left="880" w:hanging="320"/>
        <w:spacing w:after="0"/>
        <w:tabs>
          <w:tab w:leader="none" w:pos="88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 or enter into sale and leaseback transactions;</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 and</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or sell assets.</w:t>
      </w:r>
    </w:p>
    <w:p>
      <w:pPr>
        <w:spacing w:after="0" w:line="193" w:lineRule="exact"/>
        <w:rPr>
          <w:sz w:val="20"/>
          <w:szCs w:val="20"/>
          <w:color w:val="auto"/>
        </w:rPr>
      </w:pPr>
    </w:p>
    <w:p>
      <w:pPr>
        <w:ind w:left="200" w:right="339"/>
        <w:spacing w:after="0" w:line="247" w:lineRule="auto"/>
        <w:rPr>
          <w:sz w:val="20"/>
          <w:szCs w:val="20"/>
          <w:color w:val="auto"/>
        </w:rPr>
      </w:pPr>
      <w:r>
        <w:rPr>
          <w:rFonts w:ascii="Arial" w:cs="Arial" w:eastAsia="Arial" w:hAnsi="Arial"/>
          <w:sz w:val="18"/>
          <w:szCs w:val="18"/>
          <w:color w:val="auto"/>
        </w:rPr>
        <w:t>In the event of a change of control, as defined in the related indentures, we would be required to make an offer to repurchase all or any part of a holder’s Senior Secured Notes at a purchase price equal to 101% of the aggregate principal amount thereof, together with accrued and unpaid interest thereon, to the date of repurchase.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 1/4% Senior Secured Notes due 2026</w:t>
      </w:r>
    </w:p>
    <w:p>
      <w:pPr>
        <w:spacing w:after="0" w:line="196" w:lineRule="exact"/>
        <w:rPr>
          <w:sz w:val="20"/>
          <w:szCs w:val="20"/>
          <w:color w:val="auto"/>
        </w:rPr>
      </w:pPr>
    </w:p>
    <w:p>
      <w:pPr>
        <w:jc w:val="both"/>
        <w:ind w:left="200" w:right="259"/>
        <w:spacing w:after="0" w:line="253" w:lineRule="auto"/>
        <w:rPr>
          <w:sz w:val="20"/>
          <w:szCs w:val="20"/>
          <w:color w:val="auto"/>
        </w:rPr>
      </w:pPr>
      <w:r>
        <w:rPr>
          <w:rFonts w:ascii="Arial" w:cs="Arial" w:eastAsia="Arial" w:hAnsi="Arial"/>
          <w:sz w:val="18"/>
          <w:szCs w:val="18"/>
          <w:color w:val="auto"/>
        </w:rPr>
        <w:t>On November 26, 2021, we issued $2.750 billion aggregate principal amount of our 5 1/4% Senior Secured Notes due December 1, 2026. Interest accrues at an annual rate of 5 1/4% and is payable semi-annually in cash, in arrears on June 1 and December 1 of each year.</w:t>
      </w:r>
    </w:p>
    <w:p>
      <w:pPr>
        <w:spacing w:after="0" w:line="155" w:lineRule="exact"/>
        <w:rPr>
          <w:sz w:val="20"/>
          <w:szCs w:val="20"/>
          <w:color w:val="auto"/>
        </w:rPr>
      </w:pPr>
    </w:p>
    <w:p>
      <w:pPr>
        <w:ind w:left="200" w:right="219"/>
        <w:spacing w:after="0" w:line="238" w:lineRule="auto"/>
        <w:rPr>
          <w:sz w:val="20"/>
          <w:szCs w:val="20"/>
          <w:color w:val="auto"/>
        </w:rPr>
      </w:pPr>
      <w:r>
        <w:rPr>
          <w:rFonts w:ascii="Arial" w:cs="Arial" w:eastAsia="Arial" w:hAnsi="Arial"/>
          <w:sz w:val="18"/>
          <w:szCs w:val="18"/>
          <w:color w:val="auto"/>
        </w:rPr>
        <w:t>The 5 1/4% Senior Secured Notes due 2026 are redeemable, in whole or in part, at any time prior to June 1, 2026 (the “2026 Par Call Date”) at a redemption price equal to 100% of the principal amount plus a “make-whole” premium, as defined in the related indenture, together with accrued and unpaid interest. At any time on or after the 2026 Par Call Date, we may redeem the 5 1/4% Senior Secured Notes due 2026, in whole at any time or in part from time to time, at a price equal to 100% of the principal amount thereof, plus accrued and unpaid interest, if any, to the redemption date. Prior to December 1, 2024, we may also redeem up to 35% of the 5 1/4% Senior Secured Notes due 2026 at a specified premium with the net cash proceeds from certain equity offerings or capital contributions. At any time and from time to time during the 36-month period following the issue date of the 5 1/4% Senior Secured Notes due 2026,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 3/4% Senior Secured Notes due 2028</w:t>
      </w:r>
    </w:p>
    <w:p>
      <w:pPr>
        <w:spacing w:after="0" w:line="196" w:lineRule="exact"/>
        <w:rPr>
          <w:sz w:val="20"/>
          <w:szCs w:val="20"/>
          <w:color w:val="auto"/>
        </w:rPr>
      </w:pPr>
    </w:p>
    <w:p>
      <w:pPr>
        <w:ind w:left="200" w:right="259"/>
        <w:spacing w:after="0" w:line="253" w:lineRule="auto"/>
        <w:rPr>
          <w:sz w:val="20"/>
          <w:szCs w:val="20"/>
          <w:color w:val="auto"/>
        </w:rPr>
      </w:pPr>
      <w:r>
        <w:rPr>
          <w:rFonts w:ascii="Arial" w:cs="Arial" w:eastAsia="Arial" w:hAnsi="Arial"/>
          <w:sz w:val="18"/>
          <w:szCs w:val="18"/>
          <w:color w:val="auto"/>
        </w:rPr>
        <w:t>On November 26, 2021, we issued $2.5 billion aggregate principal amount of our 5 3/4% Senior Secured Notes due December 1, 2028. Interest accrues at an annual rate of 5 3/4% and is payable semi-annually in cash, in arrears on June 1 and December 1 of each year.</w:t>
      </w:r>
    </w:p>
    <w:p>
      <w:pPr>
        <w:spacing w:after="0" w:line="155" w:lineRule="exact"/>
        <w:rPr>
          <w:sz w:val="20"/>
          <w:szCs w:val="20"/>
          <w:color w:val="auto"/>
        </w:rPr>
      </w:pPr>
    </w:p>
    <w:p>
      <w:pPr>
        <w:ind w:left="200" w:right="299"/>
        <w:spacing w:after="0" w:line="238" w:lineRule="auto"/>
        <w:rPr>
          <w:sz w:val="20"/>
          <w:szCs w:val="20"/>
          <w:color w:val="auto"/>
        </w:rPr>
      </w:pPr>
      <w:r>
        <w:rPr>
          <w:rFonts w:ascii="Arial" w:cs="Arial" w:eastAsia="Arial" w:hAnsi="Arial"/>
          <w:sz w:val="18"/>
          <w:szCs w:val="18"/>
          <w:color w:val="auto"/>
        </w:rPr>
        <w:t>The 5 3/4% Senior Secured Notes due 2028 are redeemable, in whole or in part, at any time prior to December 1, 2027 (the “2028 Par Call Date”) at a redemption price equal to 100% of the principal amount plus a “make-whole” premium, as defined in the related indenture, together with accrued and unpaid interest. At any time on or after the 2028 Par Call Date, we may redeem the 5 3/4% Senior Secured Notes due 2028, in whole at any time or in part from time to time, at a price equal to 100% of the principal amount thereof, plus accrued and unpaid interest, if any, to the redemption date. Prior to December 1, 2024, we may also redeem up to 35% of the 5 3/4% Senior Secured Notes due 2028 at a specified premium with the net cash proceeds from certain equity offerings or capital contributions. At any time and from time to time during the 36-month period following the issue date of the 5 3/4% Senior Secured Notes due 2028,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7" w:name="page128"/>
    <w:bookmarkEnd w:id="12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DISH Network Senior Secured Notes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DISH Network Senior Secured Notes are:</w:t>
      </w:r>
    </w:p>
    <w:p>
      <w:pPr>
        <w:spacing w:after="0" w:line="198" w:lineRule="exact"/>
        <w:rPr>
          <w:sz w:val="20"/>
          <w:szCs w:val="20"/>
          <w:color w:val="auto"/>
        </w:rPr>
      </w:pPr>
    </w:p>
    <w:p>
      <w:pPr>
        <w:ind w:left="880" w:right="279" w:hanging="320"/>
        <w:spacing w:after="0" w:line="244" w:lineRule="auto"/>
        <w:tabs>
          <w:tab w:leader="none" w:pos="88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senior unsecured obligations and guaranteed by certain restricted subsidiaries on a senior secured basis and certain other material subsidiaries;</w:t>
      </w:r>
    </w:p>
    <w:p>
      <w:pPr>
        <w:spacing w:after="0" w:line="1" w:lineRule="exact"/>
        <w:rPr>
          <w:rFonts w:ascii="Times New Roman" w:cs="Times New Roman" w:eastAsia="Times New Roman" w:hAnsi="Times New Roman"/>
          <w:sz w:val="18"/>
          <w:szCs w:val="18"/>
          <w:color w:val="auto"/>
        </w:rPr>
      </w:pPr>
    </w:p>
    <w:p>
      <w:pPr>
        <w:ind w:left="880" w:right="219" w:hanging="320"/>
        <w:spacing w:after="0" w:line="234" w:lineRule="auto"/>
        <w:tabs>
          <w:tab w:leader="none" w:pos="88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secured on a first priority basis by security interests, in favor of the secured parties, in the collateral, which consists primarily of interests in wireless spectrum licenses within the 600 MHz band (“the Spectrum Collateral”) owned by one of the secured guarantors and any additional subsidiaries of ours that may be added as guarantors from time to time and equity interests in the Spectrum Collateral guarantor(s) and DISH DBS;</w:t>
      </w:r>
    </w:p>
    <w:p>
      <w:pPr>
        <w:spacing w:after="0" w:line="2" w:lineRule="exact"/>
        <w:rPr>
          <w:rFonts w:ascii="Times New Roman" w:cs="Times New Roman" w:eastAsia="Times New Roman" w:hAnsi="Times New Roman"/>
          <w:sz w:val="18"/>
          <w:szCs w:val="18"/>
          <w:color w:val="auto"/>
        </w:rPr>
      </w:pPr>
    </w:p>
    <w:p>
      <w:pPr>
        <w:ind w:left="880" w:right="659" w:hanging="320"/>
        <w:spacing w:after="0" w:line="234" w:lineRule="auto"/>
        <w:tabs>
          <w:tab w:leader="none" w:pos="88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and the guarantor’s existing and future senior indebtedness;</w:t>
      </w:r>
    </w:p>
    <w:p>
      <w:pPr>
        <w:ind w:left="880" w:right="299" w:hanging="320"/>
        <w:spacing w:after="0" w:line="234" w:lineRule="auto"/>
        <w:tabs>
          <w:tab w:leader="none" w:pos="88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of our and the guarantors’ subordinated indebtedness and effectively senior to any of the Secured Guarantors unsecured indebtedness and indebtedness secured by junior liens on the collateral to the extent of the value of the collateral and effectively junior to all the existing and future obligations of any of our subsidiaries that are not Guarantors.</w:t>
      </w:r>
    </w:p>
    <w:p>
      <w:pPr>
        <w:spacing w:after="0" w:line="1" w:lineRule="exact"/>
        <w:rPr>
          <w:rFonts w:ascii="Times New Roman" w:cs="Times New Roman" w:eastAsia="Times New Roman" w:hAnsi="Times New Roman"/>
          <w:sz w:val="18"/>
          <w:szCs w:val="18"/>
          <w:color w:val="auto"/>
        </w:rPr>
      </w:pPr>
    </w:p>
    <w:p>
      <w:pPr>
        <w:ind w:left="880" w:right="259" w:hanging="320"/>
        <w:spacing w:after="0" w:line="249" w:lineRule="auto"/>
        <w:tabs>
          <w:tab w:leader="none" w:pos="88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our obligations and the obligations of the guarantors that are secured by assets that do not constitute collateral to the extent of the value of such assets;</w:t>
      </w:r>
    </w:p>
    <w:p>
      <w:pPr>
        <w:spacing w:after="0" w:line="159" w:lineRule="exact"/>
        <w:rPr>
          <w:sz w:val="20"/>
          <w:szCs w:val="20"/>
          <w:color w:val="auto"/>
        </w:rPr>
      </w:pPr>
    </w:p>
    <w:p>
      <w:pPr>
        <w:ind w:left="200" w:right="279"/>
        <w:spacing w:after="0" w:line="271" w:lineRule="auto"/>
        <w:rPr>
          <w:sz w:val="20"/>
          <w:szCs w:val="20"/>
          <w:color w:val="auto"/>
        </w:rPr>
      </w:pPr>
      <w:r>
        <w:rPr>
          <w:rFonts w:ascii="Arial" w:cs="Arial" w:eastAsia="Arial" w:hAnsi="Arial"/>
          <w:sz w:val="18"/>
          <w:szCs w:val="18"/>
          <w:color w:val="auto"/>
        </w:rPr>
        <w:t>The indenture related to our DISH Network Senior Secured Notes contain restrictive covenants that, among other things, impose limitations on our ability and certain of our subsidiaries to:</w:t>
      </w:r>
    </w:p>
    <w:p>
      <w:pPr>
        <w:spacing w:after="0" w:line="140" w:lineRule="exact"/>
        <w:rPr>
          <w:sz w:val="20"/>
          <w:szCs w:val="20"/>
          <w:color w:val="auto"/>
        </w:rPr>
      </w:pPr>
    </w:p>
    <w:p>
      <w:pPr>
        <w:ind w:left="880" w:hanging="320"/>
        <w:spacing w:after="0"/>
        <w:tabs>
          <w:tab w:leader="none" w:pos="88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debt;</w:t>
      </w:r>
    </w:p>
    <w:p>
      <w:pPr>
        <w:spacing w:after="0" w:line="26"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or make distributions on our capital stock or repurchase our capital stock;</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 of Spectrum Collateral;</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 or enter into sale and leaseback transactions;</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 and</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or sell assets.</w:t>
      </w:r>
    </w:p>
    <w:p>
      <w:pPr>
        <w:spacing w:after="0" w:line="193" w:lineRule="exact"/>
        <w:rPr>
          <w:sz w:val="20"/>
          <w:szCs w:val="20"/>
          <w:color w:val="auto"/>
        </w:rPr>
      </w:pPr>
    </w:p>
    <w:p>
      <w:pPr>
        <w:ind w:left="200" w:right="419"/>
        <w:spacing w:after="0" w:line="247" w:lineRule="auto"/>
        <w:rPr>
          <w:sz w:val="20"/>
          <w:szCs w:val="20"/>
          <w:color w:val="auto"/>
        </w:rPr>
      </w:pPr>
      <w:r>
        <w:rPr>
          <w:rFonts w:ascii="Arial" w:cs="Arial" w:eastAsia="Arial" w:hAnsi="Arial"/>
          <w:sz w:val="18"/>
          <w:szCs w:val="18"/>
          <w:color w:val="auto"/>
        </w:rPr>
        <w:t>In the event of a change of control, as defined in the related indentures, we would be required to make an offer to repurchase all or any part of a holder’s DISH Network Senior Secured Notes at a purchase price equal to 101% of the aggregate principal amount thereof, together with accrued and unpaid interest thereon, to the date of repurchase.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11 3/4% Senior Secured Notes due 2027</w:t>
      </w:r>
    </w:p>
    <w:p>
      <w:pPr>
        <w:spacing w:after="0" w:line="196" w:lineRule="exact"/>
        <w:rPr>
          <w:sz w:val="20"/>
          <w:szCs w:val="20"/>
          <w:color w:val="auto"/>
        </w:rPr>
      </w:pPr>
    </w:p>
    <w:p>
      <w:pPr>
        <w:jc w:val="both"/>
        <w:ind w:left="200" w:right="799"/>
        <w:spacing w:after="0" w:line="247" w:lineRule="auto"/>
        <w:rPr>
          <w:sz w:val="20"/>
          <w:szCs w:val="20"/>
          <w:color w:val="auto"/>
        </w:rPr>
      </w:pPr>
      <w:r>
        <w:rPr>
          <w:rFonts w:ascii="Arial" w:cs="Arial" w:eastAsia="Arial" w:hAnsi="Arial"/>
          <w:sz w:val="18"/>
          <w:szCs w:val="18"/>
          <w:color w:val="auto"/>
        </w:rPr>
        <w:t>On November 15, 2022 and January 26, 2023, we issued $ 2.0 billion and $1.5 billion, respectively, aggregate principal amount of our 11 3/4% Senior Secured Notes due November 15, 2027. Interest accrues at an annual rate of 11 3/4% and is payable semi-annually in cash, in arrears on May 15 and November 15 of each year.</w:t>
      </w:r>
    </w:p>
    <w:p>
      <w:pPr>
        <w:spacing w:after="0" w:line="160" w:lineRule="exact"/>
        <w:rPr>
          <w:sz w:val="20"/>
          <w:szCs w:val="20"/>
          <w:color w:val="auto"/>
        </w:rPr>
      </w:pPr>
    </w:p>
    <w:p>
      <w:pPr>
        <w:ind w:left="200" w:right="319"/>
        <w:spacing w:after="0" w:line="239" w:lineRule="auto"/>
        <w:rPr>
          <w:sz w:val="20"/>
          <w:szCs w:val="20"/>
          <w:color w:val="auto"/>
        </w:rPr>
      </w:pPr>
      <w:r>
        <w:rPr>
          <w:rFonts w:ascii="Arial" w:cs="Arial" w:eastAsia="Arial" w:hAnsi="Arial"/>
          <w:sz w:val="18"/>
          <w:szCs w:val="18"/>
          <w:color w:val="auto"/>
        </w:rPr>
        <w:t>The 11 3/4% Senior Secured Notes due 2027 are redeemable, in whole or in part, at any time prior to May 15, 2025 at a redemption price equal to 100% of their principal amount plus a “make-whole” premium, as defined in the related indenture, together with accrued and unpaid interest. At any time on or after May 15, 2025, we may redeem the 11 3/4% Senior Secured Notes due 2027, in whole at any time or in part from time to time, at the redemption prices specified in the related indenture, together with accrued and unpaid interest, if any, to the redemption date. Prior to May 15, 2025, we may also redeem up to 40% of the 11 3/4% Senior Secured Notes due 2027 at a redemption price equal to 111.750% of the aggregate principal amount of the 11 3/4% Senior Secured Notes due 2027 redeemed, together with accrued and unpaid interest to such redemption date, with the net cash proceeds from certain equity offerings or capital contributions.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8" w:name="page129"/>
    <w:bookmarkEnd w:id="12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299"/>
        <w:spacing w:after="0" w:line="238" w:lineRule="auto"/>
        <w:rPr>
          <w:sz w:val="20"/>
          <w:szCs w:val="20"/>
          <w:color w:val="auto"/>
        </w:rPr>
      </w:pPr>
      <w:r>
        <w:rPr>
          <w:rFonts w:ascii="Arial" w:cs="Arial" w:eastAsia="Arial" w:hAnsi="Arial"/>
          <w:sz w:val="18"/>
          <w:szCs w:val="18"/>
          <w:color w:val="auto"/>
        </w:rPr>
        <w:t>Pursuant to the related indenture, we were required to obtain an initial appraisal of the Spectrum Collateral by an independent appraiser (the “Initial Appraisal”) within 120 days following the issue date of the 11 3/4% Senior Secured Notes due 2027. As of January 17, 2023, the Initial Appraisal certified we had satisfied the requirements under the loan-to-value ratio (as defined in the Indenture). Based on the independent appraisal, the loan-to-value ratio was not greater than 0.35 to 1.00 and the fair market value of the Spectrum Collateral was $10.04 billion. We will also be required to obtain a second appraisal of the Spectrum Collateral (a “Second Appraisal”) within 120 days of the date if wireless spectrum licenses that form part of the Spectrum Collateral accounting for more than 10% of the aggregate MHz-POPs of all such licenses constituting the Spectrum Collateral are forfeited to the FCC as a result of our failure to meet its buildout milestones with respect to such forfeited licenses. If we fail to deliver the Second Appraisal within 120 days following the date of forfeiture then we will be required to redeem all of the 11 3/4% Senior Secured Notes due 2027 at a redemption price equal to 102% of their principal amount, plus accrued and unpaid interest to, but excluding, the redemption date.</w:t>
      </w:r>
    </w:p>
    <w:p>
      <w:pPr>
        <w:spacing w:after="0" w:line="167" w:lineRule="exact"/>
        <w:rPr>
          <w:sz w:val="20"/>
          <w:szCs w:val="20"/>
          <w:color w:val="auto"/>
        </w:rPr>
      </w:pPr>
    </w:p>
    <w:p>
      <w:pPr>
        <w:ind w:left="200" w:right="219"/>
        <w:spacing w:after="0" w:line="239" w:lineRule="auto"/>
        <w:rPr>
          <w:sz w:val="20"/>
          <w:szCs w:val="20"/>
          <w:color w:val="auto"/>
        </w:rPr>
      </w:pPr>
      <w:r>
        <w:rPr>
          <w:rFonts w:ascii="Arial" w:cs="Arial" w:eastAsia="Arial" w:hAnsi="Arial"/>
          <w:sz w:val="18"/>
          <w:szCs w:val="18"/>
          <w:color w:val="auto"/>
        </w:rPr>
        <w:t>If the loan-to-value ratio with respect to the Spectrum Collateral, as of the date of the Second Appraisal is greater than 0.35 to 1.00, then within 90 days following the date of the delivery of the Second Appraisal we will be required to add additional Spectrum Collateral guarantors and/or pledge (or cause to be pledged) cash or interests in additional wireless spectrum licenses as Spectrum Collateral to comply with the required loan-to-value ratio of 0.35 to 1.00. If we fail to add such additional Spectrum Collateral and/or pledge (or cause to be pledged) cash or interests in additional wireless spectrum licenses, we will be required to redeem an amount of 11 3/4% Senior Secured Notes due 2027 such that immediately after giving effect to such redemption, the loan-to-value ratio shall not be greater than 0.35 to 1.00 at a redemption price equal to 102% of their principal amount, plus accrued and unpaid interest to, but excluding, the redemption date.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Intercompany Loans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DISH 2021 Intercompany Loan</w:t>
      </w:r>
    </w:p>
    <w:p>
      <w:pPr>
        <w:spacing w:after="0" w:line="196" w:lineRule="exact"/>
        <w:rPr>
          <w:sz w:val="20"/>
          <w:szCs w:val="20"/>
          <w:color w:val="auto"/>
        </w:rPr>
      </w:pPr>
    </w:p>
    <w:p>
      <w:pPr>
        <w:ind w:left="200" w:right="239"/>
        <w:spacing w:after="0" w:line="236" w:lineRule="auto"/>
        <w:rPr>
          <w:sz w:val="20"/>
          <w:szCs w:val="20"/>
          <w:color w:val="auto"/>
        </w:rPr>
      </w:pPr>
      <w:r>
        <w:rPr>
          <w:rFonts w:ascii="Arial" w:cs="Arial" w:eastAsia="Arial" w:hAnsi="Arial"/>
          <w:sz w:val="18"/>
          <w:szCs w:val="18"/>
          <w:color w:val="auto"/>
        </w:rPr>
        <w:t>The net proceeds from the offering of our 5 1/4% Senior Secured Notes due 2026 and our 5 3/4% Senior Secured Notes due 2028 (the “Senior Secured Notes”) issued on November 26, 2021 were used by DISH DBS to make an intercompany loan to DISH Network pursuant to a Loan and Security Agreement dated November 26, 2021 (together with potential future advances to DISH Network, the “DISH 2021 Intercompany Loan”) between DISH DBS and DISH Network in order to finance the purchase of wireless spectrum licenses and for general corporate purposes, including our 5G Network Deployment. The DISH 2021 Intercompany Loan matures in two tranches, with the first tranche maturing on December 1, 2026 (the “DISH 2021 Intercompany Loan 2026 Tranche”) and the second tranche maturing on December 1, 2028 (the “DISH 2021 Intercompany Loan 2028 Tranche”). DISH DBS may make additional advances to DISH Network under the DISH 2021 Intercompany Loan, and on February 11, 2022, DISH DBS advanced an additional $1.5 billion to DISH Network under the DISH 2021 Intercompany Loan 2026 Tranche. Interest accrues and is payable semiannually, and interest payments with respect to the DISH 2021 Intercompany Loan were, at our option, payable in kind for the first two years, from the issuance date of November 2021. In the third year post issuance date, a minimum of 50% of each interest payment due with respect to each tranche of the DISH 2021 Intercompany Loan were required to be paid in cash. Currently, interest payments must be paid in cash. Interest accrues: (a) when paid in cash, at a fixed rate of 0.25% per annum in excess of the interest rate applicable to, in the case of the DISH 2021 Intercompany Loan 2026 Tranche, the 5 1/4% Senior Secured Notes due 2026, and in the case of the DISH 2021 Intercompany Loan 2028 Tranche, the 5 3/4% Senior Secured Notes due 2028 (each, the “Cash Accrual Rate” with respect to the applicable tranche); and (b) when paid in kind, at a rate of 0.75% per annum in excess of the Cash Accrual Rate for the applicable tranche. As of December 31, 2024, the total DISH 2021 Intercompany Loan amount outstanding plus interest paid in kind was $7.612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9" w:name="page130"/>
    <w:bookmarkEnd w:id="12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639"/>
        <w:spacing w:after="0" w:line="253" w:lineRule="auto"/>
        <w:rPr>
          <w:sz w:val="20"/>
          <w:szCs w:val="20"/>
          <w:color w:val="auto"/>
        </w:rPr>
      </w:pPr>
      <w:r>
        <w:rPr>
          <w:rFonts w:ascii="Arial" w:cs="Arial" w:eastAsia="Arial" w:hAnsi="Arial"/>
          <w:sz w:val="18"/>
          <w:szCs w:val="18"/>
          <w:i w:val="1"/>
          <w:iCs w:val="1"/>
          <w:color w:val="auto"/>
        </w:rPr>
        <w:t xml:space="preserve">DISH 2021 Intercompany Loan 2028 Tranche. </w:t>
      </w:r>
      <w:r>
        <w:rPr>
          <w:rFonts w:ascii="Arial" w:cs="Arial" w:eastAsia="Arial" w:hAnsi="Arial"/>
          <w:sz w:val="18"/>
          <w:szCs w:val="18"/>
          <w:color w:val="auto"/>
        </w:rPr>
        <w:t>As of December 31, 2024, the DISH 2021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Loan 2028 Tranche amount outstanding plus interest paid in kind was $2.844 billion. The DISH 2021 Intercompany Loan 2028 Tranche is eliminated in consolidation.</w:t>
      </w:r>
    </w:p>
    <w:p>
      <w:pPr>
        <w:spacing w:after="0" w:line="155" w:lineRule="exact"/>
        <w:rPr>
          <w:sz w:val="20"/>
          <w:szCs w:val="20"/>
          <w:color w:val="auto"/>
        </w:rPr>
      </w:pPr>
    </w:p>
    <w:p>
      <w:pPr>
        <w:ind w:left="200" w:right="219"/>
        <w:spacing w:after="0" w:line="242" w:lineRule="auto"/>
        <w:rPr>
          <w:sz w:val="20"/>
          <w:szCs w:val="20"/>
          <w:color w:val="auto"/>
        </w:rPr>
      </w:pPr>
      <w:r>
        <w:rPr>
          <w:rFonts w:ascii="Arial" w:cs="Arial" w:eastAsia="Arial" w:hAnsi="Arial"/>
          <w:sz w:val="18"/>
          <w:szCs w:val="18"/>
          <w:i w:val="1"/>
          <w:iCs w:val="1"/>
          <w:color w:val="auto"/>
        </w:rPr>
        <w:t xml:space="preserve">DISH 2021 Intercompany Loan 2026 Tranche. </w:t>
      </w:r>
      <w:r>
        <w:rPr>
          <w:rFonts w:ascii="Arial" w:cs="Arial" w:eastAsia="Arial" w:hAnsi="Arial"/>
          <w:sz w:val="18"/>
          <w:szCs w:val="18"/>
          <w:color w:val="auto"/>
        </w:rPr>
        <w:t>In January 2024, DISH DBS assigned the DISH 2021</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Loan 2026 Tranche of $4.7 billion to EchoStar Intercompany Receivable Company L.L.C., our parent, EchoStar’s, direct wholly-owned subsidiary, such that amounts owed in respect of the DISH 2021 Intercompany Loan 2026 Tranche will now be paid by us to EchoStar Intercompany Receivable Company L.L.C. The DISH 2021 Intercompany Loan 2026 Tranche was previously eliminated in consolidation as it was held by DISH DBS.</w:t>
      </w:r>
    </w:p>
    <w:p>
      <w:pPr>
        <w:spacing w:after="0" w:line="165" w:lineRule="exact"/>
        <w:rPr>
          <w:sz w:val="20"/>
          <w:szCs w:val="20"/>
          <w:color w:val="auto"/>
        </w:rPr>
      </w:pPr>
    </w:p>
    <w:p>
      <w:pPr>
        <w:ind w:left="200" w:right="339"/>
        <w:spacing w:after="0" w:line="242" w:lineRule="auto"/>
        <w:rPr>
          <w:sz w:val="20"/>
          <w:szCs w:val="20"/>
          <w:color w:val="auto"/>
        </w:rPr>
      </w:pPr>
      <w:r>
        <w:rPr>
          <w:rFonts w:ascii="Arial" w:cs="Arial" w:eastAsia="Arial" w:hAnsi="Arial"/>
          <w:sz w:val="18"/>
          <w:szCs w:val="18"/>
          <w:color w:val="auto"/>
        </w:rPr>
        <w:t>As of December 31, 2024, the total DISH 2021 Intercompany Loan 2026 Tranche amount outstanding plus interest paid in kind was $4.767 billion, not including “DISH 2021 Intercompany Loan 2026 Tranche - Interest payable in cash” of $22 million recorded on our Consolidated Balance Sheets. During the year ended December 31, 2024, interest payments for the DISH 2021 Intercompany Loan 2026 Tranche paid in cash to EchoStar Intercompany Receivable Company L.L.C., a subsidiary of our parent, EchoStar, totaled $196 million.</w:t>
      </w:r>
    </w:p>
    <w:p>
      <w:pPr>
        <w:spacing w:after="0" w:line="165" w:lineRule="exact"/>
        <w:rPr>
          <w:sz w:val="20"/>
          <w:szCs w:val="20"/>
          <w:color w:val="auto"/>
        </w:rPr>
      </w:pPr>
    </w:p>
    <w:p>
      <w:pPr>
        <w:ind w:left="200" w:right="499"/>
        <w:spacing w:after="0"/>
        <w:rPr>
          <w:sz w:val="20"/>
          <w:szCs w:val="20"/>
          <w:color w:val="auto"/>
        </w:rPr>
      </w:pPr>
      <w:r>
        <w:rPr>
          <w:rFonts w:ascii="Arial" w:cs="Arial" w:eastAsia="Arial" w:hAnsi="Arial"/>
          <w:sz w:val="18"/>
          <w:szCs w:val="18"/>
          <w:color w:val="auto"/>
        </w:rPr>
        <w:t>The DISH 2021 Intercompany Loan is secured by Weminuche’s (our indirect wholly-owned subsidiary) interest in the wireless spectrum licenses for the 3.45-3.55 GHz Licenses up to the total loan amount outstanding including interest paid in kind. Pursuant to the terms of the DISH 2021 Intercompany Loan, under certain circumstances, DISH Network wireless spectrum licenses (valued based upon a third-party valuation) may be substituted for the collateral. The DISH 2021 Intercompany Loan is not included as collateral for the Senior Secured Notes, and the Senior Secured Notes are subordinated to DISH DBS’s existing and certain future unsecured notes with respect to certain realizations under the DISH 2021 Intercompany Loan and any collateral pledged as security for the DISH 2021 Intercompany Loan.</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DISH Q2 2024 Intercompany Loan</w:t>
      </w:r>
    </w:p>
    <w:p>
      <w:pPr>
        <w:spacing w:after="0" w:line="196" w:lineRule="exact"/>
        <w:rPr>
          <w:sz w:val="20"/>
          <w:szCs w:val="20"/>
          <w:color w:val="auto"/>
        </w:rPr>
      </w:pPr>
    </w:p>
    <w:p>
      <w:pPr>
        <w:ind w:left="220" w:right="419" w:hanging="12"/>
        <w:spacing w:after="0"/>
        <w:rPr>
          <w:sz w:val="20"/>
          <w:szCs w:val="20"/>
          <w:color w:val="auto"/>
        </w:rPr>
      </w:pPr>
      <w:r>
        <w:rPr>
          <w:rFonts w:ascii="Arial" w:cs="Arial" w:eastAsia="Arial" w:hAnsi="Arial"/>
          <w:sz w:val="18"/>
          <w:szCs w:val="18"/>
          <w:color w:val="auto"/>
        </w:rPr>
        <w:t>In June 2024, we entered into an intercompany loan with DISH DBS (the “DISH Q2 2024 Intercompany Loan”) for an initial principal amount of $1.508 billion. The DISH Q2 2024 Intercompany Loan matures on August 13, 2028. Interest accrues and is payable monthly and interest payments are payable in kind. The interest rate with respect to the DISH Q2 2024 Intercompany Loan is at a variable rate, subject to adjustments based on, among other things, the weighted average cost of borrowing for DISH DBS. As of December 31, 2024, the total DISH Q2 2024 Intercompany Loan amount outstanding plus interest paid in kind was $1.577 billion. The DISH Q2 2024 Intercompany Loan is eliminated in consolidation.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DISH Q3 2024 Intercompany Loan</w:t>
      </w:r>
    </w:p>
    <w:p>
      <w:pPr>
        <w:spacing w:after="0" w:line="196" w:lineRule="exact"/>
        <w:rPr>
          <w:sz w:val="20"/>
          <w:szCs w:val="20"/>
          <w:color w:val="auto"/>
        </w:rPr>
      </w:pPr>
    </w:p>
    <w:p>
      <w:pPr>
        <w:ind w:left="220" w:right="239" w:hanging="12"/>
        <w:spacing w:after="0"/>
        <w:rPr>
          <w:sz w:val="20"/>
          <w:szCs w:val="20"/>
          <w:color w:val="auto"/>
        </w:rPr>
      </w:pPr>
      <w:r>
        <w:rPr>
          <w:rFonts w:ascii="Arial" w:cs="Arial" w:eastAsia="Arial" w:hAnsi="Arial"/>
          <w:sz w:val="18"/>
          <w:szCs w:val="18"/>
          <w:color w:val="auto"/>
        </w:rPr>
        <w:t>In September 2024, we entered into an intercompany loan with DISH DBS (the “DISH Q3 2024 Intercompany Loan”) for an initial principal amount of $481 million. The DISH Q3 2024 Intercompany Loan matures on November 13, 2028. Interest accrues and is payable monthly and interest payments are payable in kind. The interest rate with respect to the DISH Q3 2024 Intercompany Loan is at a variable rate, subject to adjustments based on, among other things, the weighted average cost of borrowing for DISH DBS. As of December 31, 2024, the total DISH Q3 2024 Intercompany Loan amount outstanding plus interest paid in kind was $493 million. The DISH Q3 2024 Intercompany Loan is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0" w:name="page131"/>
    <w:bookmarkEnd w:id="13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EchoStar 2024 Intercompany Loan</w:t>
      </w:r>
    </w:p>
    <w:p>
      <w:pPr>
        <w:spacing w:after="0" w:line="196" w:lineRule="exact"/>
        <w:rPr>
          <w:sz w:val="20"/>
          <w:szCs w:val="20"/>
          <w:color w:val="auto"/>
        </w:rPr>
      </w:pPr>
    </w:p>
    <w:p>
      <w:pPr>
        <w:ind w:left="220" w:right="239" w:hanging="12"/>
        <w:spacing w:after="0" w:line="239" w:lineRule="auto"/>
        <w:rPr>
          <w:sz w:val="20"/>
          <w:szCs w:val="20"/>
          <w:color w:val="auto"/>
        </w:rPr>
      </w:pPr>
      <w:r>
        <w:rPr>
          <w:rFonts w:ascii="Arial" w:cs="Arial" w:eastAsia="Arial" w:hAnsi="Arial"/>
          <w:sz w:val="18"/>
          <w:szCs w:val="18"/>
          <w:color w:val="auto"/>
        </w:rPr>
        <w:t>In November 2024, DISH Wireless L.L.C., our subsidiary, entered into an intercompany loan with EchoStar Financing L.L.C., a subsidiary of our parent, EchoStar, (the “EchoStar 2024 Intercompany Loan”) for a borrowing principal amount of up to $4.500 billion, with all borrowings at the sole discretion of our parent, EchoStar. The EchoStar 2024 Intercompany Loan matures on November 30, 2030. Interest accrues at an annual rate of 11.50% and is payable monthly. Interest payments are payable in kind. DISH Wireless L.L.C., at its option, may elect to repay the EchoStar 2024 Intercompany Loan amount outstanding prior to maturity in cash or assets at a redemption price equal to 100% of the principal amount. As of December 31, 2024, the total EchoStar 2024 Intercompany Loan amount outstanding plus interest paid in kind was $ 1.015 billion. During the year ended December 31, 2024, we recorded $5 million of “Interest expense, net of amounts capitalized” on our Consolidated Statements of Operations and Comprehensive Income (Loss).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on Long-Term Debt</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Annual</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Semi-Annual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Debt Service</w:t>
            </w: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Issuer</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rPr>
              <w:t>Payment Dates</w:t>
            </w:r>
          </w:p>
        </w:tc>
        <w:tc>
          <w:tcPr>
            <w:tcW w:w="20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Requirements (1)</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50"/>
              <w:spacing w:after="0" w:line="196" w:lineRule="exact"/>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7</w:t>
            </w:r>
          </w:p>
        </w:tc>
        <w:tc>
          <w:tcPr>
            <w:tcW w:w="3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3/4% Senior Notes due 2026</w:t>
            </w:r>
          </w:p>
        </w:tc>
        <w:tc>
          <w:tcPr>
            <w:tcW w:w="84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9"/>
              </w:rPr>
              <w:t>DDBS</w:t>
            </w:r>
          </w:p>
        </w:tc>
        <w:tc>
          <w:tcPr>
            <w:tcW w:w="2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January 1 and July 1</w:t>
            </w:r>
          </w:p>
        </w:tc>
        <w:tc>
          <w:tcPr>
            <w:tcW w:w="3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155,000</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3</w:t>
            </w:r>
          </w:p>
        </w:tc>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3/8% Convertible Notes due 2026 (2)</w:t>
            </w:r>
          </w:p>
        </w:tc>
        <w:tc>
          <w:tcPr>
            <w:tcW w:w="8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7"/>
              </w:rPr>
              <w:t>DISH</w:t>
            </w:r>
          </w:p>
        </w:tc>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February 15 and August 15</w:t>
            </w:r>
          </w:p>
        </w:tc>
        <w:tc>
          <w:tcPr>
            <w:tcW w:w="3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1,526</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5</w:t>
            </w:r>
          </w:p>
        </w:tc>
        <w:tc>
          <w:tcPr>
            <w:tcW w:w="3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 Senior Secured Notes due 2026</w:t>
            </w:r>
          </w:p>
        </w:tc>
        <w:tc>
          <w:tcPr>
            <w:tcW w:w="84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9"/>
              </w:rPr>
              <w:t>DDBS</w:t>
            </w:r>
          </w:p>
        </w:tc>
        <w:tc>
          <w:tcPr>
            <w:tcW w:w="2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June 1 and December 1</w:t>
            </w:r>
          </w:p>
        </w:tc>
        <w:tc>
          <w:tcPr>
            <w:tcW w:w="3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144,375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11 3/4% Senior Secured Notes due 2027</w:t>
            </w:r>
          </w:p>
        </w:tc>
        <w:tc>
          <w:tcPr>
            <w:tcW w:w="8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7"/>
              </w:rPr>
              <w:t>DISH</w:t>
            </w:r>
          </w:p>
        </w:tc>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15 and November 15</w:t>
            </w:r>
          </w:p>
        </w:tc>
        <w:tc>
          <w:tcPr>
            <w:tcW w:w="3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411,250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7</w:t>
            </w:r>
          </w:p>
        </w:tc>
        <w:tc>
          <w:tcPr>
            <w:tcW w:w="3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3/8% Senior Notes due 2028</w:t>
            </w:r>
          </w:p>
        </w:tc>
        <w:tc>
          <w:tcPr>
            <w:tcW w:w="84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9"/>
              </w:rPr>
              <w:t>DDBS</w:t>
            </w:r>
          </w:p>
        </w:tc>
        <w:tc>
          <w:tcPr>
            <w:tcW w:w="2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January 1 and July 1</w:t>
            </w:r>
          </w:p>
        </w:tc>
        <w:tc>
          <w:tcPr>
            <w:tcW w:w="3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73,750</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5</w:t>
            </w:r>
          </w:p>
        </w:tc>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3/4% Senior Secured Notes due 2028</w:t>
            </w:r>
          </w:p>
        </w:tc>
        <w:tc>
          <w:tcPr>
            <w:tcW w:w="8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DDBS</w:t>
            </w:r>
          </w:p>
        </w:tc>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June 1 and December 1</w:t>
            </w:r>
          </w:p>
        </w:tc>
        <w:tc>
          <w:tcPr>
            <w:tcW w:w="3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143,750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5</w:t>
            </w:r>
          </w:p>
        </w:tc>
        <w:tc>
          <w:tcPr>
            <w:tcW w:w="3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1/8% Senior Notes due 2029</w:t>
            </w:r>
          </w:p>
        </w:tc>
        <w:tc>
          <w:tcPr>
            <w:tcW w:w="84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9"/>
              </w:rPr>
              <w:t>DDBS</w:t>
            </w:r>
          </w:p>
        </w:tc>
        <w:tc>
          <w:tcPr>
            <w:tcW w:w="2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June 1 and December 1</w:t>
            </w:r>
          </w:p>
        </w:tc>
        <w:tc>
          <w:tcPr>
            <w:tcW w:w="3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76,875</w:t>
            </w:r>
          </w:p>
        </w:tc>
        <w:tc>
          <w:tcPr>
            <w:tcW w:w="80" w:type="dxa"/>
            <w:vAlign w:val="bottom"/>
            <w:shd w:val="clear" w:color="auto" w:fill="CCEEFF"/>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DISH 2021 Intercompany Loan 2026 Tranche</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DISH</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June 1 and December 1</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262,201</w:t>
            </w:r>
          </w:p>
        </w:tc>
        <w:tc>
          <w:tcPr>
            <w:tcW w:w="80" w:type="dxa"/>
            <w:vAlign w:val="bottom"/>
          </w:tcPr>
          <w:p>
            <w:pPr>
              <w:spacing w:after="0"/>
              <w:rPr>
                <w:sz w:val="20"/>
                <w:szCs w:val="20"/>
                <w:color w:val="auto"/>
              </w:rPr>
            </w:pPr>
          </w:p>
        </w:tc>
      </w:tr>
    </w:tbl>
    <w:p>
      <w:pPr>
        <w:spacing w:after="0" w:line="147" w:lineRule="exact"/>
        <w:rPr>
          <w:sz w:val="20"/>
          <w:szCs w:val="20"/>
          <w:color w:val="auto"/>
        </w:rPr>
      </w:pPr>
    </w:p>
    <w:p>
      <w:pPr>
        <w:ind w:left="540" w:right="859" w:hanging="331"/>
        <w:spacing w:after="0" w:line="245" w:lineRule="auto"/>
        <w:tabs>
          <w:tab w:leader="none" w:pos="540" w:val="left"/>
        </w:tabs>
        <w:numPr>
          <w:ilvl w:val="0"/>
          <w:numId w:val="73"/>
        </w:numPr>
        <w:rPr>
          <w:rFonts w:ascii="Arial" w:cs="Arial" w:eastAsia="Arial" w:hAnsi="Arial"/>
          <w:sz w:val="18"/>
          <w:szCs w:val="18"/>
          <w:color w:val="222222"/>
        </w:rPr>
      </w:pPr>
      <w:r>
        <w:rPr>
          <w:rFonts w:ascii="Arial" w:cs="Arial" w:eastAsia="Arial" w:hAnsi="Arial"/>
          <w:sz w:val="18"/>
          <w:szCs w:val="18"/>
          <w:color w:val="222222"/>
        </w:rPr>
        <w:t xml:space="preserve">Annual debt service requirements exclude the interest on the New DISH DBS Financing and the </w:t>
      </w:r>
      <w:r>
        <w:rPr>
          <w:rFonts w:ascii="Arial" w:cs="Arial" w:eastAsia="Arial" w:hAnsi="Arial"/>
          <w:sz w:val="18"/>
          <w:szCs w:val="18"/>
          <w:color w:val="000000"/>
        </w:rPr>
        <w:t>EchoStar 2024 Intercompany Loan</w:t>
      </w:r>
      <w:r>
        <w:rPr>
          <w:rFonts w:ascii="Arial" w:cs="Arial" w:eastAsia="Arial" w:hAnsi="Arial"/>
          <w:sz w:val="18"/>
          <w:szCs w:val="18"/>
          <w:color w:val="222222"/>
        </w:rPr>
        <w:t>, discussed below.</w:t>
      </w:r>
    </w:p>
    <w:p>
      <w:pPr>
        <w:ind w:left="540" w:right="639" w:hanging="331"/>
        <w:spacing w:after="0" w:line="242" w:lineRule="auto"/>
        <w:tabs>
          <w:tab w:leader="none" w:pos="540" w:val="left"/>
        </w:tabs>
        <w:numPr>
          <w:ilvl w:val="0"/>
          <w:numId w:val="73"/>
        </w:numPr>
        <w:rPr>
          <w:rFonts w:ascii="Arial" w:cs="Arial" w:eastAsia="Arial" w:hAnsi="Arial"/>
          <w:sz w:val="18"/>
          <w:szCs w:val="18"/>
          <w:color w:val="222222"/>
        </w:rPr>
      </w:pPr>
      <w:r>
        <w:rPr>
          <w:rFonts w:ascii="Arial" w:cs="Arial" w:eastAsia="Arial" w:hAnsi="Arial"/>
          <w:sz w:val="18"/>
          <w:szCs w:val="18"/>
          <w:color w:val="222222"/>
        </w:rPr>
        <w:t xml:space="preserve">As of December 31, 2024, a total of $45 million aggregate principal amount of </w:t>
      </w:r>
      <w:r>
        <w:rPr>
          <w:rFonts w:ascii="Arial" w:cs="Arial" w:eastAsia="Arial" w:hAnsi="Arial"/>
          <w:sz w:val="18"/>
          <w:szCs w:val="18"/>
          <w:color w:val="000000"/>
        </w:rPr>
        <w:t>3 3/8% Convertible</w:t>
      </w:r>
      <w:r>
        <w:rPr>
          <w:rFonts w:ascii="Arial" w:cs="Arial" w:eastAsia="Arial" w:hAnsi="Arial"/>
          <w:sz w:val="18"/>
          <w:szCs w:val="18"/>
          <w:color w:val="222222"/>
        </w:rPr>
        <w:t xml:space="preserve"> </w:t>
      </w:r>
      <w:r>
        <w:rPr>
          <w:rFonts w:ascii="Arial" w:cs="Arial" w:eastAsia="Arial" w:hAnsi="Arial"/>
          <w:sz w:val="18"/>
          <w:szCs w:val="18"/>
          <w:color w:val="000000"/>
        </w:rPr>
        <w:t xml:space="preserve">Notes due 2026 </w:t>
      </w:r>
      <w:r>
        <w:rPr>
          <w:rFonts w:ascii="Arial" w:cs="Arial" w:eastAsia="Arial" w:hAnsi="Arial"/>
          <w:sz w:val="18"/>
          <w:szCs w:val="18"/>
          <w:color w:val="222222"/>
        </w:rPr>
        <w:t>remain outstanding following the consummation of the EchoStar Exchange Offers.</w:t>
      </w:r>
      <w:r>
        <w:rPr>
          <w:rFonts w:ascii="Arial" w:cs="Arial" w:eastAsia="Arial" w:hAnsi="Arial"/>
          <w:sz w:val="18"/>
          <w:szCs w:val="18"/>
          <w:color w:val="000000"/>
        </w:rPr>
        <w:t xml:space="preserve"> </w:t>
      </w:r>
      <w:r>
        <w:rPr>
          <w:rFonts w:ascii="Arial" w:cs="Arial" w:eastAsia="Arial" w:hAnsi="Arial"/>
          <w:sz w:val="18"/>
          <w:szCs w:val="18"/>
          <w:color w:val="222222"/>
        </w:rPr>
        <w:t>See above for further information.</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on the New DISH DBS Financing and the EchoStar 2024 Intercompany Loan</w:t>
      </w:r>
    </w:p>
    <w:p>
      <w:pPr>
        <w:spacing w:after="0" w:line="196" w:lineRule="exact"/>
        <w:rPr>
          <w:sz w:val="20"/>
          <w:szCs w:val="20"/>
          <w:color w:val="auto"/>
        </w:rPr>
      </w:pPr>
    </w:p>
    <w:p>
      <w:pPr>
        <w:ind w:left="200" w:right="399"/>
        <w:spacing w:after="0" w:line="242" w:lineRule="auto"/>
        <w:rPr>
          <w:sz w:val="20"/>
          <w:szCs w:val="20"/>
          <w:color w:val="auto"/>
        </w:rPr>
      </w:pPr>
      <w:r>
        <w:rPr>
          <w:rFonts w:ascii="Arial" w:cs="Arial" w:eastAsia="Arial" w:hAnsi="Arial"/>
          <w:sz w:val="18"/>
          <w:szCs w:val="18"/>
          <w:i w:val="1"/>
          <w:iCs w:val="1"/>
          <w:color w:val="auto"/>
        </w:rPr>
        <w:t xml:space="preserve">New DISH DBS Financing. </w:t>
      </w:r>
      <w:r>
        <w:rPr>
          <w:rFonts w:ascii="Arial" w:cs="Arial" w:eastAsia="Arial" w:hAnsi="Arial"/>
          <w:sz w:val="18"/>
          <w:szCs w:val="18"/>
          <w:color w:val="222222"/>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Loans and the Mandatorily Redeemable Preferred Shares due 2029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variable interest rates and payment terms upon which </w:t>
      </w:r>
      <w:r>
        <w:rPr>
          <w:rFonts w:ascii="Arial" w:cs="Arial" w:eastAsia="Arial" w:hAnsi="Arial"/>
          <w:sz w:val="18"/>
          <w:szCs w:val="18"/>
          <w:color w:val="222222"/>
        </w:rPr>
        <w:t>we may pay a portion of</w:t>
      </w:r>
      <w:r>
        <w:rPr>
          <w:rFonts w:ascii="Arial" w:cs="Arial" w:eastAsia="Arial" w:hAnsi="Arial"/>
          <w:sz w:val="18"/>
          <w:szCs w:val="18"/>
          <w:color w:val="auto"/>
        </w:rPr>
        <w:t xml:space="preserve"> principal balance based on estimated </w:t>
      </w:r>
      <w:r>
        <w:rPr>
          <w:rFonts w:ascii="Arial" w:cs="Arial" w:eastAsia="Arial" w:hAnsi="Arial"/>
          <w:sz w:val="18"/>
          <w:szCs w:val="18"/>
          <w:color w:val="222222"/>
        </w:rPr>
        <w:t>variable cash flows for certain Pay-TV business metrics which could change</w:t>
      </w:r>
      <w:r>
        <w:rPr>
          <w:rFonts w:ascii="Arial" w:cs="Arial" w:eastAsia="Arial" w:hAnsi="Arial"/>
          <w:sz w:val="18"/>
          <w:szCs w:val="18"/>
          <w:color w:val="auto"/>
        </w:rPr>
        <w:t xml:space="preserve"> </w:t>
      </w:r>
      <w:r>
        <w:rPr>
          <w:rFonts w:ascii="Arial" w:cs="Arial" w:eastAsia="Arial" w:hAnsi="Arial"/>
          <w:sz w:val="18"/>
          <w:szCs w:val="18"/>
          <w:color w:val="222222"/>
        </w:rPr>
        <w:t xml:space="preserve">significantly based on actual performance. </w:t>
      </w:r>
      <w:r>
        <w:rPr>
          <w:rFonts w:ascii="Arial" w:cs="Arial" w:eastAsia="Arial" w:hAnsi="Arial"/>
          <w:sz w:val="18"/>
          <w:szCs w:val="18"/>
          <w:color w:val="000000"/>
        </w:rPr>
        <w:t>The estimated annual interest requirement for the Term Loans</w:t>
      </w:r>
      <w:r>
        <w:rPr>
          <w:rFonts w:ascii="Arial" w:cs="Arial" w:eastAsia="Arial" w:hAnsi="Arial"/>
          <w:sz w:val="18"/>
          <w:szCs w:val="18"/>
          <w:color w:val="222222"/>
        </w:rPr>
        <w:t xml:space="preserve"> </w:t>
      </w:r>
      <w:r>
        <w:rPr>
          <w:rFonts w:ascii="Arial" w:cs="Arial" w:eastAsia="Arial" w:hAnsi="Arial"/>
          <w:sz w:val="18"/>
          <w:szCs w:val="18"/>
          <w:color w:val="000000"/>
        </w:rPr>
        <w:t>and the Mandatorily Redeemable Preferred Shares due 2029 for the year ended December 31, 2025 is approximately $245 million.</w:t>
      </w:r>
    </w:p>
    <w:p>
      <w:pPr>
        <w:spacing w:after="0" w:line="165" w:lineRule="exact"/>
        <w:rPr>
          <w:sz w:val="20"/>
          <w:szCs w:val="20"/>
          <w:color w:val="auto"/>
        </w:rPr>
      </w:pPr>
    </w:p>
    <w:p>
      <w:pPr>
        <w:ind w:left="200" w:right="319"/>
        <w:spacing w:after="0" w:line="242" w:lineRule="auto"/>
        <w:rPr>
          <w:sz w:val="20"/>
          <w:szCs w:val="20"/>
          <w:color w:val="auto"/>
        </w:rPr>
      </w:pPr>
      <w:r>
        <w:rPr>
          <w:rFonts w:ascii="Arial" w:cs="Arial" w:eastAsia="Arial" w:hAnsi="Arial"/>
          <w:sz w:val="18"/>
          <w:szCs w:val="18"/>
          <w:i w:val="1"/>
          <w:iCs w:val="1"/>
          <w:color w:val="auto"/>
        </w:rPr>
        <w:t xml:space="preserve">EchoStar 2024 Intercompany Loan. </w:t>
      </w:r>
      <w:r>
        <w:rPr>
          <w:rFonts w:ascii="Arial" w:cs="Arial" w:eastAsia="Arial" w:hAnsi="Arial"/>
          <w:sz w:val="18"/>
          <w:szCs w:val="18"/>
          <w:color w:val="auto"/>
        </w:rPr>
        <w:t>The EchoStar 2024 Intercompany Loan due November 30, 2030 has a</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principal amount of up to $4.500 billion, with all borrowings at the sole discretion of our parent, EchoStar. Based on the December 31, 2024 amount outstanding plus interest paid in kind of $1.015 billion and assuming all future interest payments are paid in kind at the annual interest rate detailed above, the annual interest requirement for the EchoStar 2024 Intercompany Loan for the year ended December 31, 2025 is $123 million.</w:t>
      </w:r>
    </w:p>
    <w:p>
      <w:pPr>
        <w:spacing w:after="0" w:line="165" w:lineRule="exact"/>
        <w:rPr>
          <w:sz w:val="20"/>
          <w:szCs w:val="20"/>
          <w:color w:val="auto"/>
        </w:rPr>
      </w:pPr>
    </w:p>
    <w:p>
      <w:pPr>
        <w:ind w:left="200" w:right="379"/>
        <w:spacing w:after="0" w:line="301" w:lineRule="auto"/>
        <w:rPr>
          <w:sz w:val="20"/>
          <w:szCs w:val="20"/>
          <w:color w:val="auto"/>
        </w:rPr>
      </w:pPr>
      <w:r>
        <w:rPr>
          <w:rFonts w:ascii="Arial" w:cs="Arial" w:eastAsia="Arial" w:hAnsi="Arial"/>
          <w:sz w:val="17"/>
          <w:szCs w:val="17"/>
          <w:color w:val="auto"/>
        </w:rPr>
        <w:t>Our ability to meet our debt service requirements will depend on, among other factors, the successful execution of our business strategy, which is subject to uncertainties and contingencies beyond our control.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1" w:name="page132"/>
    <w:bookmarkEnd w:id="13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Debt, Finance Lease and Other Obligations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debt, finance lease and other obligations consisted of the following:</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rPr>
              <w:t>As of December 31,</w:t>
            </w:r>
          </w:p>
        </w:tc>
      </w:tr>
      <w:tr>
        <w:trPr>
          <w:trHeight w:val="189"/>
        </w:trPr>
        <w:tc>
          <w:tcPr>
            <w:tcW w:w="65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right"/>
              <w:ind w:right="379"/>
              <w:spacing w:after="0" w:line="169"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4"/>
                <w:szCs w:val="14"/>
                <w:color w:val="auto"/>
              </w:rPr>
            </w:pP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Satellites and other finance lease obligations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67,199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123,658</w:t>
            </w:r>
          </w:p>
        </w:tc>
        <w:tc>
          <w:tcPr>
            <w:tcW w:w="60" w:type="dxa"/>
            <w:vAlign w:val="bottom"/>
            <w:shd w:val="clear" w:color="auto" w:fill="CCEEFF"/>
          </w:tcPr>
          <w:p>
            <w:pPr>
              <w:spacing w:after="0"/>
              <w:rPr>
                <w:sz w:val="16"/>
                <w:szCs w:val="16"/>
                <w:color w:val="auto"/>
              </w:rPr>
            </w:pP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Notes payable related to satellite vendor financing and other debt payable in installments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6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through 2032 with interest rates ranging from approximately 4% to 6%</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63,297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113,564</w:t>
            </w:r>
          </w:p>
        </w:tc>
        <w:tc>
          <w:tcPr>
            <w:tcW w:w="60" w:type="dxa"/>
            <w:vAlign w:val="bottom"/>
            <w:tcBorders>
              <w:bottom w:val="single" w:sz="8" w:color="CCEEFF"/>
            </w:tcBorders>
          </w:tcPr>
          <w:p>
            <w:pPr>
              <w:spacing w:after="0"/>
              <w:rPr>
                <w:sz w:val="17"/>
                <w:szCs w:val="17"/>
                <w:color w:val="auto"/>
              </w:rPr>
            </w:pPr>
          </w:p>
        </w:tc>
      </w:tr>
      <w:tr>
        <w:trPr>
          <w:trHeight w:val="183"/>
        </w:trPr>
        <w:tc>
          <w:tcPr>
            <w:tcW w:w="65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130,496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237,222</w:t>
            </w:r>
          </w:p>
        </w:tc>
        <w:tc>
          <w:tcPr>
            <w:tcW w:w="60" w:type="dxa"/>
            <w:vAlign w:val="bottom"/>
            <w:shd w:val="clear" w:color="auto" w:fill="CCEEFF"/>
          </w:tcPr>
          <w:p>
            <w:pPr>
              <w:spacing w:after="0"/>
              <w:rPr>
                <w:sz w:val="15"/>
                <w:szCs w:val="15"/>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Less: current portion</w:t>
            </w:r>
          </w:p>
        </w:tc>
        <w:tc>
          <w:tcPr>
            <w:tcW w:w="1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(59,947)</w:t>
            </w:r>
          </w:p>
        </w:tc>
        <w:tc>
          <w:tcPr>
            <w:tcW w:w="1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(107,717)</w:t>
            </w:r>
          </w:p>
        </w:tc>
      </w:tr>
      <w:tr>
        <w:trPr>
          <w:trHeight w:val="183"/>
        </w:trPr>
        <w:tc>
          <w:tcPr>
            <w:tcW w:w="65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Other long-term debt, finance lease and other obligations, net of current portion</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70,549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129,505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Lease Obligations</w:t>
      </w:r>
    </w:p>
    <w:p>
      <w:pPr>
        <w:spacing w:after="0" w:line="156" w:lineRule="exact"/>
        <w:rPr>
          <w:sz w:val="20"/>
          <w:szCs w:val="20"/>
          <w:color w:val="auto"/>
        </w:rPr>
      </w:pPr>
    </w:p>
    <w:p>
      <w:pPr>
        <w:ind w:left="200" w:right="319"/>
        <w:spacing w:after="0" w:line="244" w:lineRule="auto"/>
        <w:rPr>
          <w:sz w:val="20"/>
          <w:szCs w:val="20"/>
          <w:color w:val="auto"/>
        </w:rPr>
      </w:pPr>
      <w:r>
        <w:rPr>
          <w:rFonts w:ascii="Arial" w:cs="Arial" w:eastAsia="Arial" w:hAnsi="Arial"/>
          <w:sz w:val="18"/>
          <w:szCs w:val="18"/>
          <w:i w:val="1"/>
          <w:iCs w:val="1"/>
          <w:color w:val="auto"/>
        </w:rPr>
        <w:t xml:space="preserve">Anik F3. </w:t>
      </w:r>
      <w:r>
        <w:rPr>
          <w:rFonts w:ascii="Arial" w:cs="Arial" w:eastAsia="Arial" w:hAnsi="Arial"/>
          <w:sz w:val="18"/>
          <w:szCs w:val="18"/>
          <w:color w:val="auto"/>
        </w:rPr>
        <w:t>Anik F3, an FSS satellite, was launched and commenced commercial operation in April 2007.</w:t>
      </w:r>
      <w:r>
        <w:rPr>
          <w:rFonts w:ascii="Arial" w:cs="Arial" w:eastAsia="Arial" w:hAnsi="Arial"/>
          <w:sz w:val="18"/>
          <w:szCs w:val="18"/>
          <w:i w:val="1"/>
          <w:iCs w:val="1"/>
          <w:color w:val="auto"/>
        </w:rPr>
        <w:t xml:space="preserve"> </w:t>
      </w:r>
      <w:r>
        <w:rPr>
          <w:rFonts w:ascii="Arial" w:cs="Arial" w:eastAsia="Arial" w:hAnsi="Arial"/>
          <w:sz w:val="18"/>
          <w:szCs w:val="18"/>
          <w:color w:val="auto"/>
        </w:rPr>
        <w:t>This satellite was previously accounted for as a finance lease and depreciated over the term of the satellite service agreement. We leased 100% of the Ku-band capacity on Anik F3 for an initial period of 15 years. During April 2022, we extended the Anik F3 lease and as a result it is currently accounted for as an operating lease.</w:t>
      </w:r>
    </w:p>
    <w:p>
      <w:pPr>
        <w:spacing w:after="0" w:line="163" w:lineRule="exact"/>
        <w:rPr>
          <w:sz w:val="20"/>
          <w:szCs w:val="20"/>
          <w:color w:val="auto"/>
        </w:rPr>
      </w:pPr>
    </w:p>
    <w:p>
      <w:pPr>
        <w:ind w:left="200" w:right="239"/>
        <w:spacing w:after="0"/>
        <w:rPr>
          <w:sz w:val="20"/>
          <w:szCs w:val="20"/>
          <w:color w:val="auto"/>
        </w:rPr>
      </w:pPr>
      <w:r>
        <w:rPr>
          <w:rFonts w:ascii="Arial" w:cs="Arial" w:eastAsia="Arial" w:hAnsi="Arial"/>
          <w:sz w:val="18"/>
          <w:szCs w:val="18"/>
          <w:i w:val="1"/>
          <w:iCs w:val="1"/>
          <w:color w:val="auto"/>
        </w:rPr>
        <w:t>Nimiq 5</w:t>
      </w:r>
      <w:r>
        <w:rPr>
          <w:rFonts w:ascii="Arial" w:cs="Arial" w:eastAsia="Arial" w:hAnsi="Arial"/>
          <w:sz w:val="18"/>
          <w:szCs w:val="18"/>
          <w:color w:val="auto"/>
        </w:rPr>
        <w:t>. On May 19, 2019, we entered into a Master Transaction Agreement pursuant to which, on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10, 2019, the satellite service agreement for Nimiq 5 was transferred to us. Nimiq 5 was launched in September 2009 and commenced commercial operation at the 72.7 degree west longitude orbital location during October 2009. This satellite was previously accounted for as a finance lease and depreciated over the term of the satellite service agreement. We leased 100% of the capacity on Nimiq 5 for an initial period of 15 years. During October 2024, we extended the Nimiq 5 lease and, as a result of the new terms, it is currently accounted for as an operating lease.</w:t>
      </w:r>
    </w:p>
    <w:p>
      <w:pPr>
        <w:spacing w:after="0" w:line="185" w:lineRule="exact"/>
        <w:rPr>
          <w:sz w:val="20"/>
          <w:szCs w:val="20"/>
          <w:color w:val="auto"/>
        </w:rPr>
      </w:pPr>
    </w:p>
    <w:p>
      <w:pPr>
        <w:ind w:left="200" w:right="819"/>
        <w:spacing w:after="0" w:line="271" w:lineRule="auto"/>
        <w:rPr>
          <w:sz w:val="20"/>
          <w:szCs w:val="20"/>
          <w:color w:val="auto"/>
        </w:rPr>
      </w:pPr>
      <w:r>
        <w:rPr>
          <w:rFonts w:ascii="Arial" w:cs="Arial" w:eastAsia="Arial" w:hAnsi="Arial"/>
          <w:sz w:val="18"/>
          <w:szCs w:val="18"/>
          <w:i w:val="1"/>
          <w:iCs w:val="1"/>
          <w:color w:val="auto"/>
        </w:rPr>
        <w:t xml:space="preserve">Dell Finance Lease. </w:t>
      </w:r>
      <w:r>
        <w:rPr>
          <w:rFonts w:ascii="Arial" w:cs="Arial" w:eastAsia="Arial" w:hAnsi="Arial"/>
          <w:sz w:val="18"/>
          <w:szCs w:val="18"/>
          <w:color w:val="auto"/>
        </w:rPr>
        <w:t>On July 17, 2020, we entered into a master agreement with Dell to lease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our 5G Network Deployment infrastructure, including certain equipment.</w:t>
      </w:r>
    </w:p>
    <w:p>
      <w:pPr>
        <w:spacing w:after="0" w:line="140" w:lineRule="exact"/>
        <w:rPr>
          <w:sz w:val="20"/>
          <w:szCs w:val="20"/>
          <w:color w:val="auto"/>
        </w:rPr>
      </w:pPr>
    </w:p>
    <w:p>
      <w:pPr>
        <w:ind w:left="200" w:right="819"/>
        <w:spacing w:after="0" w:line="271" w:lineRule="auto"/>
        <w:rPr>
          <w:sz w:val="20"/>
          <w:szCs w:val="20"/>
          <w:color w:val="auto"/>
        </w:rPr>
      </w:pPr>
      <w:r>
        <w:rPr>
          <w:rFonts w:ascii="Arial" w:cs="Arial" w:eastAsia="Arial" w:hAnsi="Arial"/>
          <w:sz w:val="18"/>
          <w:szCs w:val="18"/>
          <w:color w:val="auto"/>
        </w:rPr>
        <w:t>The summary of future maturities of our outstanding debt as of December 31, 2024 is included in the commitments table in Note 13.</w:t>
      </w:r>
    </w:p>
    <w:p>
      <w:pPr>
        <w:spacing w:after="0" w:line="154" w:lineRule="exact"/>
        <w:rPr>
          <w:sz w:val="20"/>
          <w:szCs w:val="20"/>
          <w:color w:val="auto"/>
        </w:rPr>
      </w:pPr>
    </w:p>
    <w:p>
      <w:pPr>
        <w:ind w:left="660" w:hanging="451"/>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and Accounting for Uncertainty in Income Taxes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96" w:lineRule="exact"/>
        <w:rPr>
          <w:sz w:val="20"/>
          <w:szCs w:val="20"/>
          <w:color w:val="auto"/>
        </w:rPr>
      </w:pPr>
    </w:p>
    <w:p>
      <w:pPr>
        <w:ind w:left="200" w:right="219"/>
        <w:spacing w:after="0" w:line="239" w:lineRule="auto"/>
        <w:rPr>
          <w:sz w:val="20"/>
          <w:szCs w:val="20"/>
          <w:color w:val="auto"/>
        </w:rPr>
      </w:pPr>
      <w:r>
        <w:rPr>
          <w:rFonts w:ascii="Arial" w:cs="Arial" w:eastAsia="Arial" w:hAnsi="Arial"/>
          <w:sz w:val="18"/>
          <w:szCs w:val="18"/>
          <w:color w:val="auto"/>
        </w:rPr>
        <w:t>Beginning in 2024, DISH Network and its domestic subsidiaries join with EchoStar in filing U.S. consolidated federal income tax returns and, in some states, combined or consolidated returns. The income taxes of domestic and foreign subsidiaries not included in the United States tax group are presented in our consolidated financial statements on a separate return basis for each tax paying entity. The federal and state income tax provisions or benefits recorded by DISH Network are generally those that would have been recorded if DISH Network and its domestic subsidiaries had filed returns as a consolidated group independent of EchoStar. Cash is due and paid to EchoStar based on amounts that would be payable based on DISH Network consolidated or combined group filings. During the years ended December 31, 2024, 2023 and 2022, no payments were made to EchoStar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2" w:name="page133"/>
    <w:bookmarkEnd w:id="13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Our income tax policy is to record the estimated future tax effects of temporary differences between the tax bases of assets and liabilities and amounts reported on our Consolidated Balance Sheets, as well as probable operating loss, tax credit and other carryforwards. Deferred tax assets are offset by valuation allowances when we believe it is more likely than not that net deferred tax assets will not be realized. We periodically evaluate our need for a valuation allowance. Determining necessary valuation allowances requires us to make assessments about historical financial information as well as the timing of future events, including the probability of expected future taxable income and available tax planning opportunities.</w:t>
      </w:r>
    </w:p>
    <w:p>
      <w:pPr>
        <w:spacing w:after="0" w:line="171" w:lineRule="exact"/>
        <w:rPr>
          <w:sz w:val="20"/>
          <w:szCs w:val="20"/>
          <w:color w:val="auto"/>
        </w:rPr>
      </w:pPr>
    </w:p>
    <w:p>
      <w:pPr>
        <w:ind w:left="200" w:right="219"/>
        <w:spacing w:after="0" w:line="244" w:lineRule="auto"/>
        <w:rPr>
          <w:sz w:val="20"/>
          <w:szCs w:val="20"/>
          <w:color w:val="auto"/>
        </w:rPr>
      </w:pPr>
      <w:r>
        <w:rPr>
          <w:rFonts w:ascii="Arial" w:cs="Arial" w:eastAsia="Arial" w:hAnsi="Arial"/>
          <w:sz w:val="18"/>
          <w:szCs w:val="18"/>
          <w:color w:val="auto"/>
        </w:rPr>
        <w:t>As of December 31, 2024, we had $395 million net operating loss carryforwards (“NOLs”) for federal income tax purposes and $250 million of NOL carryforwards for state income tax purposes, which are partially offset by a valuation allowance. In addition, there are $164 million of tax benefits related to credit carryforwards which are partially offset by a valuation allowance. Portions of the state NOL and credit carryforwards expired in 2024.</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the (benefit from) provision for income taxes were as follows: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gridSpan w:val="9"/>
          </w:tcPr>
          <w:p>
            <w:pPr>
              <w:jc w:val="center"/>
              <w:ind w:right="320"/>
              <w:spacing w:after="0"/>
              <w:rPr>
                <w:sz w:val="20"/>
                <w:szCs w:val="20"/>
                <w:color w:val="auto"/>
              </w:rPr>
            </w:pPr>
            <w:r>
              <w:rPr>
                <w:rFonts w:ascii="Arial" w:cs="Arial" w:eastAsia="Arial" w:hAnsi="Arial"/>
                <w:sz w:val="16"/>
                <w:szCs w:val="16"/>
                <w:b w:val="1"/>
                <w:bCs w:val="1"/>
                <w:color w:val="auto"/>
              </w:rPr>
              <w:t>For the Years Ended December 31,</w:t>
            </w:r>
          </w:p>
        </w:tc>
      </w:tr>
      <w:tr>
        <w:trPr>
          <w:trHeight w:val="189"/>
        </w:trPr>
        <w:tc>
          <w:tcPr>
            <w:tcW w:w="4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6"/>
                <w:szCs w:val="16"/>
                <w:color w:val="auto"/>
              </w:rPr>
            </w:pPr>
          </w:p>
        </w:tc>
      </w:tr>
      <w:tr>
        <w:trPr>
          <w:trHeight w:val="169"/>
        </w:trPr>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9"/>
              <w:spacing w:after="0" w:line="169"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(benefit) provision:</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Federal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(18,835)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(29,307)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(23,571)</w:t>
            </w: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State</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29,254</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59,690</w:t>
            </w:r>
          </w:p>
        </w:tc>
        <w:tc>
          <w:tcPr>
            <w:tcW w:w="60" w:type="dxa"/>
            <w:vAlign w:val="bottom"/>
            <w:shd w:val="clear" w:color="auto" w:fill="CCEEFF"/>
          </w:tcPr>
          <w:p>
            <w:pPr>
              <w:spacing w:after="0"/>
              <w:rPr>
                <w:sz w:val="16"/>
                <w:szCs w:val="16"/>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Foreign</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(7,118)</w:t>
            </w:r>
          </w:p>
        </w:tc>
      </w:tr>
      <w:tr>
        <w:trPr>
          <w:trHeight w:val="182"/>
        </w:trPr>
        <w:tc>
          <w:tcPr>
            <w:tcW w:w="4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current (benefit) provision</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5,861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3,248</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29,001</w:t>
            </w:r>
          </w:p>
        </w:tc>
        <w:tc>
          <w:tcPr>
            <w:tcW w:w="60" w:type="dxa"/>
            <w:vAlign w:val="bottom"/>
            <w:tcBorders>
              <w:top w:val="single" w:sz="8" w:color="CCEEFF"/>
            </w:tcBorders>
            <w:shd w:val="clear" w:color="auto" w:fill="CCEEFF"/>
          </w:tcPr>
          <w:p>
            <w:pPr>
              <w:spacing w:after="0"/>
              <w:rPr>
                <w:sz w:val="15"/>
                <w:szCs w:val="15"/>
                <w:color w:val="auto"/>
              </w:rPr>
            </w:pPr>
          </w:p>
        </w:tc>
      </w:tr>
      <w:tr>
        <w:trPr>
          <w:trHeight w:val="183"/>
        </w:trPr>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(benefit) provision:</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Federal</w:t>
            </w:r>
          </w:p>
        </w:tc>
        <w:tc>
          <w:tcPr>
            <w:tcW w:w="28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(34,566)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(293,666)</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615,323</w:t>
            </w:r>
          </w:p>
        </w:tc>
        <w:tc>
          <w:tcPr>
            <w:tcW w:w="60" w:type="dxa"/>
            <w:vAlign w:val="bottom"/>
          </w:tcPr>
          <w:p>
            <w:pPr>
              <w:spacing w:after="0"/>
              <w:rPr>
                <w:sz w:val="16"/>
                <w:szCs w:val="16"/>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State</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(74,106)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(152,725)</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85,045</w:t>
            </w:r>
          </w:p>
        </w:tc>
        <w:tc>
          <w:tcPr>
            <w:tcW w:w="60" w:type="dxa"/>
            <w:vAlign w:val="bottom"/>
            <w:shd w:val="clear" w:color="auto" w:fill="CCEEFF"/>
          </w:tcPr>
          <w:p>
            <w:pPr>
              <w:spacing w:after="0"/>
              <w:rPr>
                <w:sz w:val="16"/>
                <w:szCs w:val="16"/>
                <w:color w:val="auto"/>
              </w:rPr>
            </w:pPr>
          </w:p>
        </w:tc>
      </w:tr>
      <w:tr>
        <w:trPr>
          <w:trHeight w:val="189"/>
        </w:trPr>
        <w:tc>
          <w:tcPr>
            <w:tcW w:w="4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Increase (decrease) in valuation allowance</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92,421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71,481</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w:t>
            </w:r>
          </w:p>
        </w:tc>
        <w:tc>
          <w:tcPr>
            <w:tcW w:w="60" w:type="dxa"/>
            <w:vAlign w:val="bottom"/>
            <w:tcBorders>
              <w:bottom w:val="single" w:sz="8" w:color="CCEEFF"/>
            </w:tcBorders>
          </w:tcPr>
          <w:p>
            <w:pPr>
              <w:spacing w:after="0"/>
              <w:rPr>
                <w:sz w:val="16"/>
                <w:szCs w:val="16"/>
                <w:color w:val="auto"/>
              </w:rPr>
            </w:pPr>
          </w:p>
        </w:tc>
      </w:tr>
      <w:tr>
        <w:trPr>
          <w:trHeight w:val="183"/>
        </w:trPr>
        <w:tc>
          <w:tcPr>
            <w:tcW w:w="42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deferred (benefit) provision</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(16,251)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(374,910)</w:t>
            </w: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702,735</w:t>
            </w:r>
          </w:p>
        </w:tc>
        <w:tc>
          <w:tcPr>
            <w:tcW w:w="60" w:type="dxa"/>
            <w:vAlign w:val="bottom"/>
            <w:shd w:val="clear" w:color="auto" w:fill="CCEEFF"/>
          </w:tcPr>
          <w:p>
            <w:pPr>
              <w:spacing w:after="0"/>
              <w:rPr>
                <w:sz w:val="15"/>
                <w:szCs w:val="15"/>
                <w:color w:val="auto"/>
              </w:rPr>
            </w:pPr>
          </w:p>
        </w:tc>
      </w:tr>
      <w:tr>
        <w:trPr>
          <w:trHeight w:val="183"/>
        </w:trPr>
        <w:tc>
          <w:tcPr>
            <w:tcW w:w="4200" w:type="dxa"/>
            <w:vAlign w:val="bottom"/>
          </w:tcPr>
          <w:p>
            <w:pPr>
              <w:spacing w:after="0" w:line="183" w:lineRule="exact"/>
              <w:rPr>
                <w:sz w:val="20"/>
                <w:szCs w:val="20"/>
                <w:color w:val="auto"/>
              </w:rPr>
            </w:pPr>
            <w:r>
              <w:rPr>
                <w:rFonts w:ascii="Arial" w:cs="Arial" w:eastAsia="Arial" w:hAnsi="Arial"/>
                <w:sz w:val="16"/>
                <w:szCs w:val="16"/>
                <w:b w:val="1"/>
                <w:bCs w:val="1"/>
                <w:color w:val="auto"/>
              </w:rPr>
              <w:t>Total (benefit) provision</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(10,390)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(371,662)</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731,736</w:t>
            </w:r>
          </w:p>
        </w:tc>
        <w:tc>
          <w:tcPr>
            <w:tcW w:w="60" w:type="dxa"/>
            <w:vAlign w:val="bottom"/>
          </w:tcPr>
          <w:p>
            <w:pPr>
              <w:spacing w:after="0"/>
              <w:rPr>
                <w:sz w:val="15"/>
                <w:szCs w:val="15"/>
                <w:color w:val="auto"/>
              </w:rPr>
            </w:pPr>
          </w:p>
        </w:tc>
      </w:tr>
      <w:tr>
        <w:trPr>
          <w:trHeight w:val="20"/>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0" w:lineRule="exact"/>
        <w:rPr>
          <w:sz w:val="20"/>
          <w:szCs w:val="20"/>
          <w:color w:val="auto"/>
        </w:rPr>
      </w:pPr>
    </w:p>
    <w:p>
      <w:pPr>
        <w:ind w:left="200" w:right="359"/>
        <w:spacing w:after="0" w:line="271" w:lineRule="auto"/>
        <w:rPr>
          <w:sz w:val="20"/>
          <w:szCs w:val="20"/>
          <w:color w:val="auto"/>
        </w:rPr>
      </w:pPr>
      <w:r>
        <w:rPr>
          <w:rFonts w:ascii="Arial" w:cs="Arial" w:eastAsia="Arial" w:hAnsi="Arial"/>
          <w:sz w:val="18"/>
          <w:szCs w:val="18"/>
          <w:color w:val="auto"/>
        </w:rPr>
        <w:t>Our $73 million loss of “Income (loss) before income taxes” on our Consolidated Statements of Operations and Comprehensive Income (Loss) included a loss of $1 million related to our foreign operations.</w:t>
      </w:r>
    </w:p>
    <w:p>
      <w:pPr>
        <w:spacing w:after="0" w:line="140" w:lineRule="exact"/>
        <w:rPr>
          <w:sz w:val="20"/>
          <w:szCs w:val="20"/>
          <w:color w:val="auto"/>
        </w:rPr>
      </w:pPr>
    </w:p>
    <w:p>
      <w:pPr>
        <w:ind w:left="200" w:right="259"/>
        <w:spacing w:after="0" w:line="271" w:lineRule="auto"/>
        <w:rPr>
          <w:sz w:val="20"/>
          <w:szCs w:val="20"/>
          <w:color w:val="auto"/>
        </w:rPr>
      </w:pPr>
      <w:r>
        <w:rPr>
          <w:rFonts w:ascii="Arial" w:cs="Arial" w:eastAsia="Arial" w:hAnsi="Arial"/>
          <w:sz w:val="18"/>
          <w:szCs w:val="18"/>
          <w:color w:val="auto"/>
        </w:rPr>
        <w:t>The following table shows the principal reasons for the difference between the effective income tax rate and the statutory federal tax rate:</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3680" w:type="dxa"/>
            <w:vAlign w:val="bottom"/>
            <w:gridSpan w:val="6"/>
          </w:tcPr>
          <w:p>
            <w:pPr>
              <w:jc w:val="right"/>
              <w:ind w:right="54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color w:val="auto"/>
              </w:rPr>
              <w:t>of</w:t>
            </w:r>
          </w:p>
        </w:tc>
        <w:tc>
          <w:tcPr>
            <w:tcW w:w="10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80" w:type="dxa"/>
            <w:vAlign w:val="bottom"/>
            <w:vMerge w:val="continue"/>
          </w:tcPr>
          <w:p>
            <w:pPr>
              <w:spacing w:after="0"/>
              <w:rPr>
                <w:sz w:val="14"/>
                <w:szCs w:val="14"/>
                <w:color w:val="auto"/>
              </w:rPr>
            </w:pPr>
          </w:p>
        </w:tc>
        <w:tc>
          <w:tcPr>
            <w:tcW w:w="1260" w:type="dxa"/>
            <w:vAlign w:val="bottom"/>
            <w:gridSpan w:val="2"/>
          </w:tcPr>
          <w:p>
            <w:pPr>
              <w:jc w:val="right"/>
              <w:spacing w:after="0" w:line="169" w:lineRule="exact"/>
              <w:rPr>
                <w:sz w:val="20"/>
                <w:szCs w:val="20"/>
                <w:color w:val="auto"/>
              </w:rPr>
            </w:pPr>
            <w:r>
              <w:rPr>
                <w:rFonts w:ascii="Arial" w:cs="Arial" w:eastAsia="Arial" w:hAnsi="Arial"/>
                <w:sz w:val="16"/>
                <w:szCs w:val="16"/>
                <w:color w:val="auto"/>
                <w:w w:val="82"/>
              </w:rPr>
              <w:t>pre-tax income/(loss)</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Statutory rate</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State income taxes, net of federal benefit</w:t>
            </w:r>
          </w:p>
        </w:tc>
        <w:tc>
          <w:tcPr>
            <w:tcW w:w="1080" w:type="dxa"/>
            <w:vAlign w:val="bottom"/>
          </w:tcPr>
          <w:p>
            <w:pPr>
              <w:jc w:val="right"/>
              <w:spacing w:after="0"/>
              <w:rPr>
                <w:sz w:val="20"/>
                <w:szCs w:val="20"/>
                <w:color w:val="auto"/>
              </w:rPr>
            </w:pPr>
            <w:r>
              <w:rPr>
                <w:rFonts w:ascii="Arial" w:cs="Arial" w:eastAsia="Arial" w:hAnsi="Arial"/>
                <w:sz w:val="16"/>
                <w:szCs w:val="16"/>
                <w:color w:val="auto"/>
              </w:rPr>
              <w:t>70.5</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Rates different than statutory</w:t>
            </w:r>
          </w:p>
        </w:tc>
        <w:tc>
          <w:tcPr>
            <w:tcW w:w="12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(3.9)</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(Increase) decrease in valuation allowance</w:t>
            </w: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(126.4)</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(4.8)</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Tax credits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Impairments</w:t>
            </w:r>
          </w:p>
        </w:tc>
        <w:tc>
          <w:tcPr>
            <w:tcW w:w="12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(0.7)</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12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00" w:type="dxa"/>
            <w:vAlign w:val="bottom"/>
          </w:tcPr>
          <w:p>
            <w:pPr>
              <w:spacing w:after="0" w:line="183" w:lineRule="exact"/>
              <w:rPr>
                <w:sz w:val="20"/>
                <w:szCs w:val="20"/>
                <w:color w:val="auto"/>
              </w:rPr>
            </w:pPr>
            <w:r>
              <w:rPr>
                <w:rFonts w:ascii="Arial" w:cs="Arial" w:eastAsia="Arial" w:hAnsi="Arial"/>
                <w:sz w:val="16"/>
                <w:szCs w:val="16"/>
                <w:b w:val="1"/>
                <w:bCs w:val="1"/>
                <w:color w:val="auto"/>
              </w:rPr>
              <w:t>Total</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w:t>
            </w:r>
          </w:p>
        </w:tc>
        <w:tc>
          <w:tcPr>
            <w:tcW w:w="18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24.8</w:t>
            </w:r>
          </w:p>
        </w:tc>
        <w:tc>
          <w:tcPr>
            <w:tcW w:w="18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3" w:name="page134"/>
    <w:bookmarkEnd w:id="13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taxes arise because of the differences in the book and tax bases of certain assets and liabilities.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Significant components of deferred tax assets and liabilities were as follows:</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7"/>
          </w:tcPr>
          <w:p>
            <w:pPr>
              <w:ind w:left="300"/>
              <w:spacing w:after="0"/>
              <w:rPr>
                <w:sz w:val="20"/>
                <w:szCs w:val="20"/>
                <w:color w:val="auto"/>
              </w:rPr>
            </w:pPr>
            <w:r>
              <w:rPr>
                <w:rFonts w:ascii="Arial" w:cs="Arial" w:eastAsia="Arial" w:hAnsi="Arial"/>
                <w:sz w:val="16"/>
                <w:szCs w:val="16"/>
                <w:b w:val="1"/>
                <w:bCs w:val="1"/>
                <w:color w:val="auto"/>
              </w:rPr>
              <w:t>As of December 31,</w:t>
            </w:r>
          </w:p>
        </w:tc>
      </w:tr>
      <w:tr>
        <w:trPr>
          <w:trHeight w:val="189"/>
        </w:trPr>
        <w:tc>
          <w:tcPr>
            <w:tcW w:w="5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jc w:val="right"/>
              <w:ind w:right="659"/>
              <w:spacing w:after="0" w:line="169" w:lineRule="exact"/>
              <w:rPr>
                <w:sz w:val="20"/>
                <w:szCs w:val="20"/>
                <w:color w:val="auto"/>
              </w:rPr>
            </w:pPr>
            <w:r>
              <w:rPr>
                <w:rFonts w:ascii="Arial" w:cs="Arial" w:eastAsia="Arial" w:hAnsi="Arial"/>
                <w:sz w:val="16"/>
                <w:szCs w:val="16"/>
                <w:color w:val="auto"/>
              </w:rPr>
              <w:t>(In thousands)</w:t>
            </w:r>
          </w:p>
        </w:tc>
        <w:tc>
          <w:tcPr>
            <w:tcW w:w="60" w:type="dxa"/>
            <w:vAlign w:val="bottom"/>
            <w:gridSpan w:val="2"/>
          </w:tcPr>
          <w:p>
            <w:pPr>
              <w:spacing w:after="0"/>
              <w:rPr>
                <w:sz w:val="14"/>
                <w:szCs w:val="14"/>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tax assets:</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NOL, interest, credit and other carryforwards</w:t>
            </w:r>
          </w:p>
        </w:tc>
        <w:tc>
          <w:tcPr>
            <w:tcW w:w="5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1,588,431</w:t>
            </w:r>
          </w:p>
        </w:tc>
        <w:tc>
          <w:tcPr>
            <w:tcW w:w="180" w:type="dxa"/>
            <w:vAlign w:val="bottom"/>
          </w:tcPr>
          <w:p>
            <w:pPr>
              <w:spacing w:after="0"/>
              <w:rPr>
                <w:sz w:val="16"/>
                <w:szCs w:val="16"/>
                <w:color w:val="auto"/>
              </w:rPr>
            </w:pPr>
          </w:p>
        </w:tc>
        <w:tc>
          <w:tcPr>
            <w:tcW w:w="200" w:type="dxa"/>
            <w:vAlign w:val="bottom"/>
            <w:gridSpan w:val="2"/>
          </w:tcPr>
          <w:p>
            <w:pPr>
              <w:jc w:val="right"/>
              <w:ind w:right="24"/>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1,054,749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Accrued and prepaid expenses</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925,727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866,277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22,720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20,934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losses on available for sale and other investments (1)</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198,587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Discount on convertible notes and convertible note hedge transaction, net</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46,636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3"/>
        </w:trPr>
        <w:tc>
          <w:tcPr>
            <w:tcW w:w="5640" w:type="dxa"/>
            <w:vAlign w:val="bottom"/>
          </w:tcPr>
          <w:p>
            <w:pPr>
              <w:spacing w:after="0" w:line="183" w:lineRule="exact"/>
              <w:rPr>
                <w:sz w:val="20"/>
                <w:szCs w:val="20"/>
                <w:color w:val="auto"/>
              </w:rPr>
            </w:pPr>
            <w:r>
              <w:rPr>
                <w:rFonts w:ascii="Arial" w:cs="Arial" w:eastAsia="Arial" w:hAnsi="Arial"/>
                <w:sz w:val="16"/>
                <w:szCs w:val="16"/>
                <w:b w:val="1"/>
                <w:bCs w:val="1"/>
                <w:color w:val="auto"/>
              </w:rPr>
              <w:t>Total deferred tax assets</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2,547,650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2,200,380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(225,342)</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(153,453)</w:t>
            </w:r>
          </w:p>
        </w:tc>
        <w:tc>
          <w:tcPr>
            <w:tcW w:w="40" w:type="dxa"/>
            <w:vAlign w:val="bottom"/>
            <w:shd w:val="clear" w:color="auto" w:fill="CCEEFF"/>
          </w:tcPr>
          <w:p>
            <w:pPr>
              <w:spacing w:after="0"/>
              <w:rPr>
                <w:sz w:val="16"/>
                <w:szCs w:val="16"/>
                <w:color w:val="auto"/>
              </w:rPr>
            </w:pPr>
          </w:p>
        </w:tc>
      </w:tr>
      <w:tr>
        <w:trPr>
          <w:trHeight w:val="183"/>
        </w:trPr>
        <w:tc>
          <w:tcPr>
            <w:tcW w:w="56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Deferred tax asset after valuation allowance</w:t>
            </w:r>
          </w:p>
        </w:tc>
        <w:tc>
          <w:tcPr>
            <w:tcW w:w="3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2,322,308</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2,046,927</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83"/>
        </w:trPr>
        <w:tc>
          <w:tcPr>
            <w:tcW w:w="5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b w:val="1"/>
                <w:bCs w:val="1"/>
                <w:color w:val="auto"/>
              </w:rPr>
              <w:t>Deferred tax liabilities: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(1,655,277)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(1,554,517)</w:t>
            </w:r>
          </w:p>
        </w:tc>
        <w:tc>
          <w:tcPr>
            <w:tcW w:w="40" w:type="dxa"/>
            <w:vAlign w:val="bottom"/>
            <w:shd w:val="clear" w:color="auto" w:fill="CCEEFF"/>
          </w:tcPr>
          <w:p>
            <w:pPr>
              <w:spacing w:after="0"/>
              <w:rPr>
                <w:sz w:val="16"/>
                <w:szCs w:val="16"/>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Unrealized (gains) losses on available for sale and other investments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(9,061)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Regulatory authorizations and other intangible amortization</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(7,664,074)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(3,869,784)</w:t>
            </w:r>
          </w:p>
        </w:tc>
        <w:tc>
          <w:tcPr>
            <w:tcW w:w="40" w:type="dxa"/>
            <w:vAlign w:val="bottom"/>
            <w:shd w:val="clear" w:color="auto" w:fill="CCEEFF"/>
          </w:tcPr>
          <w:p>
            <w:pPr>
              <w:spacing w:after="0"/>
              <w:rPr>
                <w:sz w:val="16"/>
                <w:szCs w:val="16"/>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Bases differences in partnerships and cost method investments (2)</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(1,306,386)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(1,179,888)</w:t>
            </w:r>
          </w:p>
        </w:tc>
        <w:tc>
          <w:tcPr>
            <w:tcW w:w="40" w:type="dxa"/>
            <w:vAlign w:val="bottom"/>
          </w:tcPr>
          <w:p>
            <w:pPr>
              <w:spacing w:after="0"/>
              <w:rPr>
                <w:sz w:val="16"/>
                <w:szCs w:val="16"/>
                <w:color w:val="auto"/>
              </w:rPr>
            </w:pP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deferred tax liabilities</w:t>
            </w: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(10,634,798)</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(6,604,189)</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83"/>
        </w:trPr>
        <w:tc>
          <w:tcPr>
            <w:tcW w:w="5640" w:type="dxa"/>
            <w:vAlign w:val="bottom"/>
          </w:tcPr>
          <w:p>
            <w:pPr>
              <w:spacing w:after="0" w:line="183" w:lineRule="exact"/>
              <w:rPr>
                <w:sz w:val="20"/>
                <w:szCs w:val="20"/>
                <w:color w:val="auto"/>
              </w:rPr>
            </w:pPr>
            <w:r>
              <w:rPr>
                <w:rFonts w:ascii="Arial" w:cs="Arial" w:eastAsia="Arial" w:hAnsi="Arial"/>
                <w:sz w:val="16"/>
                <w:szCs w:val="16"/>
                <w:b w:val="1"/>
                <w:bCs w:val="1"/>
                <w:color w:val="auto"/>
              </w:rPr>
              <w:t>Net deferred tax asset (liability)</w:t>
            </w:r>
          </w:p>
        </w:tc>
        <w:tc>
          <w:tcPr>
            <w:tcW w:w="36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(8,312,490)</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(4,557,262)</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540" w:right="479" w:hanging="331"/>
        <w:spacing w:after="0" w:line="269"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Included in this line item are deferred taxes related to, among other things, changes in the probability weighted fair value of our option to purchase certain of T-Mobile’s 800 MHz spectrum licenses during the year ended December 31, 2023. See Note 5 for further information.</w:t>
      </w:r>
    </w:p>
    <w:p>
      <w:pPr>
        <w:spacing w:after="0" w:line="1" w:lineRule="exact"/>
        <w:rPr>
          <w:rFonts w:ascii="Arial" w:cs="Arial" w:eastAsia="Arial" w:hAnsi="Arial"/>
          <w:sz w:val="18"/>
          <w:szCs w:val="18"/>
          <w:color w:val="auto"/>
        </w:rPr>
      </w:pPr>
    </w:p>
    <w:p>
      <w:pPr>
        <w:ind w:left="540" w:right="799" w:hanging="331"/>
        <w:spacing w:after="0" w:line="302" w:lineRule="auto"/>
        <w:tabs>
          <w:tab w:leader="none" w:pos="5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Included in this line item are deferred taxes related to, among other things, our noncontrolling investments in Northstar Spectrum and SNR HoldCo, including deferred taxes created by the tax amortization of the Northstar Licenses and SNR Licenses. See Note 2 for further information.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196" w:lineRule="exact"/>
        <w:rPr>
          <w:sz w:val="20"/>
          <w:szCs w:val="20"/>
          <w:color w:val="auto"/>
        </w:rPr>
      </w:pPr>
    </w:p>
    <w:p>
      <w:pPr>
        <w:ind w:left="200" w:right="279"/>
        <w:spacing w:after="0" w:line="242" w:lineRule="auto"/>
        <w:rPr>
          <w:sz w:val="20"/>
          <w:szCs w:val="20"/>
          <w:color w:val="auto"/>
        </w:rPr>
      </w:pPr>
      <w:r>
        <w:rPr>
          <w:rFonts w:ascii="Arial" w:cs="Arial" w:eastAsia="Arial" w:hAnsi="Arial"/>
          <w:sz w:val="18"/>
          <w:szCs w:val="18"/>
          <w:color w:val="auto"/>
        </w:rPr>
        <w:t>In addition to filing federal income tax returns, we and one or more of our subsidiaries file income tax returns in all states that impose an income tax and a small number of foreign jurisdictions where we have immaterial operations. We are subject to United States federal, state and local income tax examinations by tax authorities for the years beginning in 2008 due to the carryover of previously incurred NOLs. We are currently under a federal income tax examination for years 2008 through 2011, 2013 through 2016, and 2018 through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4" w:name="page135"/>
    <w:bookmarkEnd w:id="13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519"/>
        <w:spacing w:after="0" w:line="271" w:lineRule="auto"/>
        <w:rPr>
          <w:sz w:val="20"/>
          <w:szCs w:val="20"/>
          <w:color w:val="auto"/>
        </w:rPr>
      </w:pPr>
      <w:r>
        <w:rPr>
          <w:rFonts w:ascii="Arial" w:cs="Arial" w:eastAsia="Arial" w:hAnsi="Arial"/>
          <w:sz w:val="18"/>
          <w:szCs w:val="18"/>
          <w:color w:val="auto"/>
        </w:rPr>
        <w:t>A reconciliation of the beginning and ending amount of unrecognized tax benefits included in “Long-term deferred revenue and other long-term liabilities” on our Consolidated Balance Sheets was as follows:</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600" w:type="dxa"/>
            <w:vAlign w:val="bottom"/>
            <w:vMerge w:val="restart"/>
          </w:tcPr>
          <w:p>
            <w:pPr>
              <w:spacing w:after="0"/>
              <w:rPr>
                <w:sz w:val="20"/>
                <w:szCs w:val="20"/>
                <w:color w:val="auto"/>
              </w:rPr>
            </w:pPr>
            <w:r>
              <w:rPr>
                <w:rFonts w:ascii="Arial" w:cs="Arial" w:eastAsia="Arial" w:hAnsi="Arial"/>
                <w:sz w:val="16"/>
                <w:szCs w:val="16"/>
                <w:b w:val="1"/>
                <w:bCs w:val="1"/>
                <w:color w:val="auto"/>
              </w:rPr>
              <w:t>Unrecognized tax benefit</w:t>
            </w:r>
          </w:p>
        </w:tc>
        <w:tc>
          <w:tcPr>
            <w:tcW w:w="180" w:type="dxa"/>
            <w:vAlign w:val="bottom"/>
          </w:tcPr>
          <w:p>
            <w:pPr>
              <w:spacing w:after="0"/>
              <w:rPr>
                <w:sz w:val="18"/>
                <w:szCs w:val="18"/>
                <w:color w:val="auto"/>
              </w:rPr>
            </w:pPr>
          </w:p>
        </w:tc>
        <w:tc>
          <w:tcPr>
            <w:tcW w:w="2800" w:type="dxa"/>
            <w:vAlign w:val="bottom"/>
            <w:gridSpan w:val="8"/>
          </w:tcPr>
          <w:p>
            <w:pPr>
              <w:jc w:val="right"/>
              <w:ind w:right="10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9"/>
        </w:trPr>
        <w:tc>
          <w:tcPr>
            <w:tcW w:w="56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right"/>
              <w:spacing w:after="0" w:line="183" w:lineRule="exact"/>
              <w:rPr>
                <w:sz w:val="20"/>
                <w:szCs w:val="20"/>
                <w:color w:val="auto"/>
              </w:rPr>
            </w:pPr>
            <w:r>
              <w:rPr>
                <w:rFonts w:ascii="Arial" w:cs="Arial" w:eastAsia="Arial" w:hAnsi="Arial"/>
                <w:sz w:val="16"/>
                <w:szCs w:val="16"/>
                <w:color w:val="auto"/>
                <w:w w:val="89"/>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beginning of period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$ 436,128</w:t>
            </w:r>
          </w:p>
        </w:tc>
        <w:tc>
          <w:tcPr>
            <w:tcW w:w="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$ 431,640</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$ 388,837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Additions based on tax positions related to the current year</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242,054</w:t>
            </w:r>
          </w:p>
        </w:tc>
        <w:tc>
          <w:tcPr>
            <w:tcW w:w="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3,601</w:t>
            </w:r>
          </w:p>
        </w:tc>
        <w:tc>
          <w:tcPr>
            <w:tcW w:w="1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35,180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Additions based on tax positions related to prior years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23,401</w:t>
            </w:r>
          </w:p>
        </w:tc>
        <w:tc>
          <w:tcPr>
            <w:tcW w:w="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9,292</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14,723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Reductions based on tax positions related to prior years</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(23,177)</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(7,219)</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(7,100)</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Reductions based on tax positions related to settlements with taxing</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authorities</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(834)</w:t>
            </w: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600" w:type="dxa"/>
            <w:vAlign w:val="bottom"/>
          </w:tcPr>
          <w:p>
            <w:pPr>
              <w:spacing w:after="0" w:line="175" w:lineRule="exact"/>
              <w:rPr>
                <w:sz w:val="20"/>
                <w:szCs w:val="20"/>
                <w:color w:val="auto"/>
              </w:rPr>
            </w:pPr>
            <w:r>
              <w:rPr>
                <w:rFonts w:ascii="Arial" w:cs="Arial" w:eastAsia="Arial" w:hAnsi="Arial"/>
                <w:sz w:val="16"/>
                <w:szCs w:val="16"/>
                <w:color w:val="auto"/>
              </w:rPr>
              <w:t>Reductions based on tax positions related to the lapse of the statute of</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6"/>
                <w:szCs w:val="16"/>
                <w:color w:val="auto"/>
              </w:rPr>
              <w:t>limitations</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(310)</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(352)</w:t>
            </w:r>
          </w:p>
        </w:tc>
        <w:tc>
          <w:tcPr>
            <w:tcW w:w="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6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end of period</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$ 678,096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$ 436,128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$ 431,640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We have $631 million in unrecognized tax benefits that, if recognized, could favorably affect our effective tax rate. We do not expect any material portion of this amount to be paid or settled within the next 12 months. Accrued interest and penalties on uncertain tax positions are recorded as a component of “Interest expense, net of amounts capitalized” and “Other, net,” respectively, on our Consolidated Statements of Operations and Comprehensive Income (Loss). During the years ended December 31, 2024, 2023 and 2022, we recorded $52 million, $39 million and $22 million in net interest and penalty expense to earnings, respectively. Accrued interest and penalties were $216 million and $164 million at December 31, 2024 and 2023, respectively. The above table excludes these amounts.</w:t>
      </w:r>
    </w:p>
    <w:p>
      <w:pPr>
        <w:spacing w:after="0" w:line="180" w:lineRule="exact"/>
        <w:rPr>
          <w:sz w:val="20"/>
          <w:szCs w:val="20"/>
          <w:color w:val="auto"/>
        </w:rPr>
      </w:pPr>
    </w:p>
    <w:p>
      <w:pPr>
        <w:ind w:left="640" w:hanging="431"/>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6" w:lineRule="exact"/>
        <w:rPr>
          <w:sz w:val="20"/>
          <w:szCs w:val="20"/>
          <w:color w:val="auto"/>
        </w:rPr>
      </w:pPr>
    </w:p>
    <w:p>
      <w:pPr>
        <w:ind w:left="200" w:right="239"/>
        <w:spacing w:after="0" w:line="238" w:lineRule="auto"/>
        <w:rPr>
          <w:sz w:val="20"/>
          <w:szCs w:val="20"/>
          <w:color w:val="auto"/>
        </w:rPr>
      </w:pPr>
      <w:r>
        <w:rPr>
          <w:rFonts w:ascii="Arial" w:cs="Arial" w:eastAsia="Arial" w:hAnsi="Arial"/>
          <w:sz w:val="18"/>
          <w:szCs w:val="18"/>
          <w:color w:val="auto"/>
        </w:rPr>
        <w:t>Our employees may participate in the EchoStar employee stock purchase plan (the “ESPP”), in which EchoStar is authorized to issue up to 8.0 million shares of Class A common stock. At December 31, 2024, EchoStar had 3.4 million shares of Class A common stock which remain available for issuance under the ESPP. Substantially all full-time employees who have been employed by EchoStar for at least one calendar quarter are eligible to participate in the ESPP. Employee stock purchases are made through payroll deductions. Under the terms of the ESPP, employees may not deduct an amount which would permit such employee to purchase EchoStar’s capital stock under all of EchoStar’s stock purchase plans at a rate which would exceed $25,000 in fair value of capital stock in any one year. The purchase price of the stock is 85% of the closing price of EchoStar’s Class A common stock on the last business day of each calendar quarter in which such shares of EchoStar’s Class A common stock are deemed sold to an employee under the ESPP and such shares must be held for a minimum of 180 days from the 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5" w:name="page136"/>
    <w:bookmarkEnd w:id="13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401(k) Employee Savings Plans</w:t>
      </w:r>
    </w:p>
    <w:p>
      <w:pPr>
        <w:spacing w:after="0" w:line="196" w:lineRule="exact"/>
        <w:rPr>
          <w:sz w:val="20"/>
          <w:szCs w:val="20"/>
          <w:color w:val="auto"/>
        </w:rPr>
      </w:pPr>
    </w:p>
    <w:p>
      <w:pPr>
        <w:ind w:left="200" w:right="379"/>
        <w:spacing w:after="0"/>
        <w:rPr>
          <w:sz w:val="20"/>
          <w:szCs w:val="20"/>
          <w:color w:val="auto"/>
        </w:rPr>
      </w:pPr>
      <w:r>
        <w:rPr>
          <w:rFonts w:ascii="Arial" w:cs="Arial" w:eastAsia="Arial" w:hAnsi="Arial"/>
          <w:sz w:val="18"/>
          <w:szCs w:val="18"/>
          <w:color w:val="auto"/>
        </w:rPr>
        <w:t>EchoStar sponsors a 401(k) Employee Savings Plan (the “DISH Network 401(k) Plan”) for our eligible employees. Voluntary employee contributions to the DISH Network 401(k) Plan may be matched 50% by EchoStar, subject to a maximum annual contribution of $5,000 per employee. Forfeitures of unvested participant balances which are retained by the DISH Network 401(k) Plan may be used to fund matching and discretionary contributions. EchoStar’s Board of Directors may also authorize an annual discretionary contribution to the DISH Network 401(k) Plan, subject to the maximum deductible limit provided by the Internal Revenue Code of 1986, as amended. These contributions may be made in cash or in EchoStar’s stock.</w:t>
      </w:r>
    </w:p>
    <w:p>
      <w:pPr>
        <w:spacing w:after="0" w:line="167" w:lineRule="exact"/>
        <w:rPr>
          <w:sz w:val="20"/>
          <w:szCs w:val="20"/>
          <w:color w:val="auto"/>
        </w:rPr>
      </w:pPr>
    </w:p>
    <w:p>
      <w:pPr>
        <w:ind w:left="200" w:right="399"/>
        <w:spacing w:after="0" w:line="271" w:lineRule="auto"/>
        <w:rPr>
          <w:sz w:val="20"/>
          <w:szCs w:val="20"/>
          <w:color w:val="auto"/>
        </w:rPr>
      </w:pPr>
      <w:r>
        <w:rPr>
          <w:rFonts w:ascii="Arial" w:cs="Arial" w:eastAsia="Arial" w:hAnsi="Arial"/>
          <w:sz w:val="18"/>
          <w:szCs w:val="18"/>
          <w:color w:val="auto"/>
        </w:rPr>
        <w:t>The following table summarizes the expense associated with our matching contributions and discretionary contributions:</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360" w:type="dxa"/>
            <w:vAlign w:val="bottom"/>
            <w:vMerge w:val="restart"/>
          </w:tcPr>
          <w:p>
            <w:pPr>
              <w:spacing w:after="0"/>
              <w:rPr>
                <w:sz w:val="20"/>
                <w:szCs w:val="20"/>
                <w:color w:val="auto"/>
              </w:rPr>
            </w:pPr>
            <w:r>
              <w:rPr>
                <w:rFonts w:ascii="Arial" w:cs="Arial" w:eastAsia="Arial" w:hAnsi="Arial"/>
                <w:sz w:val="16"/>
                <w:szCs w:val="16"/>
                <w:b w:val="1"/>
                <w:bCs w:val="1"/>
                <w:color w:val="auto"/>
              </w:rPr>
              <w:t>Expense Recognized Related to the 401(k) Plan</w:t>
            </w:r>
          </w:p>
        </w:tc>
        <w:tc>
          <w:tcPr>
            <w:tcW w:w="2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9"/>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3"/>
          </w:tcPr>
          <w:p>
            <w:pPr>
              <w:jc w:val="right"/>
              <w:spacing w:after="0" w:line="183" w:lineRule="exact"/>
              <w:rPr>
                <w:sz w:val="20"/>
                <w:szCs w:val="20"/>
                <w:color w:val="auto"/>
              </w:rPr>
            </w:pPr>
            <w:r>
              <w:rPr>
                <w:rFonts w:ascii="Arial" w:cs="Arial" w:eastAsia="Arial" w:hAnsi="Arial"/>
                <w:sz w:val="16"/>
                <w:szCs w:val="16"/>
                <w:color w:val="auto"/>
                <w:w w:val="99"/>
              </w:rPr>
              <w:t>(In thousands)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Matching contributions, net of forfeitures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14,532</w:t>
            </w: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Discretionary stock contributions, net of forfeitures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6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13,906</w:t>
            </w:r>
          </w:p>
        </w:tc>
        <w:tc>
          <w:tcPr>
            <w:tcW w:w="180" w:type="dxa"/>
            <w:vAlign w:val="bottom"/>
            <w:vMerge w:val="continue"/>
          </w:tcPr>
          <w:p>
            <w:pPr>
              <w:spacing w:after="0"/>
              <w:rPr>
                <w:sz w:val="14"/>
                <w:szCs w:val="14"/>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70</w:t>
            </w:r>
          </w:p>
        </w:tc>
        <w:tc>
          <w:tcPr>
            <w:tcW w:w="18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14,564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hanging="451"/>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96" w:lineRule="exact"/>
        <w:rPr>
          <w:sz w:val="20"/>
          <w:szCs w:val="20"/>
          <w:color w:val="auto"/>
        </w:rPr>
      </w:pPr>
    </w:p>
    <w:p>
      <w:pPr>
        <w:ind w:left="200" w:right="219"/>
        <w:spacing w:after="0" w:line="237" w:lineRule="auto"/>
        <w:rPr>
          <w:sz w:val="20"/>
          <w:szCs w:val="20"/>
          <w:color w:val="auto"/>
        </w:rPr>
      </w:pPr>
      <w:r>
        <w:rPr>
          <w:rFonts w:ascii="Arial" w:cs="Arial" w:eastAsia="Arial" w:hAnsi="Arial"/>
          <w:sz w:val="18"/>
          <w:szCs w:val="18"/>
          <w:color w:val="auto"/>
        </w:rPr>
        <w:t>EchoStar maintains stock incentive plans to attract and retain officers, directors and key employees. Our employees participate in the EchoStar stock incentive plans. Stock awards under these plans include both performance/market and non-performance based stock incentives. As of December 31, 2024, EchoStar had outstanding under these plans stock options to acquire 9.5 million shares of EchoStar’s Class A common stock and 91 thousand restricted stock units and awards associated with our employees. Stock options granted on or prior to December 31, 2024 were granted with exercise prices equal to or greater than the market value of EchoStar’s Class A common stock at the date of grant and with a maximum term of approximately ten years. EchoStar accounts for forfeitures as they are incurred. While historically EchoStar has issued stock awards subject to vesting, typically at the rate of 20% per year, certain stock awards have been granted with immediate vesting and certain other stock awards vest only upon the achievement of certain EchoStar-specific subscriber, operational and/or financial goals. In addition, the Ergen 2020 Performance Award is subject to the achievement of specified EchoStar Class A common stock price targets. As of December 31, 2024, EchoStar had 21.7 million shares of its Class A common stock available for future grant under the stock incentive plans.</w:t>
      </w:r>
    </w:p>
    <w:p>
      <w:pPr>
        <w:spacing w:after="0" w:line="176" w:lineRule="exact"/>
        <w:rPr>
          <w:sz w:val="20"/>
          <w:szCs w:val="20"/>
          <w:color w:val="auto"/>
        </w:rPr>
      </w:pPr>
    </w:p>
    <w:p>
      <w:pPr>
        <w:ind w:left="200" w:right="339"/>
        <w:spacing w:after="0" w:line="239" w:lineRule="auto"/>
        <w:rPr>
          <w:sz w:val="20"/>
          <w:szCs w:val="20"/>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On March 4, 2024, EchoStar commenced a tender offer to eligible employees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EchoStar’s and our co-founders and the non-employee members of EchoStar’s Board of Directors) to exchange eligible stock options (which excludes the Ergen 2020 Performance Award) for new options as detailed in its Schedule TO filed March 4, 2024 with the Securities and Exchange Commission (the “Exchange Offer”), to, among other things, further align employee incentives with the current market. The Exchange Offer expired on April 1, 2024 and EchoStar accepted for exchange approximately 7 million stock options. As a result of the Exchange Offer, during the second quarter of 2024, the exercise price of approximately 3 million new stock options associated with our employees, affecting approximately 800 eligible employees, was adjusted to $14.04.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6" w:name="page137"/>
    <w:bookmarkEnd w:id="13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Award Activity</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EchoStar stock option activity associated with our employees was as follows:</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440" w:type="dxa"/>
            <w:vAlign w:val="bottom"/>
            <w:tcBorders>
              <w:bottom w:val="single" w:sz="8" w:color="auto"/>
            </w:tcBorders>
            <w:gridSpan w:val="9"/>
          </w:tcPr>
          <w:p>
            <w:pPr>
              <w:ind w:left="740"/>
              <w:spacing w:after="0"/>
              <w:rPr>
                <w:sz w:val="20"/>
                <w:szCs w:val="20"/>
                <w:color w:val="auto"/>
              </w:rPr>
            </w:pPr>
            <w:r>
              <w:rPr>
                <w:rFonts w:ascii="Arial" w:cs="Arial" w:eastAsia="Arial" w:hAnsi="Arial"/>
                <w:sz w:val="16"/>
                <w:szCs w:val="16"/>
                <w:b w:val="1"/>
                <w:bCs w:val="1"/>
                <w:color w:val="auto"/>
              </w:rPr>
              <w:t>For the Year Ended December 31, 2024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center"/>
              <w:ind w:right="40"/>
              <w:spacing w:after="0" w:line="175"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6"/>
                <w:szCs w:val="16"/>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Aggregate</w:t>
            </w: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right="19"/>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intrinsic</w:t>
            </w: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Exercise</w:t>
            </w:r>
          </w:p>
        </w:tc>
        <w:tc>
          <w:tcPr>
            <w:tcW w:w="16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value</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Options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center"/>
              <w:ind w:right="19"/>
              <w:spacing w:after="0"/>
              <w:rPr>
                <w:sz w:val="20"/>
                <w:szCs w:val="20"/>
                <w:color w:val="auto"/>
              </w:rPr>
            </w:pPr>
            <w:r>
              <w:rPr>
                <w:rFonts w:ascii="Arial" w:cs="Arial" w:eastAsia="Arial" w:hAnsi="Arial"/>
                <w:sz w:val="16"/>
                <w:szCs w:val="16"/>
                <w:b w:val="1"/>
                <w:bCs w:val="1"/>
                <w:color w:val="auto"/>
              </w:rPr>
              <w:t>Price</w:t>
            </w:r>
          </w:p>
        </w:tc>
        <w:tc>
          <w:tcPr>
            <w:tcW w:w="160" w:type="dxa"/>
            <w:vAlign w:val="bottom"/>
          </w:tcPr>
          <w:p>
            <w:pPr>
              <w:spacing w:after="0"/>
              <w:rPr>
                <w:sz w:val="17"/>
                <w:szCs w:val="17"/>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6"/>
                <w:szCs w:val="16"/>
                <w:color w:val="auto"/>
              </w:rPr>
              <w:t>(In thousands)</w:t>
            </w: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options outstanding, beginning of period (1)</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9,887,330</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70.36</w:t>
            </w:r>
          </w:p>
        </w:tc>
        <w:tc>
          <w:tcPr>
            <w:tcW w:w="1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Granted (2)</w:t>
            </w:r>
          </w:p>
        </w:tc>
        <w:tc>
          <w:tcPr>
            <w:tcW w:w="1060" w:type="dxa"/>
            <w:vAlign w:val="bottom"/>
          </w:tcPr>
          <w:p>
            <w:pPr>
              <w:jc w:val="right"/>
              <w:spacing w:after="0"/>
              <w:rPr>
                <w:sz w:val="20"/>
                <w:szCs w:val="20"/>
                <w:color w:val="auto"/>
              </w:rPr>
            </w:pPr>
            <w:r>
              <w:rPr>
                <w:rFonts w:ascii="Arial" w:cs="Arial" w:eastAsia="Arial" w:hAnsi="Arial"/>
                <w:sz w:val="16"/>
                <w:szCs w:val="16"/>
                <w:color w:val="auto"/>
              </w:rPr>
              <w:t>4,316,849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14.66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Forfeited and cancelled (3)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(4,565,652)</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51.66</w:t>
            </w:r>
          </w:p>
        </w:tc>
        <w:tc>
          <w:tcPr>
            <w:tcW w:w="1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options outstanding, end of period</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9,522,134</w:t>
            </w:r>
          </w:p>
        </w:tc>
        <w:tc>
          <w:tcPr>
            <w:tcW w:w="280" w:type="dxa"/>
            <w:vAlign w:val="bottom"/>
            <w:tcBorders>
              <w:bottom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54.75</w:t>
            </w:r>
          </w:p>
        </w:tc>
        <w:tc>
          <w:tcPr>
            <w:tcW w:w="16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33,164</w:t>
            </w:r>
          </w:p>
        </w:tc>
        <w:tc>
          <w:tcPr>
            <w:tcW w:w="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7.10</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tcPr>
          <w:p>
            <w:pPr>
              <w:spacing w:after="0" w:line="168" w:lineRule="exact"/>
              <w:rPr>
                <w:sz w:val="20"/>
                <w:szCs w:val="20"/>
                <w:color w:val="auto"/>
              </w:rPr>
            </w:pPr>
            <w:r>
              <w:rPr>
                <w:rFonts w:ascii="Arial" w:cs="Arial" w:eastAsia="Arial" w:hAnsi="Arial"/>
                <w:sz w:val="16"/>
                <w:szCs w:val="16"/>
                <w:b w:val="1"/>
                <w:bCs w:val="1"/>
                <w:color w:val="auto"/>
              </w:rPr>
              <w:t>Performance/market based options outstanding,</w:t>
            </w: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4140" w:type="dxa"/>
            <w:vAlign w:val="bottom"/>
            <w:vMerge w:val="continue"/>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4,300,088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end of period (4)</w:t>
            </w:r>
          </w:p>
        </w:tc>
        <w:tc>
          <w:tcPr>
            <w:tcW w:w="1060" w:type="dxa"/>
            <w:vAlign w:val="bottom"/>
            <w:tcBorders>
              <w:bottom w:val="single" w:sz="8" w:color="auto"/>
            </w:tcBorders>
            <w:vMerge w:val="continue"/>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84.39</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b w:val="1"/>
                <w:bCs w:val="1"/>
                <w:color w:val="auto"/>
              </w:rPr>
              <w:t>Exercisable, end of period</w:t>
            </w:r>
          </w:p>
        </w:tc>
        <w:tc>
          <w:tcPr>
            <w:tcW w:w="10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1,999,301</w:t>
            </w:r>
          </w:p>
        </w:tc>
        <w:tc>
          <w:tcPr>
            <w:tcW w:w="280" w:type="dxa"/>
            <w:vAlign w:val="bottom"/>
            <w:tcBorders>
              <w:top w:val="single" w:sz="8" w:color="CCEEFF"/>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54.20</w:t>
            </w:r>
          </w:p>
        </w:tc>
        <w:tc>
          <w:tcPr>
            <w:tcW w:w="16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0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6,200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6.37</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40" w:right="619" w:hanging="331"/>
        <w:spacing w:after="0" w:line="245"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beginning of period weighted-average exercise price for the year ended December 31, 2024 of $70.36 does not reflect the Exchange Offer, which occurred subsequent to December 31, 2023.</w:t>
      </w:r>
    </w:p>
    <w:p>
      <w:pPr>
        <w:ind w:left="540" w:hanging="331"/>
        <w:spacing w:after="0" w:line="234"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approximately 3 million stock options granted in connection with the Exchange Offer.</w:t>
      </w:r>
    </w:p>
    <w:p>
      <w:pPr>
        <w:ind w:left="540" w:hanging="331"/>
        <w:spacing w:after="0" w:line="234"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approximately 3 million stock options cancelled in connection with the Exchange Offer.</w:t>
      </w:r>
    </w:p>
    <w:p>
      <w:pPr>
        <w:ind w:left="540" w:right="759" w:hanging="331"/>
        <w:spacing w:after="0" w:line="242"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stock options are included in the caption “Total options outstanding, end of period.” See discussion of the 2017 LTIP, 2019 LTIP, 2022 Incentive Plan and Ergen 2020 Performance Award below.</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realized tax benefits from stock awards exercised as follows:</w:t>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0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rPr>
              <w:t>For the Years Ended December 31,</w:t>
            </w:r>
          </w:p>
        </w:tc>
      </w:tr>
      <w:tr>
        <w:trPr>
          <w:trHeight w:val="189"/>
        </w:trPr>
        <w:tc>
          <w:tcPr>
            <w:tcW w:w="44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6"/>
                <w:szCs w:val="16"/>
                <w:color w:val="auto"/>
              </w:rPr>
            </w:pPr>
          </w:p>
        </w:tc>
      </w:tr>
      <w:tr>
        <w:trPr>
          <w:trHeight w:val="169"/>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9"/>
              <w:spacing w:after="0" w:line="169" w:lineRule="exact"/>
              <w:rPr>
                <w:sz w:val="20"/>
                <w:szCs w:val="20"/>
                <w:color w:val="auto"/>
              </w:rPr>
            </w:pPr>
            <w:r>
              <w:rPr>
                <w:rFonts w:ascii="Arial" w:cs="Arial" w:eastAsia="Arial" w:hAnsi="Arial"/>
                <w:sz w:val="16"/>
                <w:szCs w:val="16"/>
                <w:color w:val="auto"/>
                <w:w w:val="99"/>
              </w:rPr>
              <w:t>(In thousands)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Tax benefit from stock awards exercised</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60" w:type="dxa"/>
            <w:vAlign w:val="bottom"/>
            <w:tcBorders>
              <w:bottom w:val="single" w:sz="8" w:color="CCEEFF"/>
            </w:tcBorders>
            <w:shd w:val="clear" w:color="auto" w:fill="CCEEFF"/>
          </w:tcPr>
          <w:p>
            <w:pPr>
              <w:spacing w:after="0"/>
              <w:rPr>
                <w:sz w:val="16"/>
                <w:szCs w:val="16"/>
                <w:color w:val="auto"/>
              </w:rPr>
            </w:pPr>
          </w:p>
        </w:tc>
      </w:tr>
      <w:tr>
        <w:trPr>
          <w:trHeight w:val="20"/>
        </w:trPr>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EchoStar restricted stock unit and award activity associated with our employees was as follows:</w:t>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38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Year Ended December 31, 2024</w:t>
            </w:r>
          </w:p>
        </w:tc>
      </w:tr>
      <w:tr>
        <w:trPr>
          <w:trHeight w:val="175"/>
        </w:trPr>
        <w:tc>
          <w:tcPr>
            <w:tcW w:w="52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99"/>
              <w:spacing w:after="0" w:line="175" w:lineRule="exact"/>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5"/>
                <w:szCs w:val="15"/>
                <w:color w:val="auto"/>
              </w:rPr>
            </w:pPr>
          </w:p>
        </w:tc>
      </w:tr>
      <w:tr>
        <w:trPr>
          <w:trHeight w:val="189"/>
        </w:trPr>
        <w:tc>
          <w:tcPr>
            <w:tcW w:w="5200" w:type="dxa"/>
            <w:vAlign w:val="bottom"/>
          </w:tcPr>
          <w:p>
            <w:pPr>
              <w:spacing w:after="0"/>
              <w:rPr>
                <w:sz w:val="16"/>
                <w:szCs w:val="16"/>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Restricted</w:t>
            </w:r>
          </w:p>
        </w:tc>
        <w:tc>
          <w:tcPr>
            <w:tcW w:w="2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200" w:type="dxa"/>
            <w:vAlign w:val="bottom"/>
          </w:tcPr>
          <w:p>
            <w:pPr>
              <w:spacing w:after="0"/>
              <w:rPr>
                <w:sz w:val="16"/>
                <w:szCs w:val="16"/>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Grant Date</w:t>
            </w:r>
          </w:p>
        </w:tc>
      </w:tr>
      <w:tr>
        <w:trPr>
          <w:trHeight w:val="203"/>
        </w:trPr>
        <w:tc>
          <w:tcPr>
            <w:tcW w:w="5200" w:type="dxa"/>
            <w:vAlign w:val="bottom"/>
          </w:tcPr>
          <w:p>
            <w:pPr>
              <w:spacing w:after="0"/>
              <w:rPr>
                <w:sz w:val="17"/>
                <w:szCs w:val="17"/>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Units/Awards</w:t>
            </w:r>
          </w:p>
        </w:tc>
        <w:tc>
          <w:tcPr>
            <w:tcW w:w="20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Fair Value</w:t>
            </w:r>
          </w:p>
        </w:tc>
      </w:tr>
      <w:tr>
        <w:trPr>
          <w:trHeight w:val="155"/>
        </w:trPr>
        <w:tc>
          <w:tcPr>
            <w:tcW w:w="52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Total restricted stock units/awards outstanding, beginning of</w:t>
            </w:r>
          </w:p>
        </w:tc>
        <w:tc>
          <w:tcPr>
            <w:tcW w:w="1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period</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48,645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98.78</w:t>
            </w:r>
          </w:p>
        </w:tc>
        <w:tc>
          <w:tcPr>
            <w:tcW w:w="200" w:type="dxa"/>
            <w:vAlign w:val="bottom"/>
            <w:shd w:val="clear" w:color="auto" w:fill="CCEEFF"/>
          </w:tcPr>
          <w:p>
            <w:pPr>
              <w:spacing w:after="0"/>
              <w:rPr>
                <w:sz w:val="17"/>
                <w:szCs w:val="17"/>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spacing w:after="0"/>
              <w:rPr>
                <w:sz w:val="20"/>
                <w:szCs w:val="20"/>
                <w:color w:val="auto"/>
              </w:rPr>
            </w:pPr>
            <w:r>
              <w:rPr>
                <w:rFonts w:ascii="Arial" w:cs="Arial" w:eastAsia="Arial" w:hAnsi="Arial"/>
                <w:sz w:val="16"/>
                <w:szCs w:val="16"/>
                <w:color w:val="auto"/>
              </w:rPr>
              <w:t>79,444</w:t>
            </w:r>
          </w:p>
        </w:tc>
        <w:tc>
          <w:tcPr>
            <w:tcW w:w="18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16.70</w:t>
            </w:r>
          </w:p>
        </w:tc>
        <w:tc>
          <w:tcPr>
            <w:tcW w:w="200" w:type="dxa"/>
            <w:vAlign w:val="bottom"/>
          </w:tcPr>
          <w:p>
            <w:pPr>
              <w:spacing w:after="0"/>
              <w:rPr>
                <w:sz w:val="16"/>
                <w:szCs w:val="16"/>
                <w:color w:val="auto"/>
              </w:rPr>
            </w:pPr>
          </w:p>
        </w:tc>
      </w:tr>
      <w:tr>
        <w:trPr>
          <w:trHeight w:val="189"/>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(29,843)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77.51</w:t>
            </w:r>
          </w:p>
        </w:tc>
        <w:tc>
          <w:tcPr>
            <w:tcW w:w="200" w:type="dxa"/>
            <w:vAlign w:val="bottom"/>
            <w:shd w:val="clear" w:color="auto" w:fill="CCEEFF"/>
          </w:tcPr>
          <w:p>
            <w:pPr>
              <w:spacing w:after="0"/>
              <w:rPr>
                <w:sz w:val="16"/>
                <w:szCs w:val="16"/>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Forfeited and cancelled</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(7,018)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101.09</w:t>
            </w:r>
          </w:p>
        </w:tc>
        <w:tc>
          <w:tcPr>
            <w:tcW w:w="200" w:type="dxa"/>
            <w:vAlign w:val="bottom"/>
          </w:tcPr>
          <w:p>
            <w:pPr>
              <w:spacing w:after="0"/>
              <w:rPr>
                <w:sz w:val="16"/>
                <w:szCs w:val="16"/>
                <w:color w:val="auto"/>
              </w:rPr>
            </w:pPr>
          </w:p>
        </w:tc>
      </w:tr>
      <w:tr>
        <w:trPr>
          <w:trHeight w:val="183"/>
        </w:trPr>
        <w:tc>
          <w:tcPr>
            <w:tcW w:w="52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restricted stock units/awards outstanding, end of period</w:t>
            </w:r>
          </w:p>
        </w:tc>
        <w:tc>
          <w:tcPr>
            <w:tcW w:w="16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91,228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34.08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7" w:name="page138"/>
    <w:bookmarkEnd w:id="13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539"/>
        <w:spacing w:after="0" w:line="271" w:lineRule="auto"/>
        <w:rPr>
          <w:sz w:val="20"/>
          <w:szCs w:val="20"/>
          <w:color w:val="auto"/>
        </w:rPr>
      </w:pPr>
      <w:r>
        <w:rPr>
          <w:rFonts w:ascii="Arial" w:cs="Arial" w:eastAsia="Arial" w:hAnsi="Arial"/>
          <w:sz w:val="18"/>
          <w:szCs w:val="18"/>
          <w:color w:val="auto"/>
        </w:rPr>
        <w:t>The following table summarizes additional information about EchoStar stock options and restricted stock units and awards associated with our employees:</w:t>
      </w:r>
    </w:p>
    <w:p>
      <w:pPr>
        <w:spacing w:after="0" w:line="64"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For the Years Ended December 31,</w:t>
            </w:r>
          </w:p>
        </w:tc>
      </w:tr>
      <w:tr>
        <w:trPr>
          <w:trHeight w:val="189"/>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r>
      <w:tr>
        <w:trPr>
          <w:trHeight w:val="169"/>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7"/>
          </w:tcPr>
          <w:p>
            <w:pPr>
              <w:jc w:val="center"/>
              <w:ind w:right="59"/>
              <w:spacing w:after="0" w:line="169" w:lineRule="exact"/>
              <w:rPr>
                <w:sz w:val="20"/>
                <w:szCs w:val="20"/>
                <w:color w:val="auto"/>
              </w:rPr>
            </w:pPr>
            <w:r>
              <w:rPr>
                <w:rFonts w:ascii="Arial" w:cs="Arial" w:eastAsia="Arial" w:hAnsi="Arial"/>
                <w:sz w:val="16"/>
                <w:szCs w:val="16"/>
                <w:color w:val="auto"/>
              </w:rPr>
              <w:t>(In thousands, except per share amounts)</w:t>
            </w:r>
          </w:p>
        </w:tc>
      </w:tr>
      <w:tr>
        <w:trPr>
          <w:trHeight w:val="189"/>
        </w:trPr>
        <w:tc>
          <w:tcPr>
            <w:tcW w:w="5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 options:</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6"/>
                <w:szCs w:val="16"/>
                <w:color w:val="auto"/>
              </w:rPr>
              <w:t>Weighted-average grant date fair value of options granted</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14.66</w:t>
            </w:r>
          </w:p>
        </w:tc>
        <w:tc>
          <w:tcPr>
            <w:tcW w:w="3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28.24</w:t>
            </w:r>
          </w:p>
        </w:tc>
        <w:tc>
          <w:tcPr>
            <w:tcW w:w="4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63.90</w:t>
            </w:r>
          </w:p>
        </w:tc>
      </w:tr>
      <w:tr>
        <w:trPr>
          <w:trHeight w:val="169"/>
        </w:trPr>
        <w:tc>
          <w:tcPr>
            <w:tcW w:w="50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Intrinsic value of options exercised</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848</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98</w:t>
            </w:r>
          </w:p>
        </w:tc>
      </w:tr>
      <w:tr>
        <w:trPr>
          <w:trHeight w:val="20"/>
        </w:trPr>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0"/>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9"/>
        </w:trPr>
        <w:tc>
          <w:tcPr>
            <w:tcW w:w="5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Restricted stock units and awards:</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6"/>
                <w:szCs w:val="16"/>
                <w:color w:val="auto"/>
              </w:rPr>
              <w:t>Weighted-average grant date fair value of units and awards granted</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16.70</w:t>
            </w:r>
          </w:p>
        </w:tc>
        <w:tc>
          <w:tcPr>
            <w:tcW w:w="3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17.50</w:t>
            </w:r>
          </w:p>
        </w:tc>
        <w:tc>
          <w:tcPr>
            <w:tcW w:w="4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88.39</w:t>
            </w:r>
          </w:p>
        </w:tc>
      </w:tr>
      <w:tr>
        <w:trPr>
          <w:trHeight w:val="170"/>
        </w:trPr>
        <w:tc>
          <w:tcPr>
            <w:tcW w:w="50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Fair value of units and rewards vested</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443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5,612</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2,212</w:t>
            </w:r>
          </w:p>
        </w:tc>
      </w:tr>
      <w:tr>
        <w:trPr>
          <w:trHeight w:val="20"/>
        </w:trPr>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Performance-Based Plans</w:t>
      </w:r>
    </w:p>
    <w:p>
      <w:pPr>
        <w:spacing w:after="0" w:line="142" w:lineRule="exact"/>
        <w:rPr>
          <w:sz w:val="20"/>
          <w:szCs w:val="20"/>
          <w:color w:val="auto"/>
        </w:rPr>
      </w:pPr>
    </w:p>
    <w:p>
      <w:pPr>
        <w:ind w:left="200" w:right="299"/>
        <w:spacing w:after="0" w:line="237" w:lineRule="auto"/>
        <w:rPr>
          <w:sz w:val="20"/>
          <w:szCs w:val="20"/>
          <w:color w:val="auto"/>
        </w:rPr>
      </w:pPr>
      <w:r>
        <w:rPr>
          <w:rFonts w:ascii="Arial" w:cs="Arial" w:eastAsia="Arial" w:hAnsi="Arial"/>
          <w:sz w:val="18"/>
          <w:szCs w:val="18"/>
          <w:b w:val="1"/>
          <w:bCs w:val="1"/>
          <w:i w:val="1"/>
          <w:iCs w:val="1"/>
          <w:color w:val="auto"/>
        </w:rPr>
        <w:t xml:space="preserve">2017 LTIP. </w:t>
      </w:r>
      <w:r>
        <w:rPr>
          <w:rFonts w:ascii="Arial" w:cs="Arial" w:eastAsia="Arial" w:hAnsi="Arial"/>
          <w:sz w:val="18"/>
          <w:szCs w:val="18"/>
          <w:color w:val="auto"/>
        </w:rPr>
        <w:t>On December 2, 2016, EchoStar adopted a long-term, performance-based stock incentive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“2017 LTIP”). The 2017 LTIP provided stock options, which were subject to vesting based on certain</w:t>
      </w:r>
    </w:p>
    <w:p>
      <w:pPr>
        <w:ind w:left="200"/>
        <w:spacing w:after="0" w:line="235" w:lineRule="auto"/>
        <w:rPr>
          <w:sz w:val="20"/>
          <w:szCs w:val="20"/>
          <w:color w:val="auto"/>
        </w:rPr>
      </w:pPr>
      <w:r>
        <w:rPr>
          <w:rFonts w:ascii="Arial" w:cs="Arial" w:eastAsia="Arial" w:hAnsi="Arial"/>
          <w:sz w:val="18"/>
          <w:szCs w:val="18"/>
          <w:color w:val="auto"/>
        </w:rPr>
        <w:t>EchoStar-specific subscriber and financial performance conditions. Awards were initially granted under the</w:t>
      </w:r>
    </w:p>
    <w:p>
      <w:pPr>
        <w:spacing w:after="0" w:line="1" w:lineRule="exact"/>
        <w:rPr>
          <w:sz w:val="20"/>
          <w:szCs w:val="20"/>
          <w:color w:val="auto"/>
        </w:rPr>
      </w:pPr>
    </w:p>
    <w:p>
      <w:pPr>
        <w:ind w:left="200" w:right="939"/>
        <w:spacing w:after="0" w:line="248" w:lineRule="auto"/>
        <w:rPr>
          <w:sz w:val="20"/>
          <w:szCs w:val="20"/>
          <w:color w:val="auto"/>
        </w:rPr>
      </w:pPr>
      <w:r>
        <w:rPr>
          <w:rFonts w:ascii="Arial" w:cs="Arial" w:eastAsia="Arial" w:hAnsi="Arial"/>
          <w:sz w:val="17"/>
          <w:szCs w:val="17"/>
          <w:color w:val="auto"/>
        </w:rPr>
        <w:t>2017 LTIP as of January 1, 2017. Exercise of the stock awards was contingent on achieving these performance conditions by December 31, 2020, however, none of the performance conditions were</w:t>
      </w:r>
    </w:p>
    <w:p>
      <w:pPr>
        <w:spacing w:after="0" w:line="1" w:lineRule="exact"/>
        <w:rPr>
          <w:sz w:val="20"/>
          <w:szCs w:val="20"/>
          <w:color w:val="auto"/>
        </w:rPr>
      </w:pPr>
    </w:p>
    <w:p>
      <w:pPr>
        <w:ind w:left="200" w:right="619"/>
        <w:spacing w:after="0" w:line="250" w:lineRule="auto"/>
        <w:rPr>
          <w:sz w:val="20"/>
          <w:szCs w:val="20"/>
          <w:color w:val="auto"/>
        </w:rPr>
      </w:pPr>
      <w:r>
        <w:rPr>
          <w:rFonts w:ascii="Arial" w:cs="Arial" w:eastAsia="Arial" w:hAnsi="Arial"/>
          <w:sz w:val="18"/>
          <w:szCs w:val="18"/>
          <w:color w:val="auto"/>
        </w:rPr>
        <w:t>achieved. This plan will expire on January 1, 2027 which as of December 31, 2024, would result in the cancellation of 429,037 stock options.</w:t>
      </w:r>
    </w:p>
    <w:p>
      <w:pPr>
        <w:spacing w:after="0" w:line="158" w:lineRule="exact"/>
        <w:rPr>
          <w:sz w:val="20"/>
          <w:szCs w:val="20"/>
          <w:color w:val="auto"/>
        </w:rPr>
      </w:pPr>
    </w:p>
    <w:p>
      <w:pPr>
        <w:jc w:val="both"/>
        <w:ind w:left="200" w:right="399"/>
        <w:spacing w:after="0" w:line="247" w:lineRule="auto"/>
        <w:rPr>
          <w:sz w:val="20"/>
          <w:szCs w:val="20"/>
          <w:color w:val="auto"/>
        </w:rPr>
      </w:pPr>
      <w:r>
        <w:rPr>
          <w:rFonts w:ascii="Arial" w:cs="Arial" w:eastAsia="Arial" w:hAnsi="Arial"/>
          <w:sz w:val="18"/>
          <w:szCs w:val="18"/>
          <w:b w:val="1"/>
          <w:bCs w:val="1"/>
          <w:i w:val="1"/>
          <w:iCs w:val="1"/>
          <w:color w:val="auto"/>
        </w:rPr>
        <w:t xml:space="preserve">2019 LTIP. </w:t>
      </w:r>
      <w:r>
        <w:rPr>
          <w:rFonts w:ascii="Arial" w:cs="Arial" w:eastAsia="Arial" w:hAnsi="Arial"/>
          <w:sz w:val="18"/>
          <w:szCs w:val="18"/>
          <w:color w:val="auto"/>
        </w:rPr>
        <w:t>On August 17, 2018, EchoStar adopted a long-term, performance-based stock incentive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“2019 LTIP”). The 2019 LTIP provides stock options, which vest based on certain EchoStar-specific subscriber, operational and/or financial performance conditions. Vesting of the stock awards is contingent on achieving these conditions by December 31, 2023.</w:t>
      </w:r>
    </w:p>
    <w:p>
      <w:pPr>
        <w:spacing w:after="0" w:line="160" w:lineRule="exact"/>
        <w:rPr>
          <w:sz w:val="20"/>
          <w:szCs w:val="20"/>
          <w:color w:val="auto"/>
        </w:rPr>
      </w:pPr>
    </w:p>
    <w:p>
      <w:pPr>
        <w:ind w:left="200" w:right="279"/>
        <w:spacing w:after="0" w:line="242" w:lineRule="auto"/>
        <w:rPr>
          <w:sz w:val="20"/>
          <w:szCs w:val="20"/>
          <w:color w:val="auto"/>
        </w:rPr>
      </w:pPr>
      <w:r>
        <w:rPr>
          <w:rFonts w:ascii="Arial" w:cs="Arial" w:eastAsia="Arial" w:hAnsi="Arial"/>
          <w:sz w:val="18"/>
          <w:szCs w:val="18"/>
          <w:color w:val="auto"/>
        </w:rPr>
        <w:t>Although no awards vest until EchoStar attains the performance conditions described above, compensation related to the 2019 LTIP will be recorded based on EchoStar’s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pacing w:after="0" w:line="165" w:lineRule="exact"/>
        <w:rPr>
          <w:sz w:val="20"/>
          <w:szCs w:val="20"/>
          <w:color w:val="auto"/>
        </w:rPr>
      </w:pPr>
    </w:p>
    <w:p>
      <w:pPr>
        <w:ind w:left="200" w:right="239"/>
        <w:spacing w:after="0" w:line="242" w:lineRule="auto"/>
        <w:rPr>
          <w:sz w:val="20"/>
          <w:szCs w:val="20"/>
          <w:color w:val="auto"/>
        </w:rPr>
      </w:pPr>
      <w:r>
        <w:rPr>
          <w:rFonts w:ascii="Arial" w:cs="Arial" w:eastAsia="Arial" w:hAnsi="Arial"/>
          <w:sz w:val="18"/>
          <w:szCs w:val="18"/>
          <w:color w:val="auto"/>
        </w:rPr>
        <w:t>During the years ended December 31, 2023 and 2022, EchoStar determined that 85% and 89%, respectively, of the 2019 LTIP performance conditions were probable of achievement. As a result, non-cash, stock-based compensation expense was recorded for the years ended December 31, 2023 and 2022, as indicated in the table below titled “Non-Cash, Stock-Based Compensation Expense Recognized.” As of December 31, 2023 and 2022, approximately 78%, and 75%, respectively, of the 2019 LTIP awards had vested.</w:t>
      </w:r>
    </w:p>
    <w:p>
      <w:pPr>
        <w:spacing w:after="0" w:line="165" w:lineRule="exact"/>
        <w:rPr>
          <w:sz w:val="20"/>
          <w:szCs w:val="20"/>
          <w:color w:val="auto"/>
        </w:rPr>
      </w:pPr>
    </w:p>
    <w:p>
      <w:pPr>
        <w:ind w:left="200" w:right="319"/>
        <w:spacing w:after="0" w:line="244" w:lineRule="auto"/>
        <w:rPr>
          <w:sz w:val="20"/>
          <w:szCs w:val="20"/>
          <w:color w:val="auto"/>
        </w:rPr>
      </w:pPr>
      <w:r>
        <w:rPr>
          <w:rFonts w:ascii="Arial" w:cs="Arial" w:eastAsia="Arial" w:hAnsi="Arial"/>
          <w:sz w:val="18"/>
          <w:szCs w:val="18"/>
          <w:b w:val="1"/>
          <w:bCs w:val="1"/>
          <w:i w:val="1"/>
          <w:iCs w:val="1"/>
          <w:color w:val="auto"/>
        </w:rPr>
        <w:t xml:space="preserve">2022 Incentive Plan. </w:t>
      </w:r>
      <w:r>
        <w:rPr>
          <w:rFonts w:ascii="Arial" w:cs="Arial" w:eastAsia="Arial" w:hAnsi="Arial"/>
          <w:sz w:val="18"/>
          <w:szCs w:val="18"/>
          <w:color w:val="auto"/>
        </w:rPr>
        <w:t>On December 30, 2021, EchoStar adopted a performance-based incentive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Incentive Plan”). The 2022 Incentive Plan provides stock options, which vest based on certain EchoStar-specific operational and/or financial performance conditions. Awards were initially granted under the 2022 Incentive Plan as of February 1, 2022. Exercise of the stock awards is contingent on achieving these conditions by December 31, 2026.</w:t>
      </w:r>
    </w:p>
    <w:p>
      <w:pPr>
        <w:spacing w:after="0" w:line="163" w:lineRule="exact"/>
        <w:rPr>
          <w:sz w:val="20"/>
          <w:szCs w:val="20"/>
          <w:color w:val="auto"/>
        </w:rPr>
      </w:pPr>
    </w:p>
    <w:p>
      <w:pPr>
        <w:ind w:left="200" w:right="279"/>
        <w:spacing w:after="0" w:line="242" w:lineRule="auto"/>
        <w:rPr>
          <w:sz w:val="20"/>
          <w:szCs w:val="20"/>
          <w:color w:val="auto"/>
        </w:rPr>
      </w:pPr>
      <w:r>
        <w:rPr>
          <w:rFonts w:ascii="Arial" w:cs="Arial" w:eastAsia="Arial" w:hAnsi="Arial"/>
          <w:sz w:val="18"/>
          <w:szCs w:val="18"/>
          <w:color w:val="auto"/>
        </w:rPr>
        <w:t>Although no awards vest until EchoStar attains the performance conditions described above, compensation related to the 2022 Incentive Plan will be recorded based on EchoStar’s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8" w:name="page139"/>
    <w:bookmarkEnd w:id="13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259"/>
        <w:spacing w:after="0" w:line="242" w:lineRule="auto"/>
        <w:rPr>
          <w:sz w:val="20"/>
          <w:szCs w:val="20"/>
          <w:color w:val="auto"/>
        </w:rPr>
      </w:pPr>
      <w:r>
        <w:rPr>
          <w:rFonts w:ascii="Arial" w:cs="Arial" w:eastAsia="Arial" w:hAnsi="Arial"/>
          <w:sz w:val="18"/>
          <w:szCs w:val="18"/>
          <w:color w:val="auto"/>
        </w:rPr>
        <w:t>During each of the years ended December 31, 2024, 2023 and 2022, EchoStar determined that 100% of the 2022 Incentive Plan performance conditions were probable of achievement. As a result, non-cash, stock-based compensation expense was recorded for the years ended December 31, 2024, 2023 and 2022 as indicated in the table below titled “Non-Cash, Stock-Based Compensation Expense Recognized.” As of December 31, 2024, 2023 and 2022, approximately 33%, 17% and 33%, respectively, of the 2022 Incentive Plan awards had vested.</w:t>
      </w:r>
    </w:p>
    <w:p>
      <w:pPr>
        <w:spacing w:after="0" w:line="165" w:lineRule="exact"/>
        <w:rPr>
          <w:sz w:val="20"/>
          <w:szCs w:val="20"/>
          <w:color w:val="auto"/>
        </w:rPr>
      </w:pPr>
    </w:p>
    <w:p>
      <w:pPr>
        <w:ind w:left="200" w:right="279"/>
        <w:spacing w:after="0" w:line="242" w:lineRule="auto"/>
        <w:rPr>
          <w:sz w:val="20"/>
          <w:szCs w:val="20"/>
          <w:color w:val="auto"/>
        </w:rPr>
      </w:pPr>
      <w:r>
        <w:rPr>
          <w:rFonts w:ascii="Arial" w:cs="Arial" w:eastAsia="Arial" w:hAnsi="Arial"/>
          <w:sz w:val="18"/>
          <w:szCs w:val="18"/>
          <w:b w:val="1"/>
          <w:bCs w:val="1"/>
          <w:i w:val="1"/>
          <w:iCs w:val="1"/>
          <w:color w:val="auto"/>
        </w:rPr>
        <w:t xml:space="preserve">Ergen 2020 Performance Award. </w:t>
      </w:r>
      <w:r>
        <w:rPr>
          <w:rFonts w:ascii="Arial" w:cs="Arial" w:eastAsia="Arial" w:hAnsi="Arial"/>
          <w:sz w:val="18"/>
          <w:szCs w:val="18"/>
          <w:color w:val="auto"/>
        </w:rPr>
        <w:t>On November 4, 2020, our Executive Compensation Committee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at that time, approved an award to Charles W. Ergen, our Chairman, of long-term performance-based options (the “Ergen 2020 Performance Award”) to purchase up to 4,385,962 shares of EchoStar’s Class A common stock. The award is subject to the achievement of specified EchoStar Class A common stock price targets during the approximate ten-year period following the date of grant. The award was granted on November 6, 2020 and will expire on February 6, 2031.</w:t>
      </w:r>
    </w:p>
    <w:p>
      <w:pPr>
        <w:spacing w:after="0" w:line="165" w:lineRule="exact"/>
        <w:rPr>
          <w:sz w:val="20"/>
          <w:szCs w:val="20"/>
          <w:color w:val="auto"/>
        </w:rPr>
      </w:pPr>
    </w:p>
    <w:p>
      <w:pPr>
        <w:ind w:left="200" w:right="279"/>
        <w:spacing w:after="0" w:line="238" w:lineRule="auto"/>
        <w:rPr>
          <w:sz w:val="20"/>
          <w:szCs w:val="20"/>
          <w:color w:val="auto"/>
        </w:rPr>
      </w:pPr>
      <w:r>
        <w:rPr>
          <w:rFonts w:ascii="Arial" w:cs="Arial" w:eastAsia="Arial" w:hAnsi="Arial"/>
          <w:sz w:val="18"/>
          <w:szCs w:val="18"/>
          <w:color w:val="auto"/>
        </w:rPr>
        <w:t>Although no awards will vest until the market conditions are satisfied, as of December 31, 2020, we began recording non-cash, stock-based compensation expense for each vesting tranche based on the estimated achievement date of the specified stock price target. The valuation and probability of achievement for each tranche is determined using a Monte Carlo simulation. The same Monte Carlo simulation is used as the basis for determining the expected achievement date. As the probability of achievement is factored in as part of the Monte Carlo simulation, the expense for these tranches will be recognized concurrently over each tranche’s estimated achievement date even if some or all of the options never vest. If the related milestone for a tranche is achieved earlier than is expected, all unamortized expense for such tranche will be recognized immediately. Non-cash, stock-based compensation expense was recorded for the years ended December 31, 2024, 2023 and 2022, as indicated in the table below titled “Non-Cash, Stock-Based Compensation Expense Recognized.” As of December 31, 2024, 2023 and 2022, approximately 20% of the Ergen 2020 Performance Award awards had vested.</w:t>
      </w:r>
    </w:p>
    <w:p>
      <w:pPr>
        <w:spacing w:after="0" w:line="169" w:lineRule="exact"/>
        <w:rPr>
          <w:sz w:val="20"/>
          <w:szCs w:val="20"/>
          <w:color w:val="auto"/>
        </w:rPr>
      </w:pPr>
    </w:p>
    <w:p>
      <w:pPr>
        <w:ind w:left="200" w:right="239"/>
        <w:spacing w:after="0" w:line="271" w:lineRule="auto"/>
        <w:rPr>
          <w:sz w:val="20"/>
          <w:szCs w:val="20"/>
          <w:color w:val="auto"/>
        </w:rPr>
      </w:pPr>
      <w:r>
        <w:rPr>
          <w:rFonts w:ascii="Arial" w:cs="Arial" w:eastAsia="Arial" w:hAnsi="Arial"/>
          <w:sz w:val="18"/>
          <w:szCs w:val="18"/>
          <w:color w:val="auto"/>
        </w:rPr>
        <w:t>The non-cash, stock-based compensation expense associated with these awards for our employees was as follows:</w:t>
      </w:r>
    </w:p>
    <w:p>
      <w:pPr>
        <w:spacing w:after="0" w:line="104"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49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Non-Cash, Stock-Based Compensation Expense Recognized (1)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gridSpan w:val="9"/>
          </w:tcPr>
          <w:p>
            <w:pPr>
              <w:jc w:val="right"/>
              <w:ind w:right="42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spacing w:after="0" w:line="183" w:lineRule="exact"/>
              <w:rPr>
                <w:sz w:val="20"/>
                <w:szCs w:val="20"/>
                <w:color w:val="auto"/>
              </w:rPr>
            </w:pPr>
            <w:r>
              <w:rPr>
                <w:rFonts w:ascii="Arial" w:cs="Arial" w:eastAsia="Arial" w:hAnsi="Arial"/>
                <w:sz w:val="16"/>
                <w:szCs w:val="16"/>
                <w:color w:val="auto"/>
                <w:w w:val="95"/>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Plan</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1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20"/>
                <w:szCs w:val="20"/>
                <w:color w:val="auto"/>
              </w:rPr>
            </w:pPr>
            <w:r>
              <w:rPr>
                <w:rFonts w:ascii="Arial" w:cs="Arial" w:eastAsia="Arial" w:hAnsi="Arial"/>
                <w:sz w:val="16"/>
                <w:szCs w:val="16"/>
                <w:color w:val="auto"/>
              </w:rPr>
              <w:t>2019</w:t>
            </w:r>
          </w:p>
        </w:tc>
        <w:tc>
          <w:tcPr>
            <w:tcW w:w="4560" w:type="dxa"/>
            <w:vAlign w:val="bottom"/>
          </w:tcPr>
          <w:p>
            <w:pPr>
              <w:ind w:left="20"/>
              <w:spacing w:after="0"/>
              <w:rPr>
                <w:sz w:val="20"/>
                <w:szCs w:val="20"/>
                <w:color w:val="auto"/>
              </w:rPr>
            </w:pPr>
            <w:r>
              <w:rPr>
                <w:rFonts w:ascii="Arial" w:cs="Arial" w:eastAsia="Arial" w:hAnsi="Arial"/>
                <w:sz w:val="16"/>
                <w:szCs w:val="16"/>
                <w:color w:val="auto"/>
              </w:rPr>
              <w:t>LTIP</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9"/>
        </w:trPr>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Ergen 2020 Performance Award</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employee performance awards</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4,502</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94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Total non-cash, stock-based compensation expense recognized</w:t>
            </w: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11,965</w:t>
            </w:r>
          </w:p>
        </w:tc>
        <w:tc>
          <w:tcPr>
            <w:tcW w:w="38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18,213</w:t>
            </w:r>
          </w:p>
        </w:tc>
        <w:tc>
          <w:tcPr>
            <w:tcW w:w="10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35,801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for performance based awards</w:t>
            </w:r>
          </w:p>
        </w:tc>
        <w:tc>
          <w:tcPr>
            <w:tcW w:w="4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“Non-Cash, Stock-Based Compensation Expense Recognized” includes actual forfeitures.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Ergen 2020</w:t>
            </w:r>
          </w:p>
        </w:tc>
      </w:tr>
      <w:tr>
        <w:trPr>
          <w:trHeight w:val="189"/>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Estimated Remaining Non-Cash, Stock-</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Performance</w:t>
            </w:r>
          </w:p>
        </w:tc>
      </w:tr>
      <w:tr>
        <w:trPr>
          <w:trHeight w:val="203"/>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Based Compensation Expense</w:t>
            </w:r>
          </w:p>
        </w:tc>
        <w:tc>
          <w:tcPr>
            <w:tcW w:w="6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 Incentive Plan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Award</w:t>
            </w: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40" w:type="dxa"/>
            <w:vAlign w:val="bottom"/>
            <w:gridSpan w:val="4"/>
          </w:tcPr>
          <w:p>
            <w:pPr>
              <w:jc w:val="right"/>
              <w:ind w:right="1019"/>
              <w:spacing w:after="0" w:line="183" w:lineRule="exact"/>
              <w:rPr>
                <w:sz w:val="20"/>
                <w:szCs w:val="20"/>
                <w:color w:val="auto"/>
              </w:rPr>
            </w:pPr>
            <w:r>
              <w:rPr>
                <w:rFonts w:ascii="Arial" w:cs="Arial" w:eastAsia="Arial" w:hAnsi="Arial"/>
                <w:sz w:val="16"/>
                <w:szCs w:val="16"/>
                <w:color w:val="auto"/>
              </w:rPr>
              <w:t>(In thousands)</w:t>
            </w:r>
          </w:p>
        </w:tc>
      </w:tr>
      <w:tr>
        <w:trPr>
          <w:trHeight w:val="189"/>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Expense estimated to be recognized during 2025</w:t>
            </w:r>
          </w:p>
        </w:tc>
        <w:tc>
          <w:tcPr>
            <w:tcW w:w="640" w:type="dxa"/>
            <w:vAlign w:val="bottom"/>
            <w:gridSpan w:val="2"/>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7,639</w:t>
            </w:r>
          </w:p>
        </w:tc>
      </w:tr>
      <w:tr>
        <w:trPr>
          <w:trHeight w:val="189"/>
        </w:trPr>
        <w:tc>
          <w:tcPr>
            <w:tcW w:w="20" w:type="dxa"/>
            <w:vAlign w:val="bottom"/>
          </w:tcPr>
          <w:p>
            <w:pPr>
              <w:spacing w:after="0"/>
              <w:rPr>
                <w:sz w:val="16"/>
                <w:szCs w:val="16"/>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Estimated contingent expense subsequent to 2025</w:t>
            </w:r>
          </w:p>
        </w:tc>
        <w:tc>
          <w:tcPr>
            <w:tcW w:w="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9,274</w:t>
            </w:r>
          </w:p>
        </w:tc>
      </w:tr>
      <w:tr>
        <w:trPr>
          <w:trHeight w:val="183"/>
        </w:trPr>
        <w:tc>
          <w:tcPr>
            <w:tcW w:w="20" w:type="dxa"/>
            <w:vAlign w:val="bottom"/>
          </w:tcPr>
          <w:p>
            <w:pPr>
              <w:spacing w:after="0"/>
              <w:rPr>
                <w:sz w:val="15"/>
                <w:szCs w:val="15"/>
                <w:color w:val="auto"/>
              </w:rPr>
            </w:pPr>
          </w:p>
        </w:tc>
        <w:tc>
          <w:tcPr>
            <w:tcW w:w="53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estimated remaining expense over the term of the plan</w:t>
            </w: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1,248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16,913</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00" w:right="719"/>
        <w:spacing w:after="0" w:line="244" w:lineRule="auto"/>
        <w:rPr>
          <w:sz w:val="20"/>
          <w:szCs w:val="20"/>
          <w:color w:val="auto"/>
        </w:rPr>
      </w:pPr>
      <w:r>
        <w:rPr>
          <w:rFonts w:ascii="Arial" w:cs="Arial" w:eastAsia="Arial" w:hAnsi="Arial"/>
          <w:sz w:val="18"/>
          <w:szCs w:val="18"/>
          <w:color w:val="auto"/>
        </w:rPr>
        <w:t>Given the competitive nature of EchoStar’s business, small variations in subscriber churn, gross new subscriber activation rates and certain other factors can significantly impact subscriber growth. Consequently, while it was determined that achievement of certain other EchoStar-specific subscriber, operational and/or financial performance conditions were not probable as of December 31, 2024, that assessment could change in the future.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9" w:name="page140"/>
    <w:bookmarkEnd w:id="13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499"/>
        <w:spacing w:after="0" w:line="253" w:lineRule="auto"/>
        <w:rPr>
          <w:sz w:val="20"/>
          <w:szCs w:val="20"/>
          <w:color w:val="auto"/>
        </w:rPr>
      </w:pPr>
      <w:r>
        <w:rPr>
          <w:rFonts w:ascii="Arial" w:cs="Arial" w:eastAsia="Arial" w:hAnsi="Arial"/>
          <w:sz w:val="18"/>
          <w:szCs w:val="18"/>
          <w:color w:val="auto"/>
        </w:rPr>
        <w:t>Of the 9.5 million stock options and 91 thousand restricted stock units and awards outstanding under the EchoStar stock incentive plans associated with our employees as of December 31, 2024, the following awards were outstanding pursuant to the performance-based stock incentive plans:</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820"/>
              <w:spacing w:after="0"/>
              <w:rPr>
                <w:sz w:val="20"/>
                <w:szCs w:val="20"/>
                <w:color w:val="auto"/>
              </w:rPr>
            </w:pPr>
            <w:r>
              <w:rPr>
                <w:rFonts w:ascii="Arial" w:cs="Arial" w:eastAsia="Arial" w:hAnsi="Arial"/>
                <w:sz w:val="16"/>
                <w:szCs w:val="16"/>
                <w:b w:val="1"/>
                <w:bCs w:val="1"/>
                <w:color w:val="auto"/>
              </w:rPr>
              <w:t>As of December 31, 2024</w:t>
            </w: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ind w:right="199"/>
              <w:spacing w:after="0" w:line="175" w:lineRule="exact"/>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Average</w:t>
            </w:r>
          </w:p>
        </w:tc>
      </w:tr>
      <w:tr>
        <w:trPr>
          <w:trHeight w:val="203"/>
        </w:trPr>
        <w:tc>
          <w:tcPr>
            <w:tcW w:w="4880" w:type="dxa"/>
            <w:vAlign w:val="bottom"/>
            <w:gridSpan w:val="4"/>
          </w:tcPr>
          <w:p>
            <w:pPr>
              <w:spacing w:after="0"/>
              <w:rPr>
                <w:sz w:val="20"/>
                <w:szCs w:val="20"/>
                <w:color w:val="auto"/>
              </w:rPr>
            </w:pPr>
            <w:r>
              <w:rPr>
                <w:rFonts w:ascii="Arial" w:cs="Arial" w:eastAsia="Arial" w:hAnsi="Arial"/>
                <w:sz w:val="16"/>
                <w:szCs w:val="16"/>
                <w:b w:val="1"/>
                <w:bCs w:val="1"/>
                <w:color w:val="auto"/>
              </w:rPr>
              <w:t>Performance Based Stock Options</w:t>
            </w: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Awards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Grant Price</w:t>
            </w:r>
          </w:p>
        </w:tc>
      </w:tr>
      <w:tr>
        <w:trPr>
          <w:trHeight w:val="183"/>
        </w:trPr>
        <w:tc>
          <w:tcPr>
            <w:tcW w:w="20" w:type="dxa"/>
            <w:vAlign w:val="bottom"/>
          </w:tcPr>
          <w:p>
            <w:pPr>
              <w:spacing w:after="0"/>
              <w:rPr>
                <w:sz w:val="15"/>
                <w:szCs w:val="15"/>
                <w:color w:val="auto"/>
              </w:rPr>
            </w:pPr>
          </w:p>
        </w:tc>
        <w:tc>
          <w:tcPr>
            <w:tcW w:w="3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2022</w:t>
            </w:r>
          </w:p>
        </w:tc>
        <w:tc>
          <w:tcPr>
            <w:tcW w:w="430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Incentive Plan</w:t>
            </w:r>
          </w:p>
        </w:tc>
        <w:tc>
          <w:tcPr>
            <w:tcW w:w="1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154,257</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14.64</w:t>
            </w:r>
          </w:p>
        </w:tc>
        <w:tc>
          <w:tcPr>
            <w:tcW w:w="180" w:type="dxa"/>
            <w:vAlign w:val="bottom"/>
            <w:tcBorders>
              <w:top w:val="single" w:sz="8" w:color="CCEEFF"/>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2019</w:t>
            </w: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LTIP</w:t>
            </w:r>
          </w:p>
        </w:tc>
        <w:tc>
          <w:tcPr>
            <w:tcW w:w="1580" w:type="dxa"/>
            <w:vAlign w:val="bottom"/>
          </w:tcPr>
          <w:p>
            <w:pPr>
              <w:jc w:val="right"/>
              <w:spacing w:after="0"/>
              <w:rPr>
                <w:sz w:val="20"/>
                <w:szCs w:val="20"/>
                <w:color w:val="auto"/>
              </w:rPr>
            </w:pPr>
            <w:r>
              <w:rPr>
                <w:rFonts w:ascii="Arial" w:cs="Arial" w:eastAsia="Arial" w:hAnsi="Arial"/>
                <w:sz w:val="16"/>
                <w:szCs w:val="16"/>
                <w:color w:val="auto"/>
              </w:rPr>
              <w:t>208,024</w:t>
            </w:r>
          </w:p>
        </w:tc>
        <w:tc>
          <w:tcPr>
            <w:tcW w:w="4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60.37</w:t>
            </w:r>
          </w:p>
        </w:tc>
        <w:tc>
          <w:tcPr>
            <w:tcW w:w="1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LTIP</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429,037</w:t>
            </w:r>
          </w:p>
        </w:tc>
        <w:tc>
          <w:tcPr>
            <w:tcW w:w="46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165.32</w:t>
            </w:r>
          </w:p>
        </w:tc>
        <w:tc>
          <w:tcPr>
            <w:tcW w:w="18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8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Ergen 2020 Performance Award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3,508,770</w:t>
            </w:r>
          </w:p>
        </w:tc>
        <w:tc>
          <w:tcPr>
            <w:tcW w:w="46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78.98</w:t>
            </w:r>
          </w:p>
        </w:tc>
        <w:tc>
          <w:tcPr>
            <w:tcW w:w="180" w:type="dxa"/>
            <w:vAlign w:val="bottom"/>
            <w:tcBorders>
              <w:bottom w:val="single" w:sz="8" w:color="CCEEFF"/>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w w:val="94"/>
              </w:rPr>
              <w:t>Total</w:t>
            </w:r>
          </w:p>
        </w:tc>
        <w:tc>
          <w:tcPr>
            <w:tcW w:w="4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4,300,088</w:t>
            </w:r>
          </w:p>
        </w:tc>
        <w:tc>
          <w:tcPr>
            <w:tcW w:w="460" w:type="dxa"/>
            <w:vAlign w:val="bottom"/>
            <w:tcBorders>
              <w:bottom w:val="single" w:sz="8" w:color="CCEEFF"/>
            </w:tcBorders>
            <w:gridSpan w:val="2"/>
            <w:shd w:val="clear" w:color="auto" w:fill="CCEEFF"/>
          </w:tcPr>
          <w:p>
            <w:pPr>
              <w:jc w:val="right"/>
              <w:ind w:right="104"/>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84.39</w:t>
            </w:r>
          </w:p>
        </w:tc>
        <w:tc>
          <w:tcPr>
            <w:tcW w:w="180" w:type="dxa"/>
            <w:vAlign w:val="bottom"/>
            <w:tcBorders>
              <w:bottom w:val="single" w:sz="8" w:color="CCEEFF"/>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6" w:lineRule="exact"/>
        <w:rPr>
          <w:sz w:val="20"/>
          <w:szCs w:val="20"/>
          <w:color w:val="auto"/>
        </w:rPr>
      </w:pPr>
    </w:p>
    <w:p>
      <w:pPr>
        <w:jc w:val="both"/>
        <w:ind w:left="200" w:right="239"/>
        <w:spacing w:after="0" w:line="253" w:lineRule="auto"/>
        <w:rPr>
          <w:sz w:val="20"/>
          <w:szCs w:val="20"/>
          <w:color w:val="auto"/>
        </w:rPr>
      </w:pPr>
      <w:r>
        <w:rPr>
          <w:rFonts w:ascii="Arial" w:cs="Arial" w:eastAsia="Arial" w:hAnsi="Arial"/>
          <w:sz w:val="18"/>
          <w:szCs w:val="18"/>
          <w:color w:val="auto"/>
        </w:rPr>
        <w:t>Total non-cash, stock-based compensation expense for all of our employees is shown in the following table for the years ended December 31, 2024, 2023 and 2022 and was allocated to the same expense categories as the base compensation for such employees:</w:t>
      </w:r>
    </w:p>
    <w:p>
      <w:pPr>
        <w:spacing w:after="0" w:line="120"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9"/>
          </w:tcPr>
          <w:p>
            <w:pPr>
              <w:ind w:left="80"/>
              <w:spacing w:after="0"/>
              <w:rPr>
                <w:sz w:val="20"/>
                <w:szCs w:val="20"/>
                <w:color w:val="auto"/>
              </w:rPr>
            </w:pPr>
            <w:r>
              <w:rPr>
                <w:rFonts w:ascii="Arial" w:cs="Arial" w:eastAsia="Arial" w:hAnsi="Arial"/>
                <w:sz w:val="16"/>
                <w:szCs w:val="16"/>
                <w:b w:val="1"/>
                <w:bCs w:val="1"/>
                <w:color w:val="auto"/>
              </w:rPr>
              <w:t>For the Years Ended December 31,</w:t>
            </w:r>
          </w:p>
        </w:tc>
      </w:tr>
      <w:tr>
        <w:trPr>
          <w:trHeight w:val="189"/>
        </w:trPr>
        <w:tc>
          <w:tcPr>
            <w:tcW w:w="4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6"/>
                <w:szCs w:val="16"/>
                <w:color w:val="auto"/>
              </w:rPr>
            </w:pPr>
          </w:p>
        </w:tc>
      </w:tr>
      <w:tr>
        <w:trPr>
          <w:trHeight w:val="169"/>
        </w:trPr>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services</w:t>
            </w:r>
          </w:p>
        </w:tc>
        <w:tc>
          <w:tcPr>
            <w:tcW w:w="11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3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w:t>
            </w:r>
          </w:p>
        </w:tc>
        <w:tc>
          <w:tcPr>
            <w:tcW w:w="1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6,511</w:t>
            </w:r>
          </w:p>
        </w:tc>
        <w:tc>
          <w:tcPr>
            <w:tcW w:w="60" w:type="dxa"/>
            <w:vAlign w:val="bottom"/>
            <w:shd w:val="clear" w:color="auto" w:fill="CCEEFF"/>
          </w:tcPr>
          <w:p>
            <w:pPr>
              <w:spacing w:after="0"/>
              <w:rPr>
                <w:sz w:val="16"/>
                <w:szCs w:val="16"/>
                <w:color w:val="auto"/>
              </w:rPr>
            </w:pPr>
          </w:p>
        </w:tc>
      </w:tr>
      <w:tr>
        <w:trPr>
          <w:trHeight w:val="189"/>
        </w:trPr>
        <w:tc>
          <w:tcPr>
            <w:tcW w:w="4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23,569</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33,534</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64,939</w:t>
            </w:r>
          </w:p>
        </w:tc>
        <w:tc>
          <w:tcPr>
            <w:tcW w:w="60" w:type="dxa"/>
            <w:vAlign w:val="bottom"/>
            <w:tcBorders>
              <w:bottom w:val="single" w:sz="8" w:color="CCEEFF"/>
            </w:tcBorders>
          </w:tcPr>
          <w:p>
            <w:pPr>
              <w:spacing w:after="0"/>
              <w:rPr>
                <w:sz w:val="16"/>
                <w:szCs w:val="16"/>
                <w:color w:val="auto"/>
              </w:rPr>
            </w:pPr>
          </w:p>
        </w:tc>
      </w:tr>
      <w:tr>
        <w:trPr>
          <w:trHeight w:val="183"/>
        </w:trPr>
        <w:tc>
          <w:tcPr>
            <w:tcW w:w="43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non-cash, stock-based compensation</w:t>
            </w: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24,945</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36,143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71,450</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4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0" w:right="259"/>
        <w:spacing w:after="0" w:line="247" w:lineRule="auto"/>
        <w:rPr>
          <w:sz w:val="20"/>
          <w:szCs w:val="20"/>
          <w:color w:val="auto"/>
        </w:rPr>
      </w:pPr>
      <w:r>
        <w:rPr>
          <w:rFonts w:ascii="Arial" w:cs="Arial" w:eastAsia="Arial" w:hAnsi="Arial"/>
          <w:sz w:val="18"/>
          <w:szCs w:val="18"/>
          <w:color w:val="auto"/>
        </w:rPr>
        <w:t>As of December 31, 2024, our total unrecognized compensation cost related to our non-performance based unvested stock awards was $39 million and will be recognized over a weighted-average period of approximately 3.4 years. Share-based compensation expense is recognized based on stock awards ultimately expected to vest.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Valuation</w:t>
      </w:r>
    </w:p>
    <w:p>
      <w:pPr>
        <w:spacing w:after="0" w:line="196" w:lineRule="exact"/>
        <w:rPr>
          <w:sz w:val="20"/>
          <w:szCs w:val="20"/>
          <w:color w:val="auto"/>
        </w:rPr>
      </w:pPr>
    </w:p>
    <w:p>
      <w:pPr>
        <w:jc w:val="both"/>
        <w:ind w:left="200" w:right="499"/>
        <w:spacing w:after="0" w:line="253" w:lineRule="auto"/>
        <w:rPr>
          <w:sz w:val="20"/>
          <w:szCs w:val="20"/>
          <w:color w:val="auto"/>
        </w:rPr>
      </w:pPr>
      <w:r>
        <w:rPr>
          <w:rFonts w:ascii="Arial" w:cs="Arial" w:eastAsia="Arial" w:hAnsi="Arial"/>
          <w:sz w:val="18"/>
          <w:szCs w:val="18"/>
          <w:color w:val="auto"/>
        </w:rPr>
        <w:t>The fair value of each stock option granted (excluding the Ergen 2020 Performance Award) for the years ended December 31, 2024, 2023 and 2022 was estimated at the date of the grant using a Black-Scholes option valuation model with the following assumptions:</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Stock Options</w:t>
            </w: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right"/>
              <w:ind w:right="479"/>
              <w:spacing w:after="0"/>
              <w:rPr>
                <w:sz w:val="20"/>
                <w:szCs w:val="20"/>
                <w:color w:val="auto"/>
              </w:rPr>
            </w:pPr>
            <w:r>
              <w:rPr>
                <w:rFonts w:ascii="Arial" w:cs="Arial" w:eastAsia="Arial" w:hAnsi="Arial"/>
                <w:sz w:val="16"/>
                <w:szCs w:val="16"/>
                <w:b w:val="1"/>
                <w:bCs w:val="1"/>
                <w:color w:val="auto"/>
              </w:rPr>
              <w:t>For the Years Ended December 31,</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60" w:type="dxa"/>
            <w:vAlign w:val="bottom"/>
            <w:gridSpan w:val="2"/>
            <w:vMerge w:val="continue"/>
          </w:tcPr>
          <w:p>
            <w:pPr>
              <w:spacing w:after="0"/>
              <w:rPr>
                <w:sz w:val="16"/>
                <w:szCs w:val="16"/>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Risk-free interest rate</w:t>
            </w: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3.58 %</w:t>
            </w:r>
          </w:p>
        </w:tc>
        <w:tc>
          <w:tcPr>
            <w:tcW w:w="320" w:type="dxa"/>
            <w:vAlign w:val="bottom"/>
            <w:tcBorders>
              <w:top w:val="single" w:sz="8" w:color="auto"/>
            </w:tcBorders>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4.49 %</w:t>
            </w: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3.58 %</w:t>
            </w:r>
          </w:p>
        </w:tc>
        <w:tc>
          <w:tcPr>
            <w:tcW w:w="320" w:type="dxa"/>
            <w:vAlign w:val="bottom"/>
            <w:tcBorders>
              <w:top w:val="single" w:sz="8" w:color="auto"/>
            </w:tcBorders>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4.61 %</w:t>
            </w: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1.35 %</w:t>
            </w:r>
          </w:p>
        </w:tc>
        <w:tc>
          <w:tcPr>
            <w:tcW w:w="340" w:type="dxa"/>
            <w:vAlign w:val="bottom"/>
            <w:tcBorders>
              <w:top w:val="single" w:sz="8" w:color="auto"/>
            </w:tcBorders>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4.02 %</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6"/>
                <w:szCs w:val="16"/>
                <w:color w:val="auto"/>
              </w:rPr>
              <w:t>Volatility factor</w:t>
            </w:r>
          </w:p>
        </w:tc>
        <w:tc>
          <w:tcPr>
            <w:tcW w:w="880" w:type="dxa"/>
            <w:vAlign w:val="bottom"/>
          </w:tcPr>
          <w:p>
            <w:pPr>
              <w:jc w:val="right"/>
              <w:spacing w:after="0"/>
              <w:rPr>
                <w:sz w:val="20"/>
                <w:szCs w:val="20"/>
                <w:color w:val="auto"/>
              </w:rPr>
            </w:pPr>
            <w:r>
              <w:rPr>
                <w:rFonts w:ascii="Arial" w:cs="Arial" w:eastAsia="Arial" w:hAnsi="Arial"/>
                <w:sz w:val="16"/>
                <w:szCs w:val="16"/>
                <w:color w:val="auto"/>
              </w:rPr>
              <w:t>37.10 %</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46.39 %</w:t>
            </w: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34.30 %</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41.25 %</w:t>
            </w: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32.67 %</w:t>
            </w: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34.84 %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6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Expected term of options in</w:t>
            </w: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years</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w:t>
            </w: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6.7</w:t>
            </w: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w:t>
            </w: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6.6</w:t>
            </w: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w:t>
            </w: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6"/>
                <w:szCs w:val="16"/>
                <w:color w:val="auto"/>
              </w:rPr>
              <w:t>Fair value of options granted</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  5.15</w:t>
            </w:r>
          </w:p>
        </w:tc>
        <w:tc>
          <w:tcPr>
            <w:tcW w:w="320" w:type="dxa"/>
            <w:vAlign w:val="bottom"/>
          </w:tcPr>
          <w:p>
            <w:pPr>
              <w:ind w:left="80"/>
              <w:spacing w:after="0"/>
              <w:rPr>
                <w:sz w:val="20"/>
                <w:szCs w:val="20"/>
                <w:color w:val="auto"/>
              </w:rPr>
            </w:pPr>
            <w:r>
              <w:rPr>
                <w:rFonts w:ascii="Arial" w:cs="Arial" w:eastAsia="Arial" w:hAnsi="Arial"/>
                <w:sz w:val="16"/>
                <w:szCs w:val="16"/>
                <w:color w:val="auto"/>
              </w:rPr>
              <w:t>- $</w:t>
            </w:r>
          </w:p>
        </w:tc>
        <w:tc>
          <w:tcPr>
            <w:tcW w:w="760" w:type="dxa"/>
            <w:vAlign w:val="bottom"/>
          </w:tcPr>
          <w:p>
            <w:pPr>
              <w:jc w:val="right"/>
              <w:ind w:right="199"/>
              <w:spacing w:after="0"/>
              <w:rPr>
                <w:sz w:val="20"/>
                <w:szCs w:val="20"/>
                <w:color w:val="auto"/>
              </w:rPr>
            </w:pPr>
            <w:r>
              <w:rPr>
                <w:rFonts w:ascii="Arial" w:cs="Arial" w:eastAsia="Arial" w:hAnsi="Arial"/>
                <w:sz w:val="16"/>
                <w:szCs w:val="16"/>
                <w:color w:val="auto"/>
              </w:rPr>
              <w:t>12.40</w:t>
            </w:r>
          </w:p>
        </w:tc>
        <w:tc>
          <w:tcPr>
            <w:tcW w:w="40" w:type="dxa"/>
            <w:vAlign w:val="bottom"/>
          </w:tcPr>
          <w:p>
            <w:pPr>
              <w:spacing w:after="0"/>
              <w:rPr>
                <w:sz w:val="16"/>
                <w:szCs w:val="16"/>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  7.40</w:t>
            </w:r>
          </w:p>
        </w:tc>
        <w:tc>
          <w:tcPr>
            <w:tcW w:w="320" w:type="dxa"/>
            <w:vAlign w:val="bottom"/>
          </w:tcPr>
          <w:p>
            <w:pPr>
              <w:ind w:left="80"/>
              <w:spacing w:after="0"/>
              <w:rPr>
                <w:sz w:val="20"/>
                <w:szCs w:val="20"/>
                <w:color w:val="auto"/>
              </w:rPr>
            </w:pPr>
            <w:r>
              <w:rPr>
                <w:rFonts w:ascii="Arial" w:cs="Arial" w:eastAsia="Arial" w:hAnsi="Arial"/>
                <w:sz w:val="16"/>
                <w:szCs w:val="16"/>
                <w:color w:val="auto"/>
              </w:rPr>
              <w:t>- $</w:t>
            </w: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7.77</w:t>
            </w:r>
          </w:p>
        </w:tc>
        <w:tc>
          <w:tcPr>
            <w:tcW w:w="40" w:type="dxa"/>
            <w:vAlign w:val="bottom"/>
          </w:tcPr>
          <w:p>
            <w:pPr>
              <w:spacing w:after="0"/>
              <w:rPr>
                <w:sz w:val="16"/>
                <w:szCs w:val="16"/>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  5.97</w:t>
            </w:r>
          </w:p>
        </w:tc>
        <w:tc>
          <w:tcPr>
            <w:tcW w:w="340" w:type="dxa"/>
            <w:vAlign w:val="bottom"/>
          </w:tcPr>
          <w:p>
            <w:pPr>
              <w:ind w:left="80"/>
              <w:spacing w:after="0"/>
              <w:rPr>
                <w:sz w:val="20"/>
                <w:szCs w:val="20"/>
                <w:color w:val="auto"/>
              </w:rPr>
            </w:pPr>
            <w:r>
              <w:rPr>
                <w:rFonts w:ascii="Arial" w:cs="Arial" w:eastAsia="Arial" w:hAnsi="Arial"/>
                <w:sz w:val="16"/>
                <w:szCs w:val="16"/>
                <w:color w:val="auto"/>
              </w:rPr>
              <w:t>- $</w:t>
            </w: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9.27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While EchoStar currently does not intend to declare dividends on its Class A common stock, EchoStar may elect to do so from time to time. Accordingly, the dividend yield percentage used in the Black-Scholes option valuation model was set at zero for all periods. The Black-Scholes option valuation model was developed for use in estimating the fair value of traded stock options which have no vesting restrictions and are fully transferable. Consequently, our estimate of fair value may differ from other valuation models. Further, the Black-Scholes option valuation model requires the input of highly subjective assumptions. Changes in these subjective input assumptions can materially affect the fair value estimate.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0" w:name="page141"/>
    <w:bookmarkEnd w:id="14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2" w:lineRule="exact"/>
        <w:rPr>
          <w:sz w:val="20"/>
          <w:szCs w:val="20"/>
          <w:color w:val="auto"/>
        </w:rPr>
      </w:pPr>
    </w:p>
    <w:p>
      <w:pPr>
        <w:ind w:left="200" w:right="539"/>
        <w:spacing w:after="0" w:line="271" w:lineRule="auto"/>
        <w:rPr>
          <w:sz w:val="20"/>
          <w:szCs w:val="20"/>
          <w:color w:val="auto"/>
        </w:rPr>
      </w:pPr>
      <w:r>
        <w:rPr>
          <w:rFonts w:ascii="Arial" w:cs="Arial" w:eastAsia="Arial" w:hAnsi="Arial"/>
          <w:sz w:val="18"/>
          <w:szCs w:val="18"/>
          <w:color w:val="auto"/>
        </w:rPr>
        <w:t>We will continue to evaluate the assumptions used to derive the estimated fair value of EchoStar’s stock options as new events or changes in circumstances become known.</w:t>
      </w:r>
    </w:p>
    <w:p>
      <w:pPr>
        <w:spacing w:after="0" w:line="140" w:lineRule="exact"/>
        <w:rPr>
          <w:sz w:val="20"/>
          <w:szCs w:val="20"/>
          <w:color w:val="auto"/>
        </w:rPr>
      </w:pPr>
    </w:p>
    <w:p>
      <w:pPr>
        <w:ind w:left="200" w:right="5499" w:firstLine="9"/>
        <w:spacing w:after="0" w:line="469" w:lineRule="auto"/>
        <w:tabs>
          <w:tab w:leader="none" w:pos="65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ind w:left="200" w:right="299"/>
        <w:spacing w:after="0" w:line="271" w:lineRule="auto"/>
        <w:rPr>
          <w:sz w:val="20"/>
          <w:szCs w:val="20"/>
          <w:color w:val="auto"/>
        </w:rPr>
      </w:pPr>
      <w:r>
        <w:rPr>
          <w:rFonts w:ascii="Arial" w:cs="Arial" w:eastAsia="Arial" w:hAnsi="Arial"/>
          <w:sz w:val="18"/>
          <w:szCs w:val="18"/>
          <w:color w:val="auto"/>
        </w:rPr>
        <w:t>As of December 31, 2024, future maturities of our long-term debt, finance lease and contractual obligations are summarized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gridSpan w:val="10"/>
          </w:tcPr>
          <w:p>
            <w:pPr>
              <w:ind w:left="520"/>
              <w:spacing w:after="0"/>
              <w:rPr>
                <w:sz w:val="20"/>
                <w:szCs w:val="20"/>
                <w:color w:val="auto"/>
              </w:rPr>
            </w:pPr>
            <w:r>
              <w:rPr>
                <w:rFonts w:ascii="Arial" w:cs="Arial" w:eastAsia="Arial" w:hAnsi="Arial"/>
                <w:sz w:val="14"/>
                <w:szCs w:val="14"/>
                <w:b w:val="1"/>
                <w:bCs w:val="1"/>
                <w:color w:val="auto"/>
              </w:rPr>
              <w:t>Payments Due in the Years Ending December 31,</w:t>
            </w: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10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2026</w:t>
            </w:r>
          </w:p>
        </w:tc>
        <w:tc>
          <w:tcPr>
            <w:tcW w:w="9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2027</w:t>
            </w:r>
          </w:p>
        </w:tc>
        <w:tc>
          <w:tcPr>
            <w:tcW w:w="9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2028</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Thereafter</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ind w:left="20"/>
              <w:spacing w:after="0" w:line="142" w:lineRule="exact"/>
              <w:rPr>
                <w:sz w:val="20"/>
                <w:szCs w:val="20"/>
                <w:color w:val="auto"/>
              </w:rPr>
            </w:pPr>
            <w:r>
              <w:rPr>
                <w:rFonts w:ascii="Arial" w:cs="Arial" w:eastAsia="Arial" w:hAnsi="Arial"/>
                <w:sz w:val="14"/>
                <w:szCs w:val="14"/>
                <w:color w:val="auto"/>
                <w:w w:val="73"/>
              </w:rPr>
              <w:t>(In</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Long-term debt obligations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$21,778,720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908,009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$ 10,455,195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$ 4,341,543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$ 3,549,860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$ 1,502,650</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7"/>
              </w:rPr>
              <w:t>$ 1,021,463</w:t>
            </w:r>
          </w:p>
        </w:tc>
        <w:tc>
          <w:tcPr>
            <w:tcW w:w="4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940" w:type="dxa"/>
            <w:vAlign w:val="bottom"/>
          </w:tcPr>
          <w:p>
            <w:pPr>
              <w:spacing w:after="0" w:line="153" w:lineRule="exact"/>
              <w:rPr>
                <w:sz w:val="20"/>
                <w:szCs w:val="20"/>
                <w:color w:val="auto"/>
              </w:rPr>
            </w:pPr>
            <w:r>
              <w:rPr>
                <w:rFonts w:ascii="Arial" w:cs="Arial" w:eastAsia="Arial" w:hAnsi="Arial"/>
                <w:sz w:val="14"/>
                <w:szCs w:val="14"/>
                <w:color w:val="auto"/>
              </w:rPr>
              <w:t>Interest expense on long-term</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4"/>
                <w:szCs w:val="14"/>
                <w:color w:val="auto"/>
              </w:rPr>
              <w:t>debt (1)</w:t>
            </w:r>
          </w:p>
        </w:tc>
        <w:tc>
          <w:tcPr>
            <w:tcW w:w="860" w:type="dxa"/>
            <w:vAlign w:val="bottom"/>
          </w:tcPr>
          <w:p>
            <w:pPr>
              <w:jc w:val="right"/>
              <w:spacing w:after="0"/>
              <w:rPr>
                <w:sz w:val="20"/>
                <w:szCs w:val="20"/>
                <w:color w:val="auto"/>
              </w:rPr>
            </w:pPr>
            <w:r>
              <w:rPr>
                <w:rFonts w:ascii="Arial" w:cs="Arial" w:eastAsia="Arial" w:hAnsi="Arial"/>
                <w:sz w:val="14"/>
                <w:szCs w:val="14"/>
                <w:color w:val="auto"/>
              </w:rPr>
              <w:t>5,030,019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1,639,592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1,563,992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918,593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474,955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233,360</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199,527</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Finance lease obligations (2)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67,199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34,290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2,528</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53"/>
        </w:trPr>
        <w:tc>
          <w:tcPr>
            <w:tcW w:w="20" w:type="dxa"/>
            <w:vAlign w:val="bottom"/>
          </w:tcPr>
          <w:p>
            <w:pPr>
              <w:spacing w:after="0"/>
              <w:rPr>
                <w:sz w:val="13"/>
                <w:szCs w:val="13"/>
                <w:color w:val="auto"/>
              </w:rPr>
            </w:pPr>
          </w:p>
        </w:tc>
        <w:tc>
          <w:tcPr>
            <w:tcW w:w="1940" w:type="dxa"/>
            <w:vAlign w:val="bottom"/>
          </w:tcPr>
          <w:p>
            <w:pPr>
              <w:spacing w:after="0" w:line="153" w:lineRule="exact"/>
              <w:rPr>
                <w:sz w:val="20"/>
                <w:szCs w:val="20"/>
                <w:color w:val="auto"/>
              </w:rPr>
            </w:pPr>
            <w:r>
              <w:rPr>
                <w:rFonts w:ascii="Arial" w:cs="Arial" w:eastAsia="Arial" w:hAnsi="Arial"/>
                <w:sz w:val="14"/>
                <w:szCs w:val="14"/>
                <w:color w:val="auto"/>
              </w:rPr>
              <w:t>Interest expense on finance</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4"/>
                <w:szCs w:val="14"/>
                <w:color w:val="auto"/>
              </w:rPr>
              <w:t>lease obligations (2)</w:t>
            </w:r>
          </w:p>
        </w:tc>
        <w:tc>
          <w:tcPr>
            <w:tcW w:w="860" w:type="dxa"/>
            <w:vAlign w:val="bottom"/>
          </w:tcPr>
          <w:p>
            <w:pPr>
              <w:jc w:val="right"/>
              <w:spacing w:after="0"/>
              <w:rPr>
                <w:sz w:val="20"/>
                <w:szCs w:val="20"/>
                <w:color w:val="auto"/>
              </w:rPr>
            </w:pPr>
            <w:r>
              <w:rPr>
                <w:rFonts w:ascii="Arial" w:cs="Arial" w:eastAsia="Arial" w:hAnsi="Arial"/>
                <w:sz w:val="14"/>
                <w:szCs w:val="14"/>
                <w:color w:val="auto"/>
              </w:rPr>
              <w:t>7,355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5,011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2,298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obligations (3)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9,689,749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1,882,823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1,481,336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1,157,410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1,023,439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979,359</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3,165,382</w:t>
            </w:r>
          </w:p>
        </w:tc>
        <w:tc>
          <w:tcPr>
            <w:tcW w:w="4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940" w:type="dxa"/>
            <w:vAlign w:val="bottom"/>
          </w:tcPr>
          <w:p>
            <w:pPr>
              <w:spacing w:after="0" w:line="153" w:lineRule="exact"/>
              <w:rPr>
                <w:sz w:val="20"/>
                <w:szCs w:val="20"/>
                <w:color w:val="auto"/>
              </w:rPr>
            </w:pPr>
            <w:r>
              <w:rPr>
                <w:rFonts w:ascii="Arial" w:cs="Arial" w:eastAsia="Arial" w:hAnsi="Arial"/>
                <w:sz w:val="14"/>
                <w:szCs w:val="14"/>
                <w:color w:val="auto"/>
              </w:rPr>
              <w:t>Operating lease obligations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4"/>
                <w:szCs w:val="14"/>
                <w:color w:val="auto"/>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5,684,284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545,077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577,160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579,203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536,551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523,216</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2,923,077</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Purchase obligations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2,212,259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2,207,381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55"/>
        </w:trPr>
        <w:tc>
          <w:tcPr>
            <w:tcW w:w="1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44,469,585</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7,218,274</w:t>
            </w:r>
          </w:p>
        </w:tc>
        <w:tc>
          <w:tcPr>
            <w:tcW w:w="1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$ 14,119,091</w:t>
            </w:r>
          </w:p>
        </w:tc>
        <w:tc>
          <w:tcPr>
            <w:tcW w:w="1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6,999,381</w:t>
            </w:r>
          </w:p>
        </w:tc>
        <w:tc>
          <w:tcPr>
            <w:tcW w:w="1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5,584,805</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3,238,585</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 xml:space="preserve"> 7,309,449</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3" w:lineRule="exact"/>
        <w:rPr>
          <w:sz w:val="20"/>
          <w:szCs w:val="20"/>
          <w:color w:val="auto"/>
        </w:rPr>
      </w:pPr>
    </w:p>
    <w:p>
      <w:pPr>
        <w:ind w:left="800" w:right="479" w:hanging="483"/>
        <w:spacing w:after="0" w:line="241" w:lineRule="auto"/>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interest expense on the EchoStar 2024 Intercompany Loan due 2030 based on the December 31, 2024 amount outstanding plus interest paid in kind and assuming all future interest payments are paid in kind at the annual interest rate. See Note 9 for further information.</w:t>
      </w:r>
    </w:p>
    <w:p>
      <w:pPr>
        <w:spacing w:after="0" w:line="1" w:lineRule="exact"/>
        <w:rPr>
          <w:rFonts w:ascii="Arial" w:cs="Arial" w:eastAsia="Arial" w:hAnsi="Arial"/>
          <w:sz w:val="18"/>
          <w:szCs w:val="18"/>
          <w:color w:val="auto"/>
        </w:rPr>
      </w:pPr>
    </w:p>
    <w:p>
      <w:pPr>
        <w:ind w:left="800" w:hanging="483"/>
        <w:spacing w:after="0" w:line="234" w:lineRule="auto"/>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See Note 8 for further information on leases.</w:t>
      </w:r>
    </w:p>
    <w:p>
      <w:pPr>
        <w:ind w:left="800" w:right="279" w:hanging="483"/>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minimum contractual commitments related to communication tower obligations, certain 5G Network Deployment commitments, obligations under the NSA with AT&amp;T and the MNSA with T-Mobile, certain wireless device purchases and marketing obligations, radios, software and integration services and satellite related and other obligations.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certain circumstances the dates on which we are obligated to make these payments could be delayed.</w:t>
      </w:r>
    </w:p>
    <w:p>
      <w:pPr>
        <w:spacing w:after="0" w:line="198" w:lineRule="exact"/>
        <w:rPr>
          <w:sz w:val="20"/>
          <w:szCs w:val="20"/>
          <w:color w:val="auto"/>
        </w:rPr>
      </w:pPr>
    </w:p>
    <w:p>
      <w:pPr>
        <w:ind w:left="200" w:right="479"/>
        <w:spacing w:after="0" w:line="247" w:lineRule="auto"/>
        <w:rPr>
          <w:sz w:val="20"/>
          <w:szCs w:val="20"/>
          <w:color w:val="auto"/>
        </w:rPr>
      </w:pPr>
      <w:r>
        <w:rPr>
          <w:rFonts w:ascii="Arial" w:cs="Arial" w:eastAsia="Arial" w:hAnsi="Arial"/>
          <w:sz w:val="18"/>
          <w:szCs w:val="18"/>
          <w:color w:val="auto"/>
        </w:rPr>
        <w:t>The table above does not include $678 million of liabilities associated with unrecognized tax benefits that were accrued, as discussed in Note 10 and are included on our Consolidated Balance Sheets as of December 31, 2024. We do not expect any portion of this amount to be paid or settled within the next 12 months.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5G Network Deployment</w:t>
      </w:r>
    </w:p>
    <w:p>
      <w:pPr>
        <w:spacing w:after="0" w:line="196"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Sale and Transfer of Assets to EchoStar. We currently have $24 billion of investments related to Wireless spectrum licenses, which does not include $7 billion of capitalized interest related to the carrying value of such licenses. See Note 1 and Note 2 for further information. We continue to commercialize our Wireless spectrum licenses through the completion of our 5G Network Deployment. We have committed to the FCC to deploy our 5G Network capable of serving increasingly larger portions of the U.S. population at different deadlines.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1" w:name="page142"/>
    <w:bookmarkEnd w:id="14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20" w:right="259" w:hanging="7"/>
        <w:spacing w:after="0" w:line="242" w:lineRule="auto"/>
        <w:rPr>
          <w:sz w:val="20"/>
          <w:szCs w:val="20"/>
          <w:color w:val="auto"/>
        </w:rPr>
      </w:pPr>
      <w:r>
        <w:rPr>
          <w:rFonts w:ascii="Arial" w:cs="Arial" w:eastAsia="Arial" w:hAnsi="Arial"/>
          <w:sz w:val="18"/>
          <w:szCs w:val="18"/>
          <w:color w:val="auto"/>
        </w:rPr>
        <w:t>We may need to raise additional capital in the future,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Wireless Spectrum Licenses</w:t>
      </w:r>
    </w:p>
    <w:p>
      <w:pPr>
        <w:spacing w:after="0" w:line="196" w:lineRule="exact"/>
        <w:rPr>
          <w:sz w:val="20"/>
          <w:szCs w:val="20"/>
          <w:color w:val="auto"/>
        </w:rPr>
      </w:pPr>
    </w:p>
    <w:p>
      <w:pPr>
        <w:ind w:left="200" w:right="419"/>
        <w:spacing w:after="0"/>
        <w:rPr>
          <w:sz w:val="20"/>
          <w:szCs w:val="20"/>
          <w:color w:val="auto"/>
        </w:rPr>
      </w:pPr>
      <w:r>
        <w:rPr>
          <w:rFonts w:ascii="Arial" w:cs="Arial" w:eastAsia="Arial" w:hAnsi="Arial"/>
          <w:sz w:val="18"/>
          <w:szCs w:val="18"/>
          <w:i w:val="1"/>
          <w:iCs w:val="1"/>
          <w:color w:val="auto"/>
        </w:rPr>
        <w:t xml:space="preserve">Liberty Puerto Rico Asset Sale. </w:t>
      </w:r>
      <w:r>
        <w:rPr>
          <w:rFonts w:ascii="Arial" w:cs="Arial" w:eastAsia="Arial" w:hAnsi="Arial"/>
          <w:sz w:val="18"/>
          <w:szCs w:val="18"/>
          <w:color w:val="auto"/>
        </w:rPr>
        <w:t>On November 5, 2023, we entered into an Asset Purchase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Purchase Agreement and other ancillary transaction agreements with Liberty Latin America (“Liberty”) and its affiliate providing for the sale of certain of our wireless assets in Puerto Rico and the US Virgin Islands (the “Liberty Puerto Rico Asset Sale”). The consideration also includes a right for us to receive preferential international roaming rates within Liberty’s footprint at a reduced rate for a 10 year period. Subsequently, in the first quarter of 2024, a portion of our wireless assets included in the Liberty Puerto Rico Asset Sale were included in the Sale and Transfer of Assets to EchoStar. The Liberty Puerto Rico Asset Sale was approved by the FCC and DOJ and closed in the third quarter of 2024.</w:t>
      </w:r>
    </w:p>
    <w:p>
      <w:pPr>
        <w:spacing w:after="0" w:line="167" w:lineRule="exact"/>
        <w:rPr>
          <w:sz w:val="20"/>
          <w:szCs w:val="20"/>
          <w:color w:val="auto"/>
        </w:rPr>
      </w:pPr>
    </w:p>
    <w:p>
      <w:pPr>
        <w:ind w:left="200" w:right="239"/>
        <w:spacing w:after="0" w:line="242" w:lineRule="auto"/>
        <w:rPr>
          <w:sz w:val="20"/>
          <w:szCs w:val="20"/>
          <w:color w:val="auto"/>
        </w:rPr>
      </w:pPr>
      <w:r>
        <w:rPr>
          <w:rFonts w:ascii="Arial" w:cs="Arial" w:eastAsia="Arial" w:hAnsi="Arial"/>
          <w:sz w:val="18"/>
          <w:szCs w:val="18"/>
          <w:color w:val="auto"/>
        </w:rPr>
        <w:t>Our parent, EchoStar, will receive payments totaling $251 million, of which we will receive payments totaling $125 million, including working capital adjustments, over a three year period, including an upfront payment, which we received in September 2024. We expect to receive the remaining amounts annually over the next three years. As of December 31, 2024, we received payments of $95 million, which includes payments for a portion of wireless assets held by our parent, EchoStar. As a result, $46 million is recorded in “Trade accounts payable” on our Consolidated Balance Sheets.</w:t>
      </w:r>
    </w:p>
    <w:p>
      <w:pPr>
        <w:spacing w:after="0" w:line="165" w:lineRule="exact"/>
        <w:rPr>
          <w:sz w:val="20"/>
          <w:szCs w:val="20"/>
          <w:color w:val="auto"/>
        </w:rPr>
      </w:pPr>
    </w:p>
    <w:p>
      <w:pPr>
        <w:ind w:left="200" w:right="219"/>
        <w:spacing w:after="0" w:line="253" w:lineRule="auto"/>
        <w:rPr>
          <w:sz w:val="20"/>
          <w:szCs w:val="20"/>
          <w:color w:val="auto"/>
        </w:rPr>
      </w:pPr>
      <w:r>
        <w:rPr>
          <w:rFonts w:ascii="Arial" w:cs="Arial" w:eastAsia="Arial" w:hAnsi="Arial"/>
          <w:sz w:val="18"/>
          <w:szCs w:val="18"/>
          <w:color w:val="auto"/>
        </w:rPr>
        <w:t>The difference between our net carrying value of the assets sold to their fair value resulted in a $21 million gain which was recorded in “Other, net” within “Other Income (Expense)” on our Consolidated Statements of Operations and Comprehensive Income (Loss)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2" w:name="page143"/>
    <w:bookmarkEnd w:id="14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559"/>
        <w:spacing w:after="0" w:line="271" w:lineRule="auto"/>
        <w:rPr>
          <w:sz w:val="20"/>
          <w:szCs w:val="20"/>
          <w:color w:val="auto"/>
        </w:rPr>
      </w:pPr>
      <w:r>
        <w:rPr>
          <w:rFonts w:ascii="Arial" w:cs="Arial" w:eastAsia="Arial" w:hAnsi="Arial"/>
          <w:sz w:val="18"/>
          <w:szCs w:val="18"/>
          <w:color w:val="auto"/>
        </w:rPr>
        <w:t>Our Wireless spectrum licenses are subject to certain build-out requirements, as well as certain renewal requirements that are summarized in the table below:</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Build-Out Deadlines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0" w:type="dxa"/>
            <w:vAlign w:val="bottom"/>
            <w:tcBorders>
              <w:bottom w:val="single" w:sz="8" w:color="auto"/>
            </w:tcBorders>
            <w:gridSpan w:val="2"/>
          </w:tcPr>
          <w:p>
            <w:pPr>
              <w:ind w:left="1260"/>
              <w:spacing w:after="0"/>
              <w:rPr>
                <w:sz w:val="20"/>
                <w:szCs w:val="20"/>
                <w:color w:val="auto"/>
              </w:rPr>
            </w:pPr>
            <w:r>
              <w:rPr>
                <w:rFonts w:ascii="Arial" w:cs="Arial" w:eastAsia="Arial" w:hAnsi="Arial"/>
                <w:sz w:val="13"/>
                <w:szCs w:val="13"/>
                <w:b w:val="1"/>
                <w:bCs w:val="1"/>
                <w:color w:val="auto"/>
              </w:rPr>
              <w:t>Final</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4"/>
              </w:rPr>
              <w:t>Carrying Amount</w:t>
            </w: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Interim</w:t>
            </w:r>
          </w:p>
        </w:tc>
        <w:tc>
          <w:tcPr>
            <w:tcW w:w="14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Accelerated License</w:t>
            </w:r>
          </w:p>
        </w:tc>
        <w:tc>
          <w:tcPr>
            <w:tcW w:w="14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Extension License</w:t>
            </w: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Expiration Date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Areas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Areas</w:t>
            </w:r>
          </w:p>
        </w:tc>
        <w:tc>
          <w:tcPr>
            <w:tcW w:w="1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57"/>
              <w:spacing w:after="0" w:line="142" w:lineRule="exact"/>
              <w:rPr>
                <w:sz w:val="20"/>
                <w:szCs w:val="20"/>
                <w:color w:val="auto"/>
              </w:rPr>
            </w:pPr>
            <w:r>
              <w:rPr>
                <w:rFonts w:ascii="Arial" w:cs="Arial" w:eastAsia="Arial" w:hAnsi="Arial"/>
                <w:sz w:val="13"/>
                <w:szCs w:val="13"/>
                <w:color w:val="auto"/>
                <w:w w:val="98"/>
              </w:rPr>
              <w:t>(In thousands)</w:t>
            </w: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Owned:</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3"/>
                <w:szCs w:val="13"/>
                <w:color w:val="auto"/>
              </w:rPr>
              <w:t>DBS Licenses (1)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677,409</w:t>
            </w: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600 MHz Licenses</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6,192,575</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December 31, 2024 (3)</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June 14, 2025 (5)</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June 2029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3"/>
                <w:szCs w:val="13"/>
                <w:color w:val="auto"/>
              </w:rPr>
              <w:t>3.45–3.55 GHz Licenses</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7,329,093</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May 4, 2026 (6)</w:t>
            </w:r>
          </w:p>
        </w:tc>
        <w:tc>
          <w:tcPr>
            <w:tcW w:w="14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6"/>
              </w:rPr>
              <w:t>May 4, 2030 (6)</w:t>
            </w:r>
          </w:p>
        </w:tc>
        <w:tc>
          <w:tcPr>
            <w:tcW w:w="1740" w:type="dxa"/>
            <w:vAlign w:val="bottom"/>
          </w:tcPr>
          <w:p>
            <w:pPr>
              <w:jc w:val="center"/>
              <w:spacing w:after="0"/>
              <w:rPr>
                <w:sz w:val="20"/>
                <w:szCs w:val="20"/>
                <w:color w:val="auto"/>
              </w:rPr>
            </w:pPr>
            <w:r>
              <w:rPr>
                <w:rFonts w:ascii="Arial" w:cs="Arial" w:eastAsia="Arial" w:hAnsi="Arial"/>
                <w:sz w:val="13"/>
                <w:szCs w:val="13"/>
                <w:color w:val="auto"/>
                <w:w w:val="94"/>
              </w:rPr>
              <w:t>May 2037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00" w:type="dxa"/>
            <w:vAlign w:val="bottom"/>
            <w:tcBorders>
              <w:right w:val="single" w:sz="8" w:color="CCEEFF"/>
            </w:tcBorders>
            <w:shd w:val="clear" w:color="auto" w:fill="CCEEFF"/>
          </w:tcPr>
          <w:p>
            <w:pPr>
              <w:ind w:left="60"/>
              <w:spacing w:after="0" w:line="117" w:lineRule="exact"/>
              <w:rPr>
                <w:sz w:val="20"/>
                <w:szCs w:val="20"/>
                <w:color w:val="auto"/>
              </w:rPr>
            </w:pPr>
            <w:r>
              <w:rPr>
                <w:rFonts w:ascii="Arial" w:cs="Arial" w:eastAsia="Arial" w:hAnsi="Arial"/>
                <w:sz w:val="13"/>
                <w:szCs w:val="13"/>
                <w:color w:val="auto"/>
                <w:w w:val="98"/>
              </w:rPr>
              <w:t>1695-1710 MHz, 1755-1780 MHz</w:t>
            </w: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and 2155-2180 MHz (2)</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c>
          <w:tcPr>
            <w:tcW w:w="10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AWS-3</w:t>
            </w: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5,557,828</w:t>
            </w:r>
          </w:p>
        </w:tc>
        <w:tc>
          <w:tcPr>
            <w:tcW w:w="10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5"/>
              </w:rPr>
              <w:t>December 31, 2024 (4)</w:t>
            </w: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6"/>
              </w:rPr>
              <w:t>October 25, 2025 (7)</w:t>
            </w:r>
          </w:p>
        </w:tc>
        <w:tc>
          <w:tcPr>
            <w:tcW w:w="17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5"/>
              </w:rPr>
              <w:t>October 2025 (7)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i w:val="1"/>
                <w:iCs w:val="1"/>
                <w:color w:val="auto"/>
              </w:rPr>
              <w:t>Subtotal owned</w:t>
            </w: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19,757,877</w:t>
            </w:r>
          </w:p>
        </w:tc>
        <w:tc>
          <w:tcPr>
            <w:tcW w:w="10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Noncontrolling Investments:</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3"/>
                <w:szCs w:val="13"/>
                <w:color w:val="auto"/>
              </w:rPr>
              <w:t>SNR</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4,271,459</w:t>
            </w:r>
          </w:p>
        </w:tc>
        <w:tc>
          <w:tcPr>
            <w:tcW w:w="10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5"/>
              </w:rPr>
              <w:t>December 31, 2024 (4)</w:t>
            </w:r>
          </w:p>
        </w:tc>
        <w:tc>
          <w:tcPr>
            <w:tcW w:w="1400" w:type="dxa"/>
            <w:vAlign w:val="bottom"/>
          </w:tcPr>
          <w:p>
            <w:pPr>
              <w:jc w:val="center"/>
              <w:spacing w:after="0"/>
              <w:rPr>
                <w:sz w:val="20"/>
                <w:szCs w:val="20"/>
                <w:color w:val="auto"/>
              </w:rPr>
            </w:pPr>
            <w:r>
              <w:rPr>
                <w:rFonts w:ascii="Arial" w:cs="Arial" w:eastAsia="Arial" w:hAnsi="Arial"/>
                <w:sz w:val="13"/>
                <w:szCs w:val="13"/>
                <w:color w:val="auto"/>
                <w:w w:val="97"/>
              </w:rPr>
              <w:t>October 2025 (7)</w:t>
            </w:r>
          </w:p>
        </w:tc>
        <w:tc>
          <w:tcPr>
            <w:tcW w:w="1740" w:type="dxa"/>
            <w:vAlign w:val="bottom"/>
          </w:tcPr>
          <w:p>
            <w:pPr>
              <w:jc w:val="center"/>
              <w:spacing w:after="0"/>
              <w:rPr>
                <w:sz w:val="20"/>
                <w:szCs w:val="20"/>
                <w:color w:val="auto"/>
              </w:rPr>
            </w:pPr>
            <w:r>
              <w:rPr>
                <w:rFonts w:ascii="Arial" w:cs="Arial" w:eastAsia="Arial" w:hAnsi="Arial"/>
                <w:sz w:val="13"/>
                <w:szCs w:val="13"/>
                <w:color w:val="auto"/>
                <w:w w:val="95"/>
              </w:rPr>
              <w:t>October 2025 (7)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tcPr>
          <w:p>
            <w:pPr>
              <w:spacing w:after="0"/>
              <w:rPr>
                <w:sz w:val="20"/>
                <w:szCs w:val="20"/>
                <w:color w:val="auto"/>
              </w:rPr>
            </w:pPr>
            <w:r>
              <w:rPr>
                <w:rFonts w:ascii="Arial" w:cs="Arial" w:eastAsia="Arial" w:hAnsi="Arial"/>
                <w:sz w:val="13"/>
                <w:szCs w:val="13"/>
                <w:color w:val="auto"/>
              </w:rPr>
              <w:t>Capitalized Interest (8)</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6,811,062</w:t>
            </w: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right w:val="single" w:sz="8" w:color="CCEEFF"/>
            </w:tcBorders>
            <w:vMerge w:val="restart"/>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8"/>
              </w:rPr>
              <w:t>Total Regulatory authorizations,</w:t>
            </w: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200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30,840,398</w:t>
            </w:r>
          </w:p>
        </w:tc>
        <w:tc>
          <w:tcPr>
            <w:tcW w:w="10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0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net</w:t>
            </w:r>
          </w:p>
        </w:tc>
        <w:tc>
          <w:tcPr>
            <w:tcW w:w="6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Leased from EchoStar (9):</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3"/>
                <w:szCs w:val="13"/>
                <w:color w:val="auto"/>
              </w:rPr>
              <w:t>700 MHz Licenses (2)</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701,803</w:t>
            </w:r>
          </w:p>
        </w:tc>
        <w:tc>
          <w:tcPr>
            <w:tcW w:w="10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6"/>
              </w:rPr>
              <w:t>December 31, 2024 (10)</w:t>
            </w:r>
          </w:p>
        </w:tc>
        <w:tc>
          <w:tcPr>
            <w:tcW w:w="1400" w:type="dxa"/>
            <w:vAlign w:val="bottom"/>
          </w:tcPr>
          <w:p>
            <w:pPr>
              <w:jc w:val="center"/>
              <w:spacing w:after="0"/>
              <w:rPr>
                <w:sz w:val="20"/>
                <w:szCs w:val="20"/>
                <w:color w:val="auto"/>
              </w:rPr>
            </w:pPr>
            <w:r>
              <w:rPr>
                <w:rFonts w:ascii="Arial" w:cs="Arial" w:eastAsia="Arial" w:hAnsi="Arial"/>
                <w:sz w:val="13"/>
                <w:szCs w:val="13"/>
                <w:color w:val="auto"/>
                <w:w w:val="95"/>
              </w:rPr>
              <w:t>June 14, 2025 (11)</w:t>
            </w:r>
          </w:p>
        </w:tc>
        <w:tc>
          <w:tcPr>
            <w:tcW w:w="1740" w:type="dxa"/>
            <w:vAlign w:val="bottom"/>
          </w:tcPr>
          <w:p>
            <w:pPr>
              <w:jc w:val="center"/>
              <w:spacing w:after="0"/>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AWS-4 Licenses (2)</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1,928,688</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December 31, 2024 (10)</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June 14, 2025 (11)</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3"/>
                <w:szCs w:val="13"/>
                <w:color w:val="auto"/>
              </w:rPr>
              <w:t>H Block Licenses (2)</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1,671,506</w:t>
            </w:r>
          </w:p>
        </w:tc>
        <w:tc>
          <w:tcPr>
            <w:tcW w:w="10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6"/>
              </w:rPr>
              <w:t>December 31, 2024 (10)</w:t>
            </w:r>
          </w:p>
        </w:tc>
        <w:tc>
          <w:tcPr>
            <w:tcW w:w="1400" w:type="dxa"/>
            <w:vAlign w:val="bottom"/>
          </w:tcPr>
          <w:p>
            <w:pPr>
              <w:jc w:val="center"/>
              <w:spacing w:after="0"/>
              <w:rPr>
                <w:sz w:val="20"/>
                <w:szCs w:val="20"/>
                <w:color w:val="auto"/>
              </w:rPr>
            </w:pPr>
            <w:r>
              <w:rPr>
                <w:rFonts w:ascii="Arial" w:cs="Arial" w:eastAsia="Arial" w:hAnsi="Arial"/>
                <w:sz w:val="13"/>
                <w:szCs w:val="13"/>
                <w:color w:val="auto"/>
                <w:w w:val="97"/>
              </w:rPr>
              <w:t>June 14, 2025 (12)</w:t>
            </w:r>
          </w:p>
        </w:tc>
        <w:tc>
          <w:tcPr>
            <w:tcW w:w="1740" w:type="dxa"/>
            <w:vAlign w:val="bottom"/>
          </w:tcPr>
          <w:p>
            <w:pPr>
              <w:jc w:val="center"/>
              <w:spacing w:after="0"/>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MVDDS Licenses (1)</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24,000</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July, August, September 2034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3"/>
                <w:szCs w:val="13"/>
                <w:color w:val="auto"/>
              </w:rPr>
              <w:t>LMDS Licenses (1)</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7"/>
              </w:rPr>
              <w:t>September 2028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28 GHz Licenses</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2,883</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October 2, 2029 (13)</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October 2029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3"/>
                <w:szCs w:val="13"/>
                <w:color w:val="auto"/>
              </w:rPr>
              <w:t>24 GHz Licenses</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11,772</w:t>
            </w: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6"/>
              </w:rPr>
              <w:t>December 11, 2029 (13)</w:t>
            </w:r>
          </w:p>
        </w:tc>
        <w:tc>
          <w:tcPr>
            <w:tcW w:w="1740" w:type="dxa"/>
            <w:vAlign w:val="bottom"/>
          </w:tcPr>
          <w:p>
            <w:pPr>
              <w:jc w:val="center"/>
              <w:spacing w:after="0"/>
              <w:rPr>
                <w:sz w:val="20"/>
                <w:szCs w:val="20"/>
                <w:color w:val="auto"/>
              </w:rPr>
            </w:pPr>
            <w:r>
              <w:rPr>
                <w:rFonts w:ascii="Arial" w:cs="Arial" w:eastAsia="Arial" w:hAnsi="Arial"/>
                <w:sz w:val="13"/>
                <w:szCs w:val="13"/>
                <w:color w:val="auto"/>
                <w:w w:val="97"/>
              </w:rPr>
              <w:t>December 2029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00" w:type="dxa"/>
            <w:vAlign w:val="bottom"/>
            <w:tcBorders>
              <w:right w:val="single" w:sz="8" w:color="CCEEFF"/>
            </w:tcBorders>
            <w:shd w:val="clear" w:color="auto" w:fill="CCEEFF"/>
          </w:tcPr>
          <w:p>
            <w:pPr>
              <w:ind w:left="60"/>
              <w:spacing w:after="0" w:line="117" w:lineRule="exact"/>
              <w:rPr>
                <w:sz w:val="20"/>
                <w:szCs w:val="20"/>
                <w:color w:val="auto"/>
              </w:rPr>
            </w:pPr>
            <w:r>
              <w:rPr>
                <w:rFonts w:ascii="Arial" w:cs="Arial" w:eastAsia="Arial" w:hAnsi="Arial"/>
                <w:sz w:val="13"/>
                <w:szCs w:val="13"/>
                <w:color w:val="auto"/>
              </w:rPr>
              <w:t>37 GHz, 39 GHz and 47 GHz</w:t>
            </w: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Licenses</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202,392</w:t>
            </w:r>
          </w:p>
        </w:tc>
        <w:tc>
          <w:tcPr>
            <w:tcW w:w="10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June 4, 2030 (13)</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June 2030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3"/>
                <w:szCs w:val="13"/>
                <w:color w:val="auto"/>
              </w:rPr>
              <w:t>3550-3650 MHz Licenses</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912,200</w:t>
            </w: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7"/>
              </w:rPr>
              <w:t>March 12, 2031 (13)</w:t>
            </w:r>
          </w:p>
        </w:tc>
        <w:tc>
          <w:tcPr>
            <w:tcW w:w="1740" w:type="dxa"/>
            <w:vAlign w:val="bottom"/>
          </w:tcPr>
          <w:p>
            <w:pPr>
              <w:jc w:val="center"/>
              <w:spacing w:after="0"/>
              <w:rPr>
                <w:sz w:val="20"/>
                <w:szCs w:val="20"/>
                <w:color w:val="auto"/>
              </w:rPr>
            </w:pPr>
            <w:r>
              <w:rPr>
                <w:rFonts w:ascii="Arial" w:cs="Arial" w:eastAsia="Arial" w:hAnsi="Arial"/>
                <w:sz w:val="13"/>
                <w:szCs w:val="13"/>
                <w:color w:val="auto"/>
                <w:w w:val="96"/>
              </w:rPr>
              <w:t>March 2031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3.7-3.98 GHz Licenses</w:t>
            </w:r>
          </w:p>
        </w:tc>
        <w:tc>
          <w:tcPr>
            <w:tcW w:w="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2,969</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July 23, 2029 (13)</w:t>
            </w: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July 23, 2033 (13)</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July 2036</w:t>
            </w:r>
          </w:p>
        </w:tc>
        <w:tc>
          <w:tcPr>
            <w:tcW w:w="0" w:type="dxa"/>
            <w:vAlign w:val="bottom"/>
          </w:tcPr>
          <w:p>
            <w:pPr>
              <w:spacing w:after="0"/>
              <w:rPr>
                <w:sz w:val="1"/>
                <w:szCs w:val="1"/>
                <w:color w:val="auto"/>
              </w:rPr>
            </w:pPr>
          </w:p>
        </w:tc>
      </w:tr>
      <w:tr>
        <w:trPr>
          <w:trHeight w:val="129"/>
        </w:trPr>
        <w:tc>
          <w:tcPr>
            <w:tcW w:w="20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Leased from EchoStar</w:t>
            </w: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5,458,213</w:t>
            </w:r>
          </w:p>
        </w:tc>
        <w:tc>
          <w:tcPr>
            <w:tcW w:w="10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wp:posOffset>
            </wp:positionV>
            <wp:extent cx="5452110" cy="1028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5452110" cy="102870"/>
                    </a:xfrm>
                    <a:prstGeom prst="rect">
                      <a:avLst/>
                    </a:prstGeom>
                    <a:noFill/>
                  </pic:spPr>
                </pic:pic>
              </a:graphicData>
            </a:graphic>
          </wp:anchor>
        </w:drawing>
      </w:r>
    </w:p>
    <w:p>
      <w:pPr>
        <w:spacing w:after="0" w:line="96" w:lineRule="exact"/>
        <w:rPr>
          <w:sz w:val="20"/>
          <w:szCs w:val="20"/>
          <w:color w:val="auto"/>
        </w:rPr>
      </w:pPr>
    </w:p>
    <w:p>
      <w:pPr>
        <w:ind w:left="540" w:hanging="331"/>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build-out deadlines for these licenses have been met.</w:t>
      </w:r>
    </w:p>
    <w:p>
      <w:pPr>
        <w:spacing w:after="0" w:line="13" w:lineRule="exact"/>
        <w:rPr>
          <w:rFonts w:ascii="Arial" w:cs="Arial" w:eastAsia="Arial" w:hAnsi="Arial"/>
          <w:sz w:val="18"/>
          <w:szCs w:val="18"/>
          <w:color w:val="auto"/>
        </w:rPr>
      </w:pPr>
    </w:p>
    <w:p>
      <w:pPr>
        <w:ind w:left="540" w:hanging="331"/>
        <w:spacing w:after="0" w:line="234"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interim build-out deadlines for these licenses are in the past.</w:t>
      </w:r>
    </w:p>
    <w:p>
      <w:pPr>
        <w:ind w:left="540" w:right="299" w:hanging="331"/>
        <w:spacing w:after="0" w:line="234"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 January 10, 2025 filing to the FCC, we certified that we were offering 5G broadband service for certain of these license areas to at least 85% of the population in each Partial Economic Area (which is a service area established by the FCC), and offering 5G broadband service for certain other licenses to at least 80% of the population in each Partial Economic Area by this date (part of Commitments #2 and #3 of the Extension Request). These licenses are set forth in Appendices B and E of the Extension Request. Under the Extension Request, if we successfully fulfill Commitments #2 and #3, the final construction deadline for the 600 MHz licenses listed in Appendix G-2 of the Extension Request shall be extended from June 14, 2025 to December 14, 2026.</w:t>
      </w:r>
    </w:p>
    <w:p>
      <w:pPr>
        <w:spacing w:after="0" w:line="5" w:lineRule="exact"/>
        <w:rPr>
          <w:rFonts w:ascii="Arial" w:cs="Arial" w:eastAsia="Arial" w:hAnsi="Arial"/>
          <w:sz w:val="18"/>
          <w:szCs w:val="18"/>
          <w:color w:val="auto"/>
        </w:rPr>
      </w:pPr>
    </w:p>
    <w:p>
      <w:pPr>
        <w:ind w:left="540" w:right="259" w:hanging="331"/>
        <w:spacing w:after="0" w:line="237"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222222"/>
        </w:rPr>
        <w:t xml:space="preserve">In a January 10, 2025 filing to the FCC, we certified that we were offering </w:t>
      </w:r>
      <w:r>
        <w:rPr>
          <w:rFonts w:ascii="Arial" w:cs="Arial" w:eastAsia="Arial" w:hAnsi="Arial"/>
          <w:sz w:val="18"/>
          <w:szCs w:val="18"/>
          <w:color w:val="000000"/>
        </w:rPr>
        <w:t>reliable signal coverage for</w:t>
      </w:r>
      <w:r>
        <w:rPr>
          <w:rFonts w:ascii="Arial" w:cs="Arial" w:eastAsia="Arial" w:hAnsi="Arial"/>
          <w:sz w:val="18"/>
          <w:szCs w:val="18"/>
          <w:color w:val="222222"/>
        </w:rPr>
        <w:t xml:space="preserve"> </w:t>
      </w:r>
      <w:r>
        <w:rPr>
          <w:rFonts w:ascii="Arial" w:cs="Arial" w:eastAsia="Arial" w:hAnsi="Arial"/>
          <w:sz w:val="18"/>
          <w:szCs w:val="18"/>
          <w:color w:val="000000"/>
        </w:rPr>
        <w:t>certain of these license areas and offering service for certain accelerated licenses to at least 85% of the population of each license area and for certain other accelerated licenses to at least 80% of the population of each license area by this date (part of Commitments #2 and #3 the Extension Request). These accelerated licenses are set forth in Appendices C and F of the Extension Request. Under the Extension Request, if we successfully fulfill Commitment #2 and Commitment #3, the final construction deadlines for the AWS-3 licenses listed in Appendix G-3 of the Extension Request shall be extended from June 14, 2025 to December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3" w:name="page144"/>
    <w:bookmarkEnd w:id="14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540" w:right="259" w:hanging="331"/>
        <w:spacing w:after="0" w:line="236"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the 600 MHz licenses set forth in Appendix G-2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 of the population in each Partial Economic Area (which is a service area established by the FCC) with respect to these licenses shall be extended to December 14, 2026. Under the Extension Request, the final construction deadline shall be further extended to June 14, 2028, if: by December 31, 2024, we have offered 5G broadband service to, at least, 80 percent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percent of the U.S. population and (ii) we were offering a low-cost 5G broadband plan and device to consumers nationwide.</w:t>
      </w:r>
    </w:p>
    <w:p>
      <w:pPr>
        <w:spacing w:after="0" w:line="2" w:lineRule="exact"/>
        <w:rPr>
          <w:rFonts w:ascii="Arial" w:cs="Arial" w:eastAsia="Arial" w:hAnsi="Arial"/>
          <w:sz w:val="18"/>
          <w:szCs w:val="18"/>
          <w:color w:val="auto"/>
        </w:rPr>
      </w:pPr>
    </w:p>
    <w:p>
      <w:pPr>
        <w:jc w:val="both"/>
        <w:ind w:left="540" w:right="219" w:hanging="331"/>
        <w:spacing w:after="0" w:line="234" w:lineRule="auto"/>
        <w:tabs>
          <w:tab w:leader="none" w:pos="540" w:val="left"/>
        </w:tabs>
        <w:numPr>
          <w:ilvl w:val="0"/>
          <w:numId w:val="82"/>
        </w:numPr>
        <w:rPr>
          <w:rFonts w:ascii="Arial" w:cs="Arial" w:eastAsia="Arial" w:hAnsi="Arial"/>
          <w:sz w:val="18"/>
          <w:szCs w:val="18"/>
          <w:color w:val="222222"/>
        </w:rPr>
      </w:pPr>
      <w:r>
        <w:rPr>
          <w:rFonts w:ascii="Arial" w:cs="Arial" w:eastAsia="Arial" w:hAnsi="Arial"/>
          <w:sz w:val="18"/>
          <w:szCs w:val="18"/>
          <w:color w:val="222222"/>
        </w:rPr>
        <w:t>There are a variety of build-out options and associated build-out metrics associated with these licenses. If the interim build-out requirement is not met, the final build-out requirement may be accelerated by one year from May 2030 to May 2029.</w:t>
      </w:r>
    </w:p>
    <w:p>
      <w:pPr>
        <w:spacing w:after="0" w:line="2" w:lineRule="exact"/>
        <w:rPr>
          <w:rFonts w:ascii="Arial" w:cs="Arial" w:eastAsia="Arial" w:hAnsi="Arial"/>
          <w:sz w:val="18"/>
          <w:szCs w:val="18"/>
          <w:color w:val="222222"/>
        </w:rPr>
      </w:pPr>
    </w:p>
    <w:p>
      <w:pPr>
        <w:ind w:left="540" w:right="219" w:hanging="331"/>
        <w:spacing w:after="0" w:line="234"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the AWS-3 licenses set forth in Appendix G-3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 of the population in each license area with respect to these licenses shall be extended to December 14, 2026. Under the Extension Request, the final construction deadline shall be further extended to June 14, 2028, if: by December 31, 2024, we have offered 5G broadband service to, at least, 80 percent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w:t>
      </w:r>
    </w:p>
    <w:p>
      <w:pPr>
        <w:spacing w:after="0" w:line="8" w:lineRule="exact"/>
        <w:rPr>
          <w:rFonts w:ascii="Arial" w:cs="Arial" w:eastAsia="Arial" w:hAnsi="Arial"/>
          <w:sz w:val="18"/>
          <w:szCs w:val="18"/>
          <w:color w:val="auto"/>
        </w:rPr>
      </w:pPr>
    </w:p>
    <w:p>
      <w:pPr>
        <w:ind w:left="540" w:right="279"/>
        <w:spacing w:after="0" w:line="234" w:lineRule="auto"/>
        <w:rPr>
          <w:rFonts w:ascii="Arial" w:cs="Arial" w:eastAsia="Arial" w:hAnsi="Arial"/>
          <w:sz w:val="18"/>
          <w:szCs w:val="18"/>
          <w:color w:val="auto"/>
        </w:rPr>
      </w:pPr>
      <w:r>
        <w:rPr>
          <w:rFonts w:ascii="Arial" w:cs="Arial" w:eastAsia="Arial" w:hAnsi="Arial"/>
          <w:sz w:val="18"/>
          <w:szCs w:val="18"/>
          <w:color w:val="auto"/>
        </w:rPr>
        <w:t>5G broadband service to, at least, 80 percent of the U.S. population and (ii) we were offering a low-cost 5G broadband plan and device to consumers nationwide.</w:t>
      </w:r>
    </w:p>
    <w:p>
      <w:pPr>
        <w:spacing w:after="0" w:line="1" w:lineRule="exact"/>
        <w:rPr>
          <w:rFonts w:ascii="Arial" w:cs="Arial" w:eastAsia="Arial" w:hAnsi="Arial"/>
          <w:sz w:val="18"/>
          <w:szCs w:val="18"/>
          <w:color w:val="auto"/>
        </w:rPr>
      </w:pPr>
    </w:p>
    <w:p>
      <w:pPr>
        <w:ind w:left="540" w:hanging="331"/>
        <w:spacing w:after="0" w:line="234"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See Note 2 for further information.</w:t>
      </w:r>
    </w:p>
    <w:p>
      <w:pPr>
        <w:ind w:left="540" w:right="379" w:hanging="331"/>
        <w:spacing w:after="0" w:line="234"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See Note 1 for further information on the Sale and Transfer of Assets to EchoStar and see Note 16 for Related Party Transactions with EchoStar.</w:t>
      </w:r>
    </w:p>
    <w:p>
      <w:pPr>
        <w:spacing w:after="0" w:line="1" w:lineRule="exact"/>
        <w:rPr>
          <w:rFonts w:ascii="Arial" w:cs="Arial" w:eastAsia="Arial" w:hAnsi="Arial"/>
          <w:sz w:val="18"/>
          <w:szCs w:val="18"/>
          <w:color w:val="auto"/>
        </w:rPr>
      </w:pPr>
    </w:p>
    <w:p>
      <w:pPr>
        <w:ind w:left="580" w:right="339" w:hanging="371"/>
        <w:spacing w:after="0" w:line="237"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222222"/>
        </w:rPr>
        <w:t xml:space="preserve">In a January 10, 2025 filing to the FCC, we certified that we were offering </w:t>
      </w:r>
      <w:r>
        <w:rPr>
          <w:rFonts w:ascii="Arial" w:cs="Arial" w:eastAsia="Arial" w:hAnsi="Arial"/>
          <w:sz w:val="18"/>
          <w:szCs w:val="18"/>
          <w:color w:val="000000"/>
        </w:rPr>
        <w:t>5G broadband service for</w:t>
      </w:r>
      <w:r>
        <w:rPr>
          <w:rFonts w:ascii="Arial" w:cs="Arial" w:eastAsia="Arial" w:hAnsi="Arial"/>
          <w:sz w:val="18"/>
          <w:szCs w:val="18"/>
          <w:color w:val="222222"/>
        </w:rPr>
        <w:t xml:space="preserve"> </w:t>
      </w:r>
      <w:r>
        <w:rPr>
          <w:rFonts w:ascii="Arial" w:cs="Arial" w:eastAsia="Arial" w:hAnsi="Arial"/>
          <w:sz w:val="18"/>
          <w:szCs w:val="18"/>
          <w:color w:val="000000"/>
        </w:rPr>
        <w:t>certain of these license areas to at least 85% of the population in each Economic Area (which is a service area established by the FCC), and offering 5G broadband service for certain other licenses to at least 80% of the population in each Economic Area by this date (part of Commitments #2 and #3 of the September 2024 FCC Extension Request “Extension Request”). These licenses are set forth in Appendices A and D of the Extension Request. Under the Extension Request, if we successfully fulfill Commitments #2 and #3, the final construction deadline for the AWS-4 licenses, the AWS H Block licenses, and the Lower 700 MHz E Block licenses listed in Appendix G-1 of the Extension Request shall be extended from June 14, 2025 to December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4" w:name="page145"/>
    <w:bookmarkEnd w:id="14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580" w:right="219" w:hanging="371"/>
        <w:spacing w:after="0" w:line="236" w:lineRule="auto"/>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the 700 MHz and AWS-4 licenses set forth in Appendix G-1 of the Extension Request, we have certified to meeting the accelerated buildout obligations described in footnotes 3, 4 and 10 herein (thus fulfilling Commitments #2 and #3 of the Extension Request), and as a result the final deadline for us to offer 5G broadband service to at least 70% of the population in each Economic Area (which is a service area established by the FCC) with respect to these licenses shall be extended to December 14, 2026. Under the Extension Request, the final construction deadline shall be further extended to June 14, 2028, if: by December 31, 2024, we have offered 5G broadband service to, at least, 80 percent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percent of the U.S. population and (ii) we were offering a low-cost 5G broadband plan and device to consumers nationwide.</w:t>
      </w:r>
    </w:p>
    <w:p>
      <w:pPr>
        <w:spacing w:after="0" w:line="2" w:lineRule="exact"/>
        <w:rPr>
          <w:rFonts w:ascii="Arial" w:cs="Arial" w:eastAsia="Arial" w:hAnsi="Arial"/>
          <w:sz w:val="18"/>
          <w:szCs w:val="18"/>
          <w:color w:val="auto"/>
        </w:rPr>
      </w:pPr>
    </w:p>
    <w:p>
      <w:pPr>
        <w:ind w:left="580" w:right="259" w:hanging="371"/>
        <w:spacing w:after="0" w:line="234" w:lineRule="auto"/>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the H-Block licenses set forth in Appendix G-1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 of the population in each Economic Area (which is a service area established by the FCC) with respect to these licenses shall be extended to December 14, 2026. Under the Extension Request, the final construction deadline shall be further extended to June 14, 2028, if: by December 31, 2024, we have offered 5G broadband service to, at least, 80 percent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percent of the U.S. population and (ii) we were offering a low-cost 5G broadband plan and device to consumers nationwide.</w:t>
      </w:r>
    </w:p>
    <w:p>
      <w:pPr>
        <w:spacing w:after="0" w:line="10" w:lineRule="exact"/>
        <w:rPr>
          <w:rFonts w:ascii="Arial" w:cs="Arial" w:eastAsia="Arial" w:hAnsi="Arial"/>
          <w:sz w:val="18"/>
          <w:szCs w:val="18"/>
          <w:color w:val="auto"/>
        </w:rPr>
      </w:pPr>
    </w:p>
    <w:p>
      <w:pPr>
        <w:ind w:left="580" w:right="959" w:hanging="371"/>
        <w:spacing w:after="0" w:line="250" w:lineRule="auto"/>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are a variety of build-out options and associated build-out metrics associated with these licenses.</w:t>
      </w:r>
    </w:p>
    <w:p>
      <w:pPr>
        <w:spacing w:after="0" w:line="158" w:lineRule="exact"/>
        <w:rPr>
          <w:sz w:val="20"/>
          <w:szCs w:val="20"/>
          <w:color w:val="auto"/>
        </w:rPr>
      </w:pPr>
    </w:p>
    <w:p>
      <w:pPr>
        <w:ind w:left="200" w:right="299"/>
        <w:spacing w:after="0" w:line="239" w:lineRule="auto"/>
        <w:rPr>
          <w:sz w:val="20"/>
          <w:szCs w:val="20"/>
          <w:color w:val="auto"/>
        </w:rPr>
      </w:pPr>
      <w:r>
        <w:rPr>
          <w:rFonts w:ascii="Arial" w:cs="Arial" w:eastAsia="Arial" w:hAnsi="Arial"/>
          <w:sz w:val="18"/>
          <w:szCs w:val="18"/>
          <w:i w:val="1"/>
          <w:iCs w:val="1"/>
          <w:color w:val="auto"/>
        </w:rPr>
        <w:t xml:space="preserve">Commercialization of Our Wireless Spectrum Licenses and Related Assets. </w:t>
      </w:r>
      <w:r>
        <w:rPr>
          <w:rFonts w:ascii="Arial" w:cs="Arial" w:eastAsia="Arial" w:hAnsi="Arial"/>
          <w:sz w:val="18"/>
          <w:szCs w:val="18"/>
          <w:color w:val="auto"/>
        </w:rPr>
        <w:t>On September 29, 2023,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FCC confirmed we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currently have the largest commercial deployment of 5G VoNR in the world covering over</w:t>
      </w:r>
      <w:r>
        <w:rPr>
          <w:rFonts w:ascii="Arial" w:cs="Arial" w:eastAsia="Arial" w:hAnsi="Arial"/>
          <w:sz w:val="18"/>
          <w:szCs w:val="18"/>
          <w:color w:val="auto"/>
        </w:rPr>
        <w:t xml:space="preserve"> 220 million Americans </w:t>
      </w:r>
      <w:r>
        <w:rPr>
          <w:rFonts w:ascii="Arial" w:cs="Arial" w:eastAsia="Arial" w:hAnsi="Arial"/>
          <w:sz w:val="18"/>
          <w:szCs w:val="18"/>
          <w:color w:val="0A0A0A"/>
        </w:rPr>
        <w:t>and</w:t>
      </w:r>
      <w:r>
        <w:rPr>
          <w:rFonts w:ascii="Arial" w:cs="Arial" w:eastAsia="Arial" w:hAnsi="Arial"/>
          <w:sz w:val="18"/>
          <w:szCs w:val="18"/>
          <w:color w:val="auto"/>
        </w:rPr>
        <w:t xml:space="preserve"> 5G broadband service </w:t>
      </w:r>
      <w:r>
        <w:rPr>
          <w:rFonts w:ascii="Arial" w:cs="Arial" w:eastAsia="Arial" w:hAnsi="Arial"/>
          <w:sz w:val="18"/>
          <w:szCs w:val="18"/>
          <w:color w:val="0A0A0A"/>
        </w:rPr>
        <w:t>covering over</w:t>
      </w:r>
      <w:r>
        <w:rPr>
          <w:rFonts w:ascii="Arial" w:cs="Arial" w:eastAsia="Arial" w:hAnsi="Arial"/>
          <w:sz w:val="18"/>
          <w:szCs w:val="18"/>
          <w:color w:val="auto"/>
        </w:rPr>
        <w:t xml:space="preserve"> 268 million Americans. We currently expect capital expenditures, excluding capitalized interest, for our 5G Network Deployment to be approximately $10 billion, including amounts incurred in 2021, 2022, 2023 and 2024. See Note 2 for further information.</w:t>
      </w:r>
    </w:p>
    <w:p>
      <w:pPr>
        <w:spacing w:after="0" w:line="170" w:lineRule="exact"/>
        <w:rPr>
          <w:sz w:val="20"/>
          <w:szCs w:val="20"/>
          <w:color w:val="auto"/>
        </w:rPr>
      </w:pPr>
    </w:p>
    <w:p>
      <w:pPr>
        <w:ind w:left="200" w:right="239"/>
        <w:spacing w:after="0" w:line="239" w:lineRule="auto"/>
        <w:rPr>
          <w:sz w:val="20"/>
          <w:szCs w:val="20"/>
          <w:color w:val="auto"/>
        </w:rPr>
      </w:pPr>
      <w:r>
        <w:rPr>
          <w:rFonts w:ascii="Arial" w:cs="Arial" w:eastAsia="Arial" w:hAnsi="Arial"/>
          <w:sz w:val="18"/>
          <w:szCs w:val="18"/>
          <w:color w:val="0A0A0A"/>
        </w:rPr>
        <w:t xml:space="preserve">In September 2024, the FCC conditionally granted our requests to extend the 5G 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 January 10, 2025 filing to</w:t>
      </w:r>
      <w:r>
        <w:rPr>
          <w:rFonts w:ascii="Arial" w:cs="Arial" w:eastAsia="Arial" w:hAnsi="Arial"/>
          <w:sz w:val="18"/>
          <w:szCs w:val="18"/>
          <w:color w:val="0A0A0A"/>
        </w:rPr>
        <w:t xml:space="preserve"> </w:t>
      </w:r>
      <w:r>
        <w:rPr>
          <w:rFonts w:ascii="Arial" w:cs="Arial" w:eastAsia="Arial" w:hAnsi="Arial"/>
          <w:sz w:val="18"/>
          <w:szCs w:val="18"/>
          <w:color w:val="222222"/>
        </w:rPr>
        <w:t>the 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w:t>
      </w:r>
      <w:r>
        <w:rPr>
          <w:rFonts w:ascii="Arial" w:cs="Arial" w:eastAsia="Arial" w:hAnsi="Arial"/>
          <w:sz w:val="18"/>
          <w:szCs w:val="18"/>
          <w:color w:val="222222"/>
        </w:rPr>
        <w:t xml:space="preserve"> </w:t>
      </w:r>
      <w:r>
        <w:rPr>
          <w:rFonts w:ascii="Arial" w:cs="Arial" w:eastAsia="Arial" w:hAnsi="Arial"/>
          <w:sz w:val="18"/>
          <w:szCs w:val="18"/>
          <w:color w:val="000000"/>
        </w:rPr>
        <w:t xml:space="preserve">December 31, 2024, </w:t>
      </w:r>
      <w:r>
        <w:rPr>
          <w:rFonts w:ascii="Arial" w:cs="Arial" w:eastAsia="Arial" w:hAnsi="Arial"/>
          <w:sz w:val="18"/>
          <w:szCs w:val="18"/>
          <w:color w:val="0A0A0A"/>
        </w:rPr>
        <w:t>as defined and detailed in the footnotes to the table above.</w:t>
      </w:r>
      <w:r>
        <w:rPr>
          <w:rFonts w:ascii="Arial" w:cs="Arial" w:eastAsia="Arial" w:hAnsi="Arial"/>
          <w:sz w:val="18"/>
          <w:szCs w:val="18"/>
          <w:color w:val="000000"/>
        </w:rPr>
        <w:t xml:space="preserve"> Thus, pursuant to the Extension 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as defined and detailed in the footnotes to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5" w:name="page146"/>
    <w:bookmarkEnd w:id="14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259"/>
        <w:spacing w:after="0" w:line="238" w:lineRule="auto"/>
        <w:rPr>
          <w:sz w:val="20"/>
          <w:szCs w:val="20"/>
          <w:color w:val="auto"/>
        </w:rPr>
      </w:pPr>
      <w:r>
        <w:rPr>
          <w:rFonts w:ascii="Arial" w:cs="Arial" w:eastAsia="Arial" w:hAnsi="Arial"/>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AWS-3 Auction</w:t>
      </w:r>
    </w:p>
    <w:p>
      <w:pPr>
        <w:spacing w:after="0" w:line="196" w:lineRule="exact"/>
        <w:rPr>
          <w:sz w:val="20"/>
          <w:szCs w:val="20"/>
          <w:color w:val="auto"/>
        </w:rPr>
      </w:pPr>
    </w:p>
    <w:p>
      <w:pPr>
        <w:ind w:left="200" w:right="339"/>
        <w:spacing w:after="0" w:line="244" w:lineRule="auto"/>
        <w:rPr>
          <w:sz w:val="20"/>
          <w:szCs w:val="20"/>
          <w:color w:val="auto"/>
        </w:rPr>
      </w:pPr>
      <w:r>
        <w:rPr>
          <w:rFonts w:ascii="Arial" w:cs="Arial" w:eastAsia="Arial" w:hAnsi="Arial"/>
          <w:sz w:val="18"/>
          <w:szCs w:val="18"/>
          <w:color w:val="auto"/>
        </w:rPr>
        <w:t>Northstar Wireless is a wholly-owned subsidiary of Northstar Spectrum, which is an entity wholly-owned by us and, prior to October 12, 2023, by us and Northstar Manager. SNR Wireless is a wholly-owned subsidiary of SNR HoldCo, which is an entity owned by us and our parent’s direct wholly-owned subsidiary EchoStar SNR HoldCo L.L.C. and, prior to February 16, 2024, by us and SNR Management. See Note 2 for further information.</w:t>
      </w:r>
    </w:p>
    <w:p>
      <w:pPr>
        <w:spacing w:after="0" w:line="163" w:lineRule="exact"/>
        <w:rPr>
          <w:sz w:val="20"/>
          <w:szCs w:val="20"/>
          <w:color w:val="auto"/>
        </w:rPr>
      </w:pPr>
    </w:p>
    <w:p>
      <w:pPr>
        <w:ind w:left="200" w:right="339"/>
        <w:spacing w:after="0" w:line="253" w:lineRule="auto"/>
        <w:rPr>
          <w:sz w:val="20"/>
          <w:szCs w:val="20"/>
          <w:color w:val="auto"/>
        </w:rPr>
      </w:pPr>
      <w:r>
        <w:rPr>
          <w:rFonts w:ascii="Arial" w:cs="Arial" w:eastAsia="Arial" w:hAnsi="Arial"/>
          <w:sz w:val="18"/>
          <w:szCs w:val="18"/>
          <w:color w:val="auto"/>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spacing w:after="0" w:line="155" w:lineRule="exact"/>
        <w:rPr>
          <w:sz w:val="20"/>
          <w:szCs w:val="20"/>
          <w:color w:val="auto"/>
        </w:rPr>
      </w:pPr>
    </w:p>
    <w:p>
      <w:pPr>
        <w:ind w:left="200" w:right="319"/>
        <w:spacing w:after="0" w:line="238" w:lineRule="auto"/>
        <w:rPr>
          <w:sz w:val="20"/>
          <w:szCs w:val="20"/>
          <w:color w:val="auto"/>
        </w:rPr>
      </w:pPr>
      <w:r>
        <w:rPr>
          <w:rFonts w:ascii="Arial" w:cs="Arial" w:eastAsia="Arial" w:hAnsi="Arial"/>
          <w:sz w:val="18"/>
          <w:szCs w:val="18"/>
          <w:i w:val="1"/>
          <w:iCs w:val="1"/>
          <w:color w:val="auto"/>
        </w:rPr>
        <w:t xml:space="preserve">FCC Order and October 2015 Arrangements. </w:t>
      </w:r>
      <w:r>
        <w:rPr>
          <w:rFonts w:ascii="Arial" w:cs="Arial" w:eastAsia="Arial" w:hAnsi="Arial"/>
          <w:sz w:val="18"/>
          <w:szCs w:val="18"/>
          <w:color w:val="auto"/>
        </w:rPr>
        <w:t>On August 18, 2015, the FCC released a</w:t>
      </w:r>
      <w:r>
        <w:rPr>
          <w:rFonts w:ascii="Arial" w:cs="Arial" w:eastAsia="Arial" w:hAnsi="Arial"/>
          <w:sz w:val="18"/>
          <w:szCs w:val="18"/>
          <w:i w:val="1"/>
          <w:iCs w:val="1"/>
          <w:color w:val="auto"/>
        </w:rPr>
        <w:t xml:space="preserve"> Memorandum Opinion and Order</w:t>
      </w:r>
      <w:r>
        <w:rPr>
          <w:rFonts w:ascii="Arial" w:cs="Arial" w:eastAsia="Arial" w:hAnsi="Arial"/>
          <w:sz w:val="18"/>
          <w:szCs w:val="18"/>
          <w:color w:val="auto"/>
        </w:rPr>
        <w:t>, FCC 15-104 (the “Order”) in which the FCC determined, among other things, that DISH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Network has a 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 </w:t>
      </w:r>
      <w:r>
        <w:rPr>
          <w:rFonts w:ascii="Arial" w:cs="Arial" w:eastAsia="Arial" w:hAnsi="Arial"/>
          <w:sz w:val="18"/>
          <w:szCs w:val="18"/>
          <w:color w:val="auto"/>
        </w:rPr>
        <w:t>control. Northstar Wireless and SNR Wireless appealed the FCC’s order to the D.C. Circuit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67" w:lineRule="exact"/>
        <w:rPr>
          <w:sz w:val="20"/>
          <w:szCs w:val="20"/>
          <w:color w:val="auto"/>
        </w:rPr>
      </w:pPr>
    </w:p>
    <w:p>
      <w:pPr>
        <w:ind w:left="200" w:right="299"/>
        <w:spacing w:after="0" w:line="244" w:lineRule="auto"/>
        <w:rPr>
          <w:sz w:val="20"/>
          <w:szCs w:val="20"/>
          <w:color w:val="auto"/>
        </w:rPr>
      </w:pPr>
      <w:r>
        <w:rPr>
          <w:rFonts w:ascii="Arial" w:cs="Arial" w:eastAsia="Arial" w:hAnsi="Arial"/>
          <w:sz w:val="18"/>
          <w:szCs w:val="18"/>
          <w:i w:val="1"/>
          <w:iCs w:val="1"/>
          <w:color w:val="auto"/>
        </w:rPr>
        <w:t xml:space="preserve">Letters Exchanged between Northstar Wireless and the FCC Wireless Bureau. </w:t>
      </w:r>
      <w:r>
        <w:rPr>
          <w:rFonts w:ascii="Arial" w:cs="Arial" w:eastAsia="Arial" w:hAnsi="Arial"/>
          <w:sz w:val="18"/>
          <w:szCs w:val="18"/>
          <w:color w:val="auto"/>
        </w:rPr>
        <w:t>As outlined in letters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between Northstar Wireless and the Wireless Telecommunications Bureau of the FCC (the “FCC Wireless Bureau”), Northstar Wireless paid the gross winning bid amounts for 261 AWS-3 Licenses and notified the FCC that it would not be paying the gross winning bid amounts for 84 AWS-3 Licenses. As a result of the nonpayment of those gross winning bid amounts, the FCC retained those licenses.</w:t>
      </w:r>
    </w:p>
    <w:p>
      <w:pPr>
        <w:spacing w:after="0" w:line="163" w:lineRule="exact"/>
        <w:rPr>
          <w:sz w:val="20"/>
          <w:szCs w:val="20"/>
          <w:color w:val="auto"/>
        </w:rPr>
      </w:pPr>
    </w:p>
    <w:p>
      <w:pPr>
        <w:ind w:left="200" w:right="279"/>
        <w:spacing w:after="0" w:line="239" w:lineRule="auto"/>
        <w:rPr>
          <w:sz w:val="20"/>
          <w:szCs w:val="20"/>
          <w:color w:val="auto"/>
        </w:rPr>
      </w:pPr>
      <w:r>
        <w:rPr>
          <w:rFonts w:ascii="Arial" w:cs="Arial" w:eastAsia="Arial" w:hAnsi="Arial"/>
          <w:sz w:val="18"/>
          <w:szCs w:val="18"/>
          <w:color w:val="auto"/>
        </w:rPr>
        <w:t>If the winning bids from re-auction or other award of the AWS-3 licenses retained by the FCC are greater than or equal to the winning bids of Northstar Wireless, no additional amounts will be owed to the FCC by Northstar Wireless. However, if those winning bids are less than the winning bids of Northstar Wireless, then we will be responsible for the difference less any overpayment of the Northstar interim payment, detailed below, (which will be recalculated as 15% of the winning bids from re-auction or other award) (the “Northstar Re-Auction Payment”). For example, if the winning bids in a re-auction are $1, the Northstar Re-Auction Payment would be approximately $1.892 billion, which is calculated as the difference between $2.226 billion (the Northstar winning bid amounts) and $1 (the winning bids from re-auction) less the resulting $334 million overpayment of the Northstar interim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6" w:name="page147"/>
    <w:bookmarkEnd w:id="14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239"/>
        <w:spacing w:after="0" w:line="271" w:lineRule="auto"/>
        <w:rPr>
          <w:sz w:val="20"/>
          <w:szCs w:val="20"/>
          <w:color w:val="auto"/>
        </w:rPr>
      </w:pPr>
      <w:r>
        <w:rPr>
          <w:rFonts w:ascii="Arial" w:cs="Arial" w:eastAsia="Arial" w:hAnsi="Arial"/>
          <w:sz w:val="18"/>
          <w:szCs w:val="18"/>
          <w:color w:val="auto"/>
        </w:rPr>
        <w:t>We cannot predict with any degree of certainty the timing or outcome of any re-auction or the amount of any Northstar Re-Auction Payment.</w:t>
      </w:r>
    </w:p>
    <w:p>
      <w:pPr>
        <w:spacing w:after="0" w:line="140" w:lineRule="exact"/>
        <w:rPr>
          <w:sz w:val="20"/>
          <w:szCs w:val="20"/>
          <w:color w:val="auto"/>
        </w:rPr>
      </w:pPr>
    </w:p>
    <w:p>
      <w:pPr>
        <w:ind w:left="200" w:right="279"/>
        <w:spacing w:after="0" w:line="244" w:lineRule="auto"/>
        <w:rPr>
          <w:sz w:val="20"/>
          <w:szCs w:val="20"/>
          <w:color w:val="auto"/>
        </w:rPr>
      </w:pPr>
      <w:r>
        <w:rPr>
          <w:rFonts w:ascii="Arial" w:cs="Arial" w:eastAsia="Arial" w:hAnsi="Arial"/>
          <w:sz w:val="18"/>
          <w:szCs w:val="18"/>
          <w:i w:val="1"/>
          <w:iCs w:val="1"/>
          <w:color w:val="auto"/>
        </w:rPr>
        <w:t xml:space="preserve">Letters Exchanged between SNR Wireless and the FCC Wireless Bureau. </w:t>
      </w:r>
      <w:r>
        <w:rPr>
          <w:rFonts w:ascii="Arial" w:cs="Arial" w:eastAsia="Arial" w:hAnsi="Arial"/>
          <w:sz w:val="18"/>
          <w:szCs w:val="18"/>
          <w:color w:val="auto"/>
        </w:rPr>
        <w:t>As outlined in letters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SNR Wireless and the FCC Wireless Bureau, SNR Wireless paid the gross winning bid amounts for 244 AWS-3 Licenses and notified the FCC that it would not be paying the gross winning bid amounts for 113 AWS-3 Licenses. As a result of the nonpayment of those gross winning bid amounts, the FCC retained those licenses.</w:t>
      </w:r>
    </w:p>
    <w:p>
      <w:pPr>
        <w:spacing w:after="0" w:line="163" w:lineRule="exact"/>
        <w:rPr>
          <w:sz w:val="20"/>
          <w:szCs w:val="20"/>
          <w:color w:val="auto"/>
        </w:rPr>
      </w:pPr>
    </w:p>
    <w:p>
      <w:pPr>
        <w:ind w:left="200" w:right="239"/>
        <w:spacing w:after="0" w:line="239" w:lineRule="auto"/>
        <w:rPr>
          <w:sz w:val="20"/>
          <w:szCs w:val="20"/>
          <w:color w:val="auto"/>
        </w:rPr>
      </w:pPr>
      <w:r>
        <w:rPr>
          <w:rFonts w:ascii="Arial" w:cs="Arial" w:eastAsia="Arial" w:hAnsi="Arial"/>
          <w:sz w:val="18"/>
          <w:szCs w:val="18"/>
          <w:color w:val="auto"/>
        </w:rPr>
        <w:t>If the winning bids from re-auction or other award of the AWS-3 licenses retained by the FCC are greater than or equal to the winning bids of SNR Wireless, no additional amounts will be owed to the FCC by SNR Wireless. However, if those winning bids are less than the winning bids of SNR Wireless, then we and our parent, EchoStar, will be responsible for the difference less any overpayment of the SNR interim payment, detailed below, (which will be recalculated as 15% of the winning bids from re-auction or other award) (the “SNR Re-Auction Payment”). For example, if the winning bids in a re-auction are $1, the SNR Re-Auction Payment would be approximately $1.029 billion, which is calculated as the difference between $1.211 billion (the SNR winning bid amounts) and $1 (the winning bids from re-auction) less the resulting $182 million overpayment of the SNR interim payment. We cannot predict with any degree of certainty the timing or outcome of any re-auction or the amount of any SNR Re-Auction Payment.</w:t>
      </w:r>
    </w:p>
    <w:p>
      <w:pPr>
        <w:spacing w:after="0" w:line="166" w:lineRule="exact"/>
        <w:rPr>
          <w:sz w:val="20"/>
          <w:szCs w:val="20"/>
          <w:color w:val="auto"/>
        </w:rPr>
      </w:pPr>
    </w:p>
    <w:p>
      <w:pPr>
        <w:ind w:left="200" w:right="559"/>
        <w:spacing w:after="0"/>
        <w:rPr>
          <w:sz w:val="20"/>
          <w:szCs w:val="20"/>
          <w:color w:val="auto"/>
        </w:rPr>
      </w:pPr>
      <w:r>
        <w:rPr>
          <w:rFonts w:ascii="Arial" w:cs="Arial" w:eastAsia="Arial" w:hAnsi="Arial"/>
          <w:sz w:val="18"/>
          <w:szCs w:val="18"/>
          <w:i w:val="1"/>
          <w:iCs w:val="1"/>
          <w:color w:val="auto"/>
        </w:rPr>
        <w:t>D.C. Circuit Court Opinion</w:t>
      </w:r>
      <w:r>
        <w:rPr>
          <w:rFonts w:ascii="Arial" w:cs="Arial" w:eastAsia="Arial" w:hAnsi="Arial"/>
          <w:sz w:val="18"/>
          <w:szCs w:val="18"/>
          <w:color w:val="auto"/>
        </w:rPr>
        <w:t>. On August 29, 2017, the United States Court of Appeals for the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Columbia Circuit (the “D.C. Circuit”) in </w:t>
      </w:r>
      <w:r>
        <w:rPr>
          <w:rFonts w:ascii="Arial" w:cs="Arial" w:eastAsia="Arial" w:hAnsi="Arial"/>
          <w:sz w:val="18"/>
          <w:szCs w:val="18"/>
          <w:i w:val="1"/>
          <w:iCs w:val="1"/>
          <w:color w:val="auto"/>
        </w:rPr>
        <w:t>SNR Wireless LicenseCo, LLC, et al. v. Federal Communications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w:t>
      </w:r>
      <w:r>
        <w:rPr>
          <w:rFonts w:ascii="Arial" w:cs="Arial" w:eastAsia="Arial" w:hAnsi="Arial"/>
          <w:sz w:val="18"/>
          <w:szCs w:val="18"/>
          <w:color w:val="auto"/>
        </w:rPr>
        <w:t>, 868 F.3d 1021 (D.C. Cir. 2017) (the “Appellate Decision”) affirmed the Order in part, and</w:t>
      </w:r>
      <w:r>
        <w:rPr>
          <w:rFonts w:ascii="Arial" w:cs="Arial" w:eastAsia="Arial" w:hAnsi="Arial"/>
          <w:sz w:val="18"/>
          <w:szCs w:val="18"/>
          <w:i w:val="1"/>
          <w:iCs w:val="1"/>
          <w:color w:val="auto"/>
        </w:rPr>
        <w:t xml:space="preserve"> </w:t>
      </w:r>
      <w:r>
        <w:rPr>
          <w:rFonts w:ascii="Arial" w:cs="Arial" w:eastAsia="Arial" w:hAnsi="Arial"/>
          <w:sz w:val="18"/>
          <w:szCs w:val="18"/>
          <w:color w:val="auto"/>
        </w:rPr>
        <w:t>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spacing w:after="0" w:line="167" w:lineRule="exact"/>
        <w:rPr>
          <w:sz w:val="20"/>
          <w:szCs w:val="20"/>
          <w:color w:val="auto"/>
        </w:rPr>
      </w:pPr>
    </w:p>
    <w:p>
      <w:pPr>
        <w:ind w:left="200" w:right="219"/>
        <w:spacing w:after="0" w:line="237" w:lineRule="auto"/>
        <w:rPr>
          <w:sz w:val="20"/>
          <w:szCs w:val="20"/>
          <w:color w:val="auto"/>
        </w:rPr>
      </w:pPr>
      <w:r>
        <w:rPr>
          <w:rFonts w:ascii="Arial" w:cs="Arial" w:eastAsia="Arial" w:hAnsi="Arial"/>
          <w:sz w:val="18"/>
          <w:szCs w:val="18"/>
          <w:i w:val="1"/>
          <w:iCs w:val="1"/>
          <w:color w:val="auto"/>
        </w:rPr>
        <w:t xml:space="preserve">Order on Remand. </w:t>
      </w:r>
      <w:r>
        <w:rPr>
          <w:rFonts w:ascii="Arial" w:cs="Arial" w:eastAsia="Arial" w:hAnsi="Arial"/>
          <w:sz w:val="18"/>
          <w:szCs w:val="18"/>
          <w:color w:val="auto"/>
        </w:rPr>
        <w:t>On January 24, 2018, the FCC released an Order on Remand, DA 18-70 (the “Order on</w:t>
      </w:r>
      <w:r>
        <w:rPr>
          <w:rFonts w:ascii="Arial" w:cs="Arial" w:eastAsia="Arial" w:hAnsi="Arial"/>
          <w:sz w:val="18"/>
          <w:szCs w:val="18"/>
          <w:i w:val="1"/>
          <w:iCs w:val="1"/>
          <w:color w:val="auto"/>
        </w:rPr>
        <w:t xml:space="preserve"> </w:t>
      </w:r>
      <w:r>
        <w:rPr>
          <w:rFonts w:ascii="Arial" w:cs="Arial" w:eastAsia="Arial" w:hAnsi="Arial"/>
          <w:sz w:val="18"/>
          <w:szCs w:val="18"/>
          <w:color w:val="auto"/>
        </w:rPr>
        <w:t>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70" w:lineRule="exact"/>
        <w:rPr>
          <w:sz w:val="20"/>
          <w:szCs w:val="20"/>
          <w:color w:val="auto"/>
        </w:rPr>
      </w:pPr>
    </w:p>
    <w:p>
      <w:pPr>
        <w:ind w:left="200" w:right="559"/>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7" w:name="page148"/>
    <w:bookmarkEnd w:id="14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Satellite Insurance</w:t>
      </w:r>
    </w:p>
    <w:p>
      <w:pPr>
        <w:spacing w:after="0" w:line="196" w:lineRule="exact"/>
        <w:rPr>
          <w:sz w:val="20"/>
          <w:szCs w:val="20"/>
          <w:color w:val="auto"/>
        </w:rPr>
      </w:pPr>
    </w:p>
    <w:p>
      <w:pPr>
        <w:ind w:left="200" w:right="399"/>
        <w:spacing w:after="0"/>
        <w:rPr>
          <w:sz w:val="20"/>
          <w:szCs w:val="20"/>
          <w:color w:val="auto"/>
        </w:rPr>
      </w:pPr>
      <w:r>
        <w:rPr>
          <w:rFonts w:ascii="Arial" w:cs="Arial" w:eastAsia="Arial" w:hAnsi="Arial"/>
          <w:sz w:val="18"/>
          <w:szCs w:val="18"/>
          <w:color w:val="auto"/>
        </w:rPr>
        <w:t>We generally do not carry commercial in-orbit insurance on any of the satellites we own. We generally do not use commercial insurance to mitigate the potential financial impact of in-orbit failures because we believe that the cost of insurance premiums is uneconomical relative to the risk of such failures.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owned or leased satellites and use it as a replacement for the failed or lost satellite.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Purchase Obligations</w:t>
      </w:r>
    </w:p>
    <w:p>
      <w:pPr>
        <w:spacing w:after="0" w:line="196"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Our 2025 purchase obligations primarily consist of binding purchase orders for certain fixed contractual commitments to purchase programming content, 5G Network Deployment equipment, receiver systems and related equipment, broadband equipment, digital broadcast operations, transmission costs, streaming delivery technology and infrastructure, engineering services, software and other products and services. In addition, our 2025 purchase obligations also include wireless devices related to our Wireless segment. Our purchase obligations may fluctuate significantly from period to period due to, among other things, management’s timing of payments and inventory purchases, which can materially impact our future operating asset and liability balances and our future working capital requirements.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Programming Contracts</w:t>
      </w:r>
    </w:p>
    <w:p>
      <w:pPr>
        <w:spacing w:after="0" w:line="196"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In the normal course of business, we enter into contracts to purchase programming content in which our payment obligations are generally contingent on the number of Pay-TV subscribers to whom we provide the respective content. These programming commitments are not included in the “Commitments” table above. The terms of our contracts typically range from one to ten years with annual rate increases. Our programming expenses will increase to the extent we are successful in growing our Pay-TV subscriber base. In addition, programming costs per subscriber continue to increase due to contractual price increases and the renewal of long-term programming contracts on less favorable pricing terms.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Patents and Intellectual Property</w:t>
      </w:r>
    </w:p>
    <w:p>
      <w:pPr>
        <w:spacing w:after="0" w:line="196" w:lineRule="exact"/>
        <w:rPr>
          <w:sz w:val="20"/>
          <w:szCs w:val="20"/>
          <w:color w:val="auto"/>
        </w:rPr>
      </w:pPr>
    </w:p>
    <w:p>
      <w:pPr>
        <w:ind w:left="200" w:right="259"/>
        <w:spacing w:after="0" w:line="238" w:lineRule="auto"/>
        <w:rPr>
          <w:sz w:val="20"/>
          <w:szCs w:val="20"/>
          <w:color w:val="auto"/>
        </w:rPr>
      </w:pPr>
      <w:r>
        <w:rPr>
          <w:rFonts w:ascii="Arial" w:cs="Arial" w:eastAsia="Arial" w:hAnsi="Arial"/>
          <w:sz w:val="18"/>
          <w:szCs w:val="18"/>
          <w:color w:val="auto"/>
        </w:rPr>
        <w:t>Many entities, including some of our competitors, have or may in the future obtain patents and other intellectual property rights that cover or affect products or services that we offer or that we may offer in the future. We may not be aware of all intellectual property rights that our products or services may potentially infringe. Damages in patent infringement cases can be substantial, and in certain circumstances can be trebled. Further, we cannot estimate the extent to which we may be required in the future to obtain licenses with respect to patents held by others and the availability and cost of any such licenses. Various parties have asserted patent and other intellectual property rights with respect to components of our products and services. We cannot be certain that these persons do not own the rights they claim, that our products do not infringe on these rights, and/or that these rights are not valid. Further, we cannot be certain that we would be able to obtain licenses from these persons on commercially reasonable terms or, if we were unable to obtain such licenses, that we would be able to redesign our products to avoid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8" w:name="page149"/>
    <w:bookmarkEnd w:id="14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Contingencies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Litigation</w:t>
      </w:r>
    </w:p>
    <w:p>
      <w:pPr>
        <w:spacing w:after="0" w:line="196"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71" w:lineRule="exact"/>
        <w:rPr>
          <w:sz w:val="20"/>
          <w:szCs w:val="20"/>
          <w:color w:val="auto"/>
        </w:rPr>
      </w:pPr>
    </w:p>
    <w:p>
      <w:pPr>
        <w:ind w:left="200" w:right="219"/>
        <w:spacing w:after="0" w:line="239" w:lineRule="auto"/>
        <w:rPr>
          <w:sz w:val="20"/>
          <w:szCs w:val="20"/>
          <w:color w:val="auto"/>
        </w:rPr>
      </w:pPr>
      <w:r>
        <w:rPr>
          <w:rFonts w:ascii="Arial" w:cs="Arial" w:eastAsia="Arial" w:hAnsi="Arial"/>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ClearPlay, Inc.</w:t>
      </w:r>
    </w:p>
    <w:p>
      <w:pPr>
        <w:spacing w:after="0" w:line="196" w:lineRule="exact"/>
        <w:rPr>
          <w:sz w:val="20"/>
          <w:szCs w:val="20"/>
          <w:color w:val="auto"/>
        </w:rPr>
      </w:pPr>
    </w:p>
    <w:p>
      <w:pPr>
        <w:ind w:left="200" w:right="219"/>
        <w:spacing w:after="0" w:line="238" w:lineRule="auto"/>
        <w:rPr>
          <w:sz w:val="20"/>
          <w:szCs w:val="20"/>
          <w:color w:val="auto"/>
        </w:rPr>
      </w:pPr>
      <w:r>
        <w:rPr>
          <w:rFonts w:ascii="Arial" w:cs="Arial" w:eastAsia="Arial" w:hAnsi="Arial"/>
          <w:sz w:val="18"/>
          <w:szCs w:val="18"/>
          <w:color w:val="auto"/>
        </w:rPr>
        <w:t>On March 13, 2014, ClearPlay, Inc. (“ClearPlay”) filed a complaint against us, our wholly-owned subsidiary DISH Network L.L.C., EchoStar and its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69" w:lineRule="exact"/>
        <w:rPr>
          <w:sz w:val="20"/>
          <w:szCs w:val="20"/>
          <w:color w:val="auto"/>
        </w:rPr>
      </w:pPr>
    </w:p>
    <w:p>
      <w:pPr>
        <w:ind w:left="200" w:right="419"/>
        <w:spacing w:after="0"/>
        <w:rPr>
          <w:sz w:val="20"/>
          <w:szCs w:val="20"/>
          <w:color w:val="auto"/>
        </w:rPr>
      </w:pPr>
      <w:r>
        <w:rPr>
          <w:rFonts w:ascii="Arial" w:cs="Arial" w:eastAsia="Arial" w:hAnsi="Arial"/>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EchoStar as defendants, leaving DISH Network L.L.C. and DISH Technologies L.L.C. as the sole defendants.</w:t>
      </w:r>
    </w:p>
    <w:p>
      <w:pPr>
        <w:spacing w:after="0" w:line="171" w:lineRule="exact"/>
        <w:rPr>
          <w:sz w:val="20"/>
          <w:szCs w:val="20"/>
          <w:color w:val="auto"/>
        </w:rPr>
      </w:pPr>
    </w:p>
    <w:p>
      <w:pPr>
        <w:ind w:left="200" w:right="319"/>
        <w:spacing w:after="0"/>
        <w:rPr>
          <w:sz w:val="20"/>
          <w:szCs w:val="20"/>
          <w:color w:val="auto"/>
        </w:rPr>
      </w:pPr>
      <w:r>
        <w:rPr>
          <w:rFonts w:ascii="Arial" w:cs="Arial" w:eastAsia="Arial" w:hAnsi="Arial"/>
          <w:sz w:val="18"/>
          <w:szCs w:val="18"/>
          <w:color w:val="auto"/>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9" w:name="page150"/>
    <w:bookmarkEnd w:id="14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319"/>
        <w:spacing w:after="0"/>
        <w:rPr>
          <w:sz w:val="20"/>
          <w:szCs w:val="20"/>
          <w:color w:val="auto"/>
        </w:rPr>
      </w:pPr>
      <w:r>
        <w:rPr>
          <w:rFonts w:ascii="Arial" w:cs="Arial" w:eastAsia="Arial" w:hAnsi="Arial"/>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167" w:lineRule="exact"/>
        <w:rPr>
          <w:sz w:val="20"/>
          <w:szCs w:val="20"/>
          <w:color w:val="auto"/>
        </w:rPr>
      </w:pPr>
    </w:p>
    <w:p>
      <w:pPr>
        <w:ind w:left="200" w:right="259"/>
        <w:spacing w:after="0" w:line="238" w:lineRule="auto"/>
        <w:rPr>
          <w:sz w:val="20"/>
          <w:szCs w:val="20"/>
          <w:color w:val="auto"/>
        </w:rPr>
      </w:pPr>
      <w:r>
        <w:rPr>
          <w:rFonts w:ascii="Arial" w:cs="Arial" w:eastAsia="Arial" w:hAnsi="Arial"/>
          <w:sz w:val="18"/>
          <w:szCs w:val="18"/>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 and briefing was completed on November 27, 2024.</w:t>
      </w:r>
    </w:p>
    <w:p>
      <w:pPr>
        <w:spacing w:after="0" w:line="172"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w:t>
      </w:r>
    </w:p>
    <w:p>
      <w:pPr>
        <w:spacing w:after="0" w:line="2" w:lineRule="exact"/>
        <w:rPr>
          <w:sz w:val="20"/>
          <w:szCs w:val="20"/>
          <w:color w:val="auto"/>
        </w:rPr>
      </w:pPr>
    </w:p>
    <w:p>
      <w:pPr>
        <w:ind w:left="200" w:right="799"/>
        <w:spacing w:after="0" w:line="250" w:lineRule="auto"/>
        <w:rPr>
          <w:sz w:val="20"/>
          <w:szCs w:val="20"/>
          <w:color w:val="auto"/>
        </w:rPr>
      </w:pPr>
      <w:r>
        <w:rPr>
          <w:rFonts w:ascii="Arial" w:cs="Arial" w:eastAsia="Arial" w:hAnsi="Arial"/>
          <w:sz w:val="18"/>
          <w:szCs w:val="18"/>
          <w:color w:val="auto"/>
        </w:rPr>
        <w:t>We cannot predict with any degree of certainty the outcome of the suit or determine the extent of any potential liability or damages.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Data Breach Class Actions</w:t>
      </w:r>
    </w:p>
    <w:p>
      <w:pPr>
        <w:spacing w:after="0" w:line="196"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color w:val="auto"/>
        </w:rPr>
        <w:t>On May 9, 2023, Susan Owen -Brooks, an alleged customer, filed a putative class action complaint against us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 On September 27, 2024, the Court granted our motion to dismiss the First Amended Consolidated Class Action Complaint as to eight of the eleven named plaintiffs and as to certain causes of action. On October 29, 2024, the Plaintiffs filed the operative Second Amended Consolidated Class Action Complaint, which deletes the allegations as to the dismissed plaintiffs and causes of action, leaving three named plaintiffs and causes of action for negligence, negligence per se, breach of implied contract, and declaratory judgment.</w:t>
      </w:r>
    </w:p>
    <w:p>
      <w:pPr>
        <w:spacing w:after="0" w:line="176" w:lineRule="exact"/>
        <w:rPr>
          <w:sz w:val="20"/>
          <w:szCs w:val="20"/>
          <w:color w:val="auto"/>
        </w:rPr>
      </w:pPr>
    </w:p>
    <w:p>
      <w:pPr>
        <w:ind w:left="200" w:right="4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0" w:name="page151"/>
    <w:bookmarkEnd w:id="15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222222"/>
        </w:rPr>
        <w:t>Digital Broadcasting Solutions, LLC</w:t>
      </w:r>
    </w:p>
    <w:p>
      <w:pPr>
        <w:spacing w:after="0" w:line="142"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w:t>
      </w:r>
    </w:p>
    <w:p>
      <w:pPr>
        <w:spacing w:after="0" w:line="167" w:lineRule="exact"/>
        <w:rPr>
          <w:sz w:val="20"/>
          <w:szCs w:val="20"/>
          <w:color w:val="auto"/>
        </w:rPr>
      </w:pPr>
    </w:p>
    <w:p>
      <w:pPr>
        <w:ind w:left="220" w:right="299" w:hanging="7"/>
        <w:spacing w:after="0"/>
        <w:rPr>
          <w:sz w:val="20"/>
          <w:szCs w:val="20"/>
          <w:color w:val="auto"/>
        </w:rPr>
      </w:pPr>
      <w:r>
        <w:rPr>
          <w:rFonts w:ascii="Arial" w:cs="Arial" w:eastAsia="Arial" w:hAnsi="Arial"/>
          <w:sz w:val="18"/>
          <w:szCs w:val="18"/>
          <w:color w:val="222222"/>
        </w:rPr>
        <w:t xml:space="preserve">In May 2023, DISH Network L.L.C. and DISH Technologies L.L.C. </w:t>
      </w:r>
      <w:r>
        <w:rPr>
          <w:rFonts w:ascii="Arial" w:cs="Arial" w:eastAsia="Arial" w:hAnsi="Arial"/>
          <w:sz w:val="18"/>
          <w:szCs w:val="18"/>
          <w:color w:val="000000"/>
        </w:rPr>
        <w:t>filed petitions with the United States</w:t>
      </w:r>
      <w:r>
        <w:rPr>
          <w:rFonts w:ascii="Arial" w:cs="Arial" w:eastAsia="Arial" w:hAnsi="Arial"/>
          <w:sz w:val="18"/>
          <w:szCs w:val="18"/>
          <w:color w:val="222222"/>
        </w:rPr>
        <w:t xml:space="preserve"> </w:t>
      </w:r>
      <w:r>
        <w:rPr>
          <w:rFonts w:ascii="Arial" w:cs="Arial" w:eastAsia="Arial" w:hAnsi="Arial"/>
          <w:sz w:val="18"/>
          <w:szCs w:val="18"/>
          <w:color w:val="000000"/>
        </w:rPr>
        <w:t xml:space="preserve">Patent and Trademark Office challenging the validity of all claims of the 710 patent and the 122 patent and, on December 9, 2024, the United States Patent and Trademark Office issued final written decisions invalidating 38 of the 39 challenged claims. On January 13, 2025, Digital Broadcasting Solutions filed a notice of appeal of those final written decisions, and on February 7, 2025, DISH Network L.L.C. and DISH Technologies L.L.C. cross-appealed as to the single patent claim that wasn’t invalidated. </w:t>
      </w:r>
      <w:r>
        <w:rPr>
          <w:rFonts w:ascii="Arial" w:cs="Arial" w:eastAsia="Arial" w:hAnsi="Arial"/>
          <w:sz w:val="18"/>
          <w:szCs w:val="18"/>
          <w:color w:val="222222"/>
        </w:rPr>
        <w:t>The underlying</w:t>
      </w:r>
      <w:r>
        <w:rPr>
          <w:rFonts w:ascii="Arial" w:cs="Arial" w:eastAsia="Arial" w:hAnsi="Arial"/>
          <w:sz w:val="18"/>
          <w:szCs w:val="18"/>
          <w:color w:val="000000"/>
        </w:rPr>
        <w:t xml:space="preserve"> </w:t>
      </w:r>
      <w:r>
        <w:rPr>
          <w:rFonts w:ascii="Arial" w:cs="Arial" w:eastAsia="Arial" w:hAnsi="Arial"/>
          <w:sz w:val="18"/>
          <w:szCs w:val="18"/>
          <w:color w:val="222222"/>
        </w:rPr>
        <w:t>case has been stayed since May 9, 2024, pending resolution of the petitions before the United States Patent and Trademark Office and any related appeals</w:t>
      </w:r>
      <w:r>
        <w:rPr>
          <w:rFonts w:ascii="Arial" w:cs="Arial" w:eastAsia="Arial" w:hAnsi="Arial"/>
          <w:sz w:val="18"/>
          <w:szCs w:val="18"/>
          <w:color w:val="000000"/>
        </w:rPr>
        <w:t>.</w:t>
      </w:r>
    </w:p>
    <w:p>
      <w:pPr>
        <w:spacing w:after="0" w:line="180"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w:t>
      </w:r>
    </w:p>
    <w:p>
      <w:pPr>
        <w:spacing w:after="0" w:line="2" w:lineRule="exact"/>
        <w:rPr>
          <w:sz w:val="20"/>
          <w:szCs w:val="20"/>
          <w:color w:val="auto"/>
        </w:rPr>
      </w:pPr>
    </w:p>
    <w:p>
      <w:pPr>
        <w:ind w:left="200" w:right="799"/>
        <w:spacing w:after="0" w:line="250" w:lineRule="auto"/>
        <w:rPr>
          <w:sz w:val="20"/>
          <w:szCs w:val="20"/>
          <w:color w:val="auto"/>
        </w:rPr>
      </w:pPr>
      <w:r>
        <w:rPr>
          <w:rFonts w:ascii="Arial" w:cs="Arial" w:eastAsia="Arial" w:hAnsi="Arial"/>
          <w:sz w:val="18"/>
          <w:szCs w:val="18"/>
          <w:color w:val="222222"/>
        </w:rPr>
        <w:t>We cannot predict with any degree of certainty the outcome of the suit or determine the extent of any potential liability or damages.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222222"/>
        </w:rPr>
        <w:t>Entropic Communications, LLC (first action)</w:t>
      </w:r>
    </w:p>
    <w:p>
      <w:pPr>
        <w:spacing w:after="0" w:line="156"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color w:val="222222"/>
        </w:rPr>
        <w:t xml:space="preserve">On March 9, 2022, Entropic Communications, LLC (“Entropic”) filed a complaint against us and our wholly-owned subsidiaries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The plaintiff is an entity that seeks to license a patent portfolio without itself practicing any of the claims recited therein. On October 24, 2022, this case was ordered to be transferred to the United States District Court for the Central District of California. </w:t>
      </w:r>
      <w:r>
        <w:rPr>
          <w:rFonts w:ascii="Arial" w:cs="Arial" w:eastAsia="Arial" w:hAnsi="Arial"/>
          <w:sz w:val="18"/>
          <w:szCs w:val="18"/>
          <w:color w:val="000000"/>
        </w:rPr>
        <w:t>A companion case</w:t>
      </w:r>
      <w:r>
        <w:rPr>
          <w:rFonts w:ascii="Arial" w:cs="Arial" w:eastAsia="Arial" w:hAnsi="Arial"/>
          <w:sz w:val="18"/>
          <w:szCs w:val="18"/>
          <w:color w:val="222222"/>
        </w:rPr>
        <w:t xml:space="preserve"> </w:t>
      </w:r>
      <w:r>
        <w:rPr>
          <w:rFonts w:ascii="Arial" w:cs="Arial" w:eastAsia="Arial" w:hAnsi="Arial"/>
          <w:sz w:val="18"/>
          <w:szCs w:val="18"/>
          <w:color w:val="000000"/>
        </w:rPr>
        <w:t>against DirecTV was also ordered transferred to the United States District Court for the Central District of California.</w:t>
      </w:r>
    </w:p>
    <w:p>
      <w:pPr>
        <w:spacing w:after="0" w:line="176"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In January and February of 2023, DISH Network L.L.C. and Dish Network Service L.L.C. filed petitions with the United States Patent and Trademark Office challenging the 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 On July 12, 2024, the United States Patent and Trademark Office granted a request for reexamination of the 715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1" w:name="page152"/>
    <w:bookmarkEnd w:id="15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w:t>
      </w:r>
    </w:p>
    <w:p>
      <w:pPr>
        <w:spacing w:after="0" w:line="2" w:lineRule="exact"/>
        <w:rPr>
          <w:sz w:val="20"/>
          <w:szCs w:val="20"/>
          <w:color w:val="auto"/>
        </w:rPr>
      </w:pPr>
    </w:p>
    <w:p>
      <w:pPr>
        <w:ind w:left="200" w:right="799"/>
        <w:spacing w:after="0" w:line="250" w:lineRule="auto"/>
        <w:rPr>
          <w:sz w:val="20"/>
          <w:szCs w:val="20"/>
          <w:color w:val="auto"/>
        </w:rPr>
      </w:pPr>
      <w:r>
        <w:rPr>
          <w:rFonts w:ascii="Arial" w:cs="Arial" w:eastAsia="Arial" w:hAnsi="Arial"/>
          <w:sz w:val="18"/>
          <w:szCs w:val="18"/>
          <w:color w:val="auto"/>
        </w:rPr>
        <w:t>We cannot predict with any degree of certainty the outcome of the suit or determine the extent of any potential liability or damages.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222222"/>
        </w:rPr>
        <w:t>Entropic Communications, LLC (second action)</w:t>
      </w:r>
    </w:p>
    <w:p>
      <w:pPr>
        <w:spacing w:after="0" w:line="156" w:lineRule="exact"/>
        <w:rPr>
          <w:sz w:val="20"/>
          <w:szCs w:val="20"/>
          <w:color w:val="auto"/>
        </w:rPr>
      </w:pPr>
    </w:p>
    <w:p>
      <w:pPr>
        <w:ind w:left="200" w:right="219"/>
        <w:spacing w:after="0" w:line="236" w:lineRule="auto"/>
        <w:rPr>
          <w:sz w:val="20"/>
          <w:szCs w:val="20"/>
          <w:color w:val="auto"/>
        </w:rPr>
      </w:pPr>
      <w:r>
        <w:rPr>
          <w:rFonts w:ascii="Arial" w:cs="Arial" w:eastAsia="Arial" w:hAnsi="Arial"/>
          <w:sz w:val="18"/>
          <w:szCs w:val="18"/>
          <w:color w:val="auto"/>
        </w:rPr>
        <w:t xml:space="preserve">On February 10, 2023, Entropic filed a second lawsuit against us and our wholly-owned subsidiaries </w:t>
      </w:r>
      <w:r>
        <w:rPr>
          <w:rFonts w:ascii="Arial" w:cs="Arial" w:eastAsia="Arial" w:hAnsi="Arial"/>
          <w:sz w:val="18"/>
          <w:szCs w:val="18"/>
          <w:color w:val="222222"/>
        </w:rPr>
        <w:t>DISH</w:t>
      </w:r>
      <w:r>
        <w:rPr>
          <w:rFonts w:ascii="Arial" w:cs="Arial" w:eastAsia="Arial" w:hAnsi="Arial"/>
          <w:sz w:val="18"/>
          <w:szCs w:val="18"/>
          <w:color w:val="auto"/>
        </w:rPr>
        <w:t xml:space="preserve"> </w:t>
      </w:r>
      <w:r>
        <w:rPr>
          <w:rFonts w:ascii="Arial" w:cs="Arial" w:eastAsia="Arial" w:hAnsi="Arial"/>
          <w:sz w:val="18"/>
          <w:szCs w:val="18"/>
          <w:color w:val="222222"/>
        </w:rPr>
        <w:t xml:space="preserve">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 </w:t>
      </w:r>
      <w:r>
        <w:rPr>
          <w:rFonts w:ascii="Arial" w:cs="Arial" w:eastAsia="Arial" w:hAnsi="Arial"/>
          <w:sz w:val="18"/>
          <w:szCs w:val="18"/>
          <w:color w:val="000000"/>
        </w:rPr>
        <w:t>Entropic has asserted the same patents in the same court against</w:t>
      </w:r>
      <w:r>
        <w:rPr>
          <w:rFonts w:ascii="Arial" w:cs="Arial" w:eastAsia="Arial" w:hAnsi="Arial"/>
          <w:sz w:val="18"/>
          <w:szCs w:val="18"/>
          <w:color w:val="222222"/>
        </w:rPr>
        <w:t xml:space="preserve"> </w:t>
      </w:r>
      <w:r>
        <w:rPr>
          <w:rFonts w:ascii="Arial" w:cs="Arial" w:eastAsia="Arial" w:hAnsi="Arial"/>
          <w:sz w:val="18"/>
          <w:szCs w:val="18"/>
          <w:color w:val="000000"/>
        </w:rPr>
        <w:t>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In January and February 2024, DISH Network L.L.C. filed petitions with the United States Patent and Trademark Office challenging the validity of the 249 patent, the 518 patent, the 759 patent, the 450 patent, the 539 patent, the 0,566 patent, and the 681 patent. In July and August 2024, the United States Patent and Trademark Office agreed to institute proceedings on the petitions challenging the 249 patent and the 518 patent, but denied institution on the remaining petitions. On February 24, 2025, the Court granted other defendants’ motions to dismiss the claims arising from the 213 patent, the 422 patent, the 601 patent and the 802 patent on the grounds that they claimed in eligible subject matter.</w:t>
      </w:r>
    </w:p>
    <w:p>
      <w:pPr>
        <w:spacing w:after="0" w:line="172"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w:t>
      </w:r>
    </w:p>
    <w:p>
      <w:pPr>
        <w:spacing w:after="0" w:line="2" w:lineRule="exact"/>
        <w:rPr>
          <w:sz w:val="20"/>
          <w:szCs w:val="20"/>
          <w:color w:val="auto"/>
        </w:rPr>
      </w:pPr>
    </w:p>
    <w:p>
      <w:pPr>
        <w:ind w:left="200" w:right="799"/>
        <w:spacing w:after="0" w:line="250" w:lineRule="auto"/>
        <w:rPr>
          <w:sz w:val="20"/>
          <w:szCs w:val="20"/>
          <w:color w:val="auto"/>
        </w:rPr>
      </w:pPr>
      <w:r>
        <w:rPr>
          <w:rFonts w:ascii="Arial" w:cs="Arial" w:eastAsia="Arial" w:hAnsi="Arial"/>
          <w:sz w:val="18"/>
          <w:szCs w:val="18"/>
          <w:color w:val="222222"/>
        </w:rPr>
        <w:t>We cannot predict with any degree of certainty the outcome of the suit or determine the extent of any potential liability or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2" w:name="page153"/>
    <w:bookmarkEnd w:id="15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Freedom Patents</w:t>
      </w:r>
    </w:p>
    <w:p>
      <w:pPr>
        <w:spacing w:after="0" w:line="196" w:lineRule="exact"/>
        <w:rPr>
          <w:sz w:val="20"/>
          <w:szCs w:val="20"/>
          <w:color w:val="auto"/>
        </w:rPr>
      </w:pPr>
    </w:p>
    <w:p>
      <w:pPr>
        <w:ind w:left="200" w:right="319"/>
        <w:spacing w:after="0" w:line="238" w:lineRule="auto"/>
        <w:rPr>
          <w:sz w:val="20"/>
          <w:szCs w:val="20"/>
          <w:color w:val="auto"/>
        </w:rPr>
      </w:pPr>
      <w:r>
        <w:rPr>
          <w:rFonts w:ascii="Arial" w:cs="Arial" w:eastAsia="Arial" w:hAnsi="Arial"/>
          <w:sz w:val="18"/>
          <w:szCs w:val="18"/>
          <w:color w:val="auto"/>
        </w:rPr>
        <w:t>On April 7, 2023, Freedom Patents LLC filed a complaint against us and our wholly-owned subsidiaries DISH Network L.L.C. and Dish Network Service L.L.C. in the United States District Court for the Eastern District of Texas. The complaint alleges infringement of U.S. Patent No. 8,284,686 (the “686 Patent”), entitled “Antenna/Beam Selection Training in MIMO Wireless LANS with Different Sounding Frames”; U.S. Patent No. 8,374,096 (the “096 Patent”), entitled “Method for Selecting Antennas and Beams in MIMO Wireless LANs”; and U.S. Patent No. 8,514,815 (the “815 Patent”), entitled “Training Signals for Selecting Antennas and Beams in MIMO Wireless LANs.” Similar complaints were also filed against Acer, Altice, Charter, Comcast and Verizon. In general, the asserted patents relate to the 802.11 wireless standard, and the products accused of infringement are the Wireless Joey, its access point, and certain Ring, Nest and Linksys products that we sell. On March 15, 2024, the Court denied the defendants’ motion to transfer the case to the United States District Court for the District of Colorado. On May 24, 2024, the case was dismissed pursuant to a settlement under which we, DISH Network L.L.C. and Dish Network Service L.L.C. paid an immaterial amount. This matter is now concluded.</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Jones 401(k) Litigation</w:t>
      </w:r>
    </w:p>
    <w:p>
      <w:pPr>
        <w:spacing w:after="0" w:line="196" w:lineRule="exact"/>
        <w:rPr>
          <w:sz w:val="20"/>
          <w:szCs w:val="20"/>
          <w:color w:val="auto"/>
        </w:rPr>
      </w:pPr>
    </w:p>
    <w:p>
      <w:pPr>
        <w:jc w:val="both"/>
        <w:ind w:left="200" w:right="439"/>
        <w:spacing w:after="0" w:line="238" w:lineRule="auto"/>
        <w:rPr>
          <w:sz w:val="20"/>
          <w:szCs w:val="20"/>
          <w:color w:val="auto"/>
        </w:rPr>
      </w:pPr>
      <w:r>
        <w:rPr>
          <w:rFonts w:ascii="Arial" w:cs="Arial" w:eastAsia="Arial" w:hAnsi="Arial"/>
          <w:sz w:val="18"/>
          <w:szCs w:val="18"/>
          <w:color w:val="auto"/>
        </w:rPr>
        <w:t>On December 20, 2021, four former employees filed a class action complaint in the United States District Court for the District of Colorado against us, our Board of Directors at that time, and our Retirement Plan Committee at that time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w:t>
      </w:r>
    </w:p>
    <w:p>
      <w:pPr>
        <w:spacing w:after="0" w:line="4" w:lineRule="exact"/>
        <w:rPr>
          <w:sz w:val="20"/>
          <w:szCs w:val="20"/>
          <w:color w:val="auto"/>
        </w:rPr>
      </w:pPr>
    </w:p>
    <w:p>
      <w:pPr>
        <w:ind w:left="200" w:right="279" w:firstLine="50"/>
        <w:spacing w:after="0" w:line="236" w:lineRule="auto"/>
        <w:rPr>
          <w:sz w:val="20"/>
          <w:szCs w:val="20"/>
          <w:color w:val="auto"/>
        </w:rPr>
      </w:pPr>
      <w:r>
        <w:rPr>
          <w:rFonts w:ascii="Arial" w:cs="Arial" w:eastAsia="Arial" w:hAnsi="Arial"/>
          <w:sz w:val="18"/>
          <w:szCs w:val="18"/>
          <w:color w:val="auto"/>
        </w:rPr>
        <w:t>On 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March 1, 2024, by stipulation, the plaintiffs dismissed their claims against the Board of Directors and the Retirement Plan Committee, leaving DISH Network as the sole defendant. On April 30, 2024, pursuant to the parties’ stipulation, the Court certified the proposed plaintiff class. On October 30, 2024, pursuant to the parties’ stipulation, the Court stayed the litigation pending a mediation.</w:t>
      </w:r>
    </w:p>
    <w:p>
      <w:pPr>
        <w:spacing w:after="0" w:line="173" w:lineRule="exact"/>
        <w:rPr>
          <w:sz w:val="20"/>
          <w:szCs w:val="20"/>
          <w:color w:val="auto"/>
        </w:rPr>
      </w:pPr>
    </w:p>
    <w:p>
      <w:pPr>
        <w:ind w:left="200" w:right="4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Lingam Securities Class Action (formerly Jaramillo)</w:t>
      </w:r>
    </w:p>
    <w:p>
      <w:pPr>
        <w:spacing w:after="0" w:line="196" w:lineRule="exact"/>
        <w:rPr>
          <w:sz w:val="20"/>
          <w:szCs w:val="20"/>
          <w:color w:val="auto"/>
        </w:rPr>
      </w:pPr>
    </w:p>
    <w:p>
      <w:pPr>
        <w:ind w:left="200" w:right="419"/>
        <w:spacing w:after="0"/>
        <w:rPr>
          <w:sz w:val="20"/>
          <w:szCs w:val="20"/>
          <w:color w:val="auto"/>
        </w:rPr>
      </w:pPr>
      <w:r>
        <w:rPr>
          <w:rFonts w:ascii="Arial" w:cs="Arial" w:eastAsia="Arial" w:hAnsi="Arial"/>
          <w:sz w:val="18"/>
          <w:szCs w:val="18"/>
          <w:color w:val="auto"/>
        </w:rPr>
        <w:t>On March 23, 2023, a securities fraud class action complaint was filed against us and Messrs. Ergen, Carlson and Orban in the United States District Court for the District of Colorado. The complaint was brought on behalf of a putative class of purchasers of our securities during the February 22, 2021 to February 27, 2023 class period. In general, the complaint alleged that DISH Network’s public statements during that period were false and misleading and contained material omissions, because they did not disclose that we allegedly maintained a deficient cybersecurity and information technology infrastructure, were unable to properly secure customer data and our operations were susceptible to widespread service outages.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3" w:name="page154"/>
    <w:bookmarkEnd w:id="15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319"/>
        <w:spacing w:after="0" w:line="238" w:lineRule="auto"/>
        <w:rPr>
          <w:sz w:val="20"/>
          <w:szCs w:val="20"/>
          <w:color w:val="auto"/>
        </w:rPr>
      </w:pPr>
      <w:r>
        <w:rPr>
          <w:rFonts w:ascii="Arial" w:cs="Arial" w:eastAsia="Arial" w:hAnsi="Arial"/>
          <w:sz w:val="18"/>
          <w:szCs w:val="18"/>
          <w:color w:val="auto"/>
        </w:rPr>
        <w:t>In August 2023, the Court appointed a new lead plaintiff and lead plaintiff’s counsel, and, on October 20, 2023, they filed an amended complaint that abandoned the original allegations. In their amended complaint, plaintiffs allege that, during the class period, the defendants concealed problems concerning the 5G network buildout that prevented scaling and commercializing the network to obtain enterprise customers. The amended complaint added as individual defendants James S. Allen, our Senior Vice President and Chief Accounting Officer; John Swieringa, our President, Technology and Chief Operating Officer; Dave Mayo, our former Executive Vice President of Network Development; Marc Rouanne, our former Executive Vice President and Chief Network Officer; and Stephen Bye, our former Executive Vice President and Chief Commercial Officer. After the defendants filed a motion to dismiss, the plaintiffs filed a further amended complaint, asserting the same theory, on February 23, 2024. The new complaint drops Erik Carlson, John Swieringa, Paul Orban and James Allen as individual defendants.</w:t>
      </w:r>
    </w:p>
    <w:p>
      <w:pPr>
        <w:spacing w:after="0" w:line="172" w:lineRule="exact"/>
        <w:rPr>
          <w:sz w:val="20"/>
          <w:szCs w:val="20"/>
          <w:color w:val="auto"/>
        </w:rPr>
      </w:pPr>
    </w:p>
    <w:p>
      <w:pPr>
        <w:ind w:left="200" w:right="4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Mesa Digital</w:t>
      </w:r>
    </w:p>
    <w:p>
      <w:pPr>
        <w:spacing w:after="0" w:line="196" w:lineRule="exact"/>
        <w:rPr>
          <w:sz w:val="20"/>
          <w:szCs w:val="20"/>
          <w:color w:val="auto"/>
        </w:rPr>
      </w:pPr>
    </w:p>
    <w:p>
      <w:pPr>
        <w:ind w:left="220" w:right="259" w:hanging="7"/>
        <w:spacing w:after="0" w:line="247" w:lineRule="auto"/>
        <w:rPr>
          <w:sz w:val="20"/>
          <w:szCs w:val="20"/>
          <w:color w:val="auto"/>
        </w:rPr>
      </w:pPr>
      <w:r>
        <w:rPr>
          <w:rFonts w:ascii="Arial" w:cs="Arial" w:eastAsia="Arial" w:hAnsi="Arial"/>
          <w:sz w:val="18"/>
          <w:szCs w:val="18"/>
          <w:color w:val="auto"/>
        </w:rPr>
        <w:t>On November 27, 2024, Mesa Digital, LLC filed a complaint in the United States District Court for the Western District of Texas against our wholly-owned subsidiary DISH Wireless alleging infringement of United States Patent No. 9,031,537, entitled “Electronic Wireless Hand Held Multimedia Device.” Generally, it relates to an electronic handheld device with a touch-sensitive display.</w:t>
      </w:r>
    </w:p>
    <w:p>
      <w:pPr>
        <w:spacing w:after="0" w:line="160" w:lineRule="exact"/>
        <w:rPr>
          <w:sz w:val="20"/>
          <w:szCs w:val="20"/>
          <w:color w:val="auto"/>
        </w:rPr>
      </w:pPr>
    </w:p>
    <w:p>
      <w:pPr>
        <w:ind w:left="220" w:right="23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Mobility Workx</w:t>
      </w:r>
    </w:p>
    <w:p>
      <w:pPr>
        <w:spacing w:after="0" w:line="196" w:lineRule="exact"/>
        <w:rPr>
          <w:sz w:val="20"/>
          <w:szCs w:val="20"/>
          <w:color w:val="auto"/>
        </w:rPr>
      </w:pPr>
    </w:p>
    <w:p>
      <w:pPr>
        <w:ind w:left="200" w:right="239"/>
        <w:spacing w:after="0" w:line="247" w:lineRule="auto"/>
        <w:rPr>
          <w:sz w:val="20"/>
          <w:szCs w:val="20"/>
          <w:color w:val="auto"/>
        </w:rPr>
      </w:pPr>
      <w:r>
        <w:rPr>
          <w:rFonts w:ascii="Arial" w:cs="Arial" w:eastAsia="Arial" w:hAnsi="Arial"/>
          <w:sz w:val="18"/>
          <w:szCs w:val="18"/>
          <w:color w:val="auto"/>
        </w:rPr>
        <w:t>On December 3, 2024, Mobility Workx, LLC filed a complaint in the United States District Court for the Eastern District of Texas against our wholly-owned subsidiary DISH Wireless alleging infringement of United States Patent No. 7,697,508, entitled “System, Apparatus and Methods for Proactive Allocation of Wireless Communication Resources.” Generally, it relates to hand-offs in a mobile network.</w:t>
      </w:r>
    </w:p>
    <w:p>
      <w:pPr>
        <w:spacing w:after="0" w:line="160" w:lineRule="exact"/>
        <w:rPr>
          <w:sz w:val="20"/>
          <w:szCs w:val="20"/>
          <w:color w:val="auto"/>
        </w:rPr>
      </w:pPr>
    </w:p>
    <w:p>
      <w:pPr>
        <w:ind w:left="220" w:right="23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Quantum Technology Innovations LLC</w:t>
      </w:r>
    </w:p>
    <w:p>
      <w:pPr>
        <w:spacing w:after="0" w:line="196" w:lineRule="exact"/>
        <w:rPr>
          <w:sz w:val="20"/>
          <w:szCs w:val="20"/>
          <w:color w:val="auto"/>
        </w:rPr>
      </w:pPr>
    </w:p>
    <w:p>
      <w:pPr>
        <w:ind w:left="200" w:right="319"/>
        <w:spacing w:after="0" w:line="242" w:lineRule="auto"/>
        <w:rPr>
          <w:sz w:val="20"/>
          <w:szCs w:val="20"/>
          <w:color w:val="auto"/>
        </w:rPr>
      </w:pPr>
      <w:r>
        <w:rPr>
          <w:rFonts w:ascii="Arial" w:cs="Arial" w:eastAsia="Arial" w:hAnsi="Arial"/>
          <w:sz w:val="18"/>
          <w:szCs w:val="18"/>
          <w:color w:val="auto"/>
        </w:rPr>
        <w:t>On June 5, 2024, Quantum Technology Innovations, LLC filed a complaint in the United States District Court for the Eastern District of Texas against us alleging infringement of United States Patent No. 7,650,376, entitled “Content Distribution System for Distributing Content Over a Network, with Particular Applicability to Distributing High-Bandwidth Content.” The plaintiff is an entity that seeks to license a patent portfolio without itself practicing any of the claims recited therein. On August 8, 2024, Quantum Technology Innovations dismissed its complaint without prejudice. This matter is now concluded.</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Realtime Data LLC and Realtime Adaptive Streaming LLC</w:t>
      </w:r>
    </w:p>
    <w:p>
      <w:pPr>
        <w:spacing w:after="0" w:line="196" w:lineRule="exact"/>
        <w:rPr>
          <w:sz w:val="20"/>
          <w:szCs w:val="20"/>
          <w:color w:val="auto"/>
        </w:rPr>
      </w:pPr>
    </w:p>
    <w:p>
      <w:pPr>
        <w:ind w:left="200" w:right="239"/>
        <w:spacing w:after="0" w:line="242" w:lineRule="auto"/>
        <w:rPr>
          <w:sz w:val="20"/>
          <w:szCs w:val="20"/>
          <w:color w:val="auto"/>
        </w:rPr>
      </w:pPr>
      <w:r>
        <w:rPr>
          <w:rFonts w:ascii="Arial" w:cs="Arial" w:eastAsia="Arial" w:hAnsi="Arial"/>
          <w:sz w:val="18"/>
          <w:szCs w:val="18"/>
          <w:color w:val="auto"/>
        </w:rPr>
        <w:t>On June 6, 2017, Realtime Data LLC d/b/a IXO (“Realtime”) filed an amended complaint in the United States District Court for the Eastern District of Texas (the “Original Texas Action”) against us; our wholly-owned subsidiaries DISH Network L.L.C., DISH Technologies L.L.C. (then known as EchoStar Technologies L.L.C.), Sling TV L.L.C. and Sling Media L.L.C.; EchoStar, and EchoStar’s wholly-owned subsidiary Hughes Network Systems, L.L.C. (“HNS”); and Arris Group, Inc. Realtime’s initial complaint in the Original Texas Action, filed on February 14, 2017, had named only EchoStar and HNS as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4" w:name="page155"/>
    <w:bookmarkEnd w:id="15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299"/>
        <w:spacing w:after="0" w:line="239" w:lineRule="auto"/>
        <w:rPr>
          <w:sz w:val="20"/>
          <w:szCs w:val="20"/>
          <w:color w:val="auto"/>
        </w:rPr>
      </w:pPr>
      <w:r>
        <w:rPr>
          <w:rFonts w:ascii="Arial" w:cs="Arial" w:eastAsia="Arial" w:hAnsi="Arial"/>
          <w:sz w:val="18"/>
          <w:szCs w:val="18"/>
          <w:color w:val="auto"/>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166" w:lineRule="exact"/>
        <w:rPr>
          <w:sz w:val="20"/>
          <w:szCs w:val="20"/>
          <w:color w:val="auto"/>
        </w:rPr>
      </w:pPr>
    </w:p>
    <w:p>
      <w:pPr>
        <w:ind w:left="200" w:right="259"/>
        <w:spacing w:after="0" w:line="247" w:lineRule="auto"/>
        <w:rPr>
          <w:sz w:val="20"/>
          <w:szCs w:val="20"/>
          <w:color w:val="auto"/>
        </w:rPr>
      </w:pPr>
      <w:r>
        <w:rPr>
          <w:rFonts w:ascii="Arial" w:cs="Arial" w:eastAsia="Arial" w:hAnsi="Arial"/>
          <w:sz w:val="18"/>
          <w:szCs w:val="18"/>
          <w:color w:val="auto"/>
        </w:rPr>
        <w:t>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spacing w:after="0" w:line="160" w:lineRule="exact"/>
        <w:rPr>
          <w:sz w:val="20"/>
          <w:szCs w:val="20"/>
          <w:color w:val="auto"/>
        </w:rPr>
      </w:pPr>
    </w:p>
    <w:p>
      <w:pPr>
        <w:ind w:left="200" w:right="419"/>
        <w:spacing w:after="0" w:line="247" w:lineRule="auto"/>
        <w:rPr>
          <w:sz w:val="20"/>
          <w:szCs w:val="20"/>
          <w:color w:val="auto"/>
        </w:rPr>
      </w:pPr>
      <w:r>
        <w:rPr>
          <w:rFonts w:ascii="Arial" w:cs="Arial" w:eastAsia="Arial" w:hAnsi="Arial"/>
          <w:sz w:val="18"/>
          <w:szCs w:val="18"/>
          <w:color w:val="auto"/>
        </w:rPr>
        <w:t>On July 19, 2017, the Court severed Realtime’s claims against us,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w:t>
      </w:r>
    </w:p>
    <w:p>
      <w:pPr>
        <w:spacing w:after="0" w:line="160"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On August 31, 2017, Realtime dismissed the claims against us,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167" w:lineRule="exact"/>
        <w:rPr>
          <w:sz w:val="20"/>
          <w:szCs w:val="20"/>
          <w:color w:val="auto"/>
        </w:rPr>
      </w:pPr>
    </w:p>
    <w:p>
      <w:pPr>
        <w:ind w:left="200" w:right="259"/>
        <w:spacing w:after="0" w:line="238" w:lineRule="auto"/>
        <w:rPr>
          <w:sz w:val="20"/>
          <w:szCs w:val="20"/>
          <w:color w:val="auto"/>
        </w:rPr>
      </w:pPr>
      <w:r>
        <w:rPr>
          <w:rFonts w:ascii="Arial" w:cs="Arial" w:eastAsia="Arial" w:hAnsi="Arial"/>
          <w:sz w:val="18"/>
          <w:szCs w:val="18"/>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72"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As a result, neither we nor any of our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EchoStar and HNS were dismissed from the Original Texas Action in February 2019, and Arris Group, Inc. was dismissed from the Colorado Action in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5" w:name="page156"/>
    <w:bookmarkEnd w:id="15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219"/>
        <w:spacing w:after="0" w:line="237" w:lineRule="auto"/>
        <w:rPr>
          <w:sz w:val="20"/>
          <w:szCs w:val="20"/>
          <w:color w:val="auto"/>
        </w:rPr>
      </w:pPr>
      <w:r>
        <w:rPr>
          <w:rFonts w:ascii="Arial" w:cs="Arial" w:eastAsia="Arial" w:hAnsi="Arial"/>
          <w:sz w:val="18"/>
          <w:szCs w:val="18"/>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our petitions, and it held trial on the petitions on December 5, 2019. On January 17, 2020, the United States Patent and Trademark Office terminated the petitions as time-barred, but issued a final written decision invalidating the 535 patent to third parties that had timely joined in our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spacing w:after="0" w:line="176" w:lineRule="exact"/>
        <w:rPr>
          <w:sz w:val="20"/>
          <w:szCs w:val="20"/>
          <w:color w:val="auto"/>
        </w:rPr>
      </w:pPr>
    </w:p>
    <w:p>
      <w:pPr>
        <w:ind w:left="200" w:right="239"/>
        <w:spacing w:after="0" w:line="238" w:lineRule="auto"/>
        <w:rPr>
          <w:sz w:val="20"/>
          <w:szCs w:val="20"/>
          <w:color w:val="auto"/>
        </w:rPr>
      </w:pPr>
      <w:r>
        <w:rPr>
          <w:rFonts w:ascii="Arial" w:cs="Arial" w:eastAsia="Arial" w:hAnsi="Arial"/>
          <w:sz w:val="18"/>
          <w:szCs w:val="18"/>
          <w:color w:val="auto"/>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spacing w:after="0" w:line="167" w:lineRule="exact"/>
        <w:rPr>
          <w:sz w:val="20"/>
          <w:szCs w:val="20"/>
          <w:color w:val="auto"/>
        </w:rPr>
      </w:pPr>
    </w:p>
    <w:p>
      <w:pPr>
        <w:ind w:left="220" w:right="299" w:hanging="7"/>
        <w:spacing w:after="0" w:line="239" w:lineRule="auto"/>
        <w:rPr>
          <w:sz w:val="20"/>
          <w:szCs w:val="20"/>
          <w:color w:val="auto"/>
        </w:rPr>
      </w:pPr>
      <w:r>
        <w:rPr>
          <w:rFonts w:ascii="Arial" w:cs="Arial" w:eastAsia="Arial" w:hAnsi="Arial"/>
          <w:sz w:val="18"/>
          <w:szCs w:val="18"/>
          <w:color w:val="auto"/>
        </w:rPr>
        <w:t>On January 21, 2022, the District Court granted the motion by DISH Network L.L.C., DISH Technologies L.L.C., Sling TV L.L.C. and Sling Media L.L.C. to have the case declared “exceptional,” and on September 20, 2022, awarded them $3.9 million in attorneys’ fees. Realtime Adaptive Streaming filed a notice of appeal to the United States Court of Appeals for the Federal Circuit from the exceptionality and fee award orders, and on August 23, 2024, that Court vacated the exceptionality finding and remanded for further consideration of the issue. On November 26, 2024, the United States Court of Appeals for the Federal Circuit denied DISH Network L.L.C., DISH Technologies L.L.C., Sling TV L.L.C. and Sling Media L.L.C.’s petition seeking rehearing en banc. On February 5, 2024, on remand, the District Court denied the motion to declare the case exceptional. On March 6, 2025, DISH Network L.L.C., DISH Technologies L.L.C., Sling TV L.L.C. and Sling Media L.L.C. filed a notice of appeal of that order.</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SafeCast Limited</w:t>
      </w:r>
    </w:p>
    <w:p>
      <w:pPr>
        <w:spacing w:after="0" w:line="196" w:lineRule="exact"/>
        <w:rPr>
          <w:sz w:val="20"/>
          <w:szCs w:val="20"/>
          <w:color w:val="auto"/>
        </w:rPr>
      </w:pPr>
    </w:p>
    <w:p>
      <w:pPr>
        <w:ind w:left="200" w:right="339"/>
        <w:spacing w:after="0" w:line="239" w:lineRule="auto"/>
        <w:rPr>
          <w:sz w:val="20"/>
          <w:szCs w:val="20"/>
          <w:color w:val="auto"/>
        </w:rPr>
      </w:pPr>
      <w:r>
        <w:rPr>
          <w:rFonts w:ascii="Arial" w:cs="Arial" w:eastAsia="Arial" w:hAnsi="Arial"/>
          <w:sz w:val="18"/>
          <w:szCs w:val="18"/>
          <w:color w:val="auto"/>
        </w:rPr>
        <w:t>On June 27, 2022, SafeCast Limited filed a complaint against us in the United States District Court for the Western District of Texas. The complaint alleges that we infringe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us transferred to the United States District Court for the District of Colorado. On December 1, 2022, SafeCast filed an amended complaint naming our wholly-owned subsidiaries DISH Network L.L.C. and DISH Technologies L.L.C. as defendants and withdrawing the allegations as to us. The plaintiff is an entity that seeks to license a patent portfolio without itself practicing any of the claims recited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6" w:name="page157"/>
    <w:bookmarkEnd w:id="15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20" w:right="239" w:hanging="7"/>
        <w:spacing w:after="0"/>
        <w:rPr>
          <w:sz w:val="20"/>
          <w:szCs w:val="20"/>
          <w:color w:val="auto"/>
        </w:rPr>
      </w:pPr>
      <w:r>
        <w:rPr>
          <w:rFonts w:ascii="Arial" w:cs="Arial" w:eastAsia="Arial" w:hAnsi="Arial"/>
          <w:sz w:val="18"/>
          <w:szCs w:val="18"/>
          <w:color w:val="auto"/>
        </w:rPr>
        <w:t>On June 22, 2023, DISH Network L.L.C. and DISH Technologies L.L.C. filed a petition with the United States Patent and Trademark Office challenging the validity of the asserted claims of the 302 patent, and on June 26, 2024, the United States Patent and Trademark Office agreed to institute proceedings on that petition. On August 28, 2023, the Court stayed the case pending resolution of the petition. On October 3, 2024, in connection with a third-party’s petition citing different prior art, the United States Patent and Trademark Office invalidated all claims asserted against DISH Network L.L.C. and DISH Technologies L.L.C. Because SafeCast Limited did not appeal that decision, on January 27, 2025, the United States Patent and Trademark Office issued a certificate canceling, the challenged claims.</w:t>
      </w:r>
    </w:p>
    <w:p>
      <w:pPr>
        <w:spacing w:after="0" w:line="167" w:lineRule="exact"/>
        <w:rPr>
          <w:sz w:val="20"/>
          <w:szCs w:val="20"/>
          <w:color w:val="auto"/>
        </w:rPr>
      </w:pPr>
    </w:p>
    <w:p>
      <w:pPr>
        <w:ind w:left="200" w:right="21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Sound View Innovations, LLC</w:t>
      </w:r>
    </w:p>
    <w:p>
      <w:pPr>
        <w:spacing w:after="0" w:line="196" w:lineRule="exact"/>
        <w:rPr>
          <w:sz w:val="20"/>
          <w:szCs w:val="20"/>
          <w:color w:val="auto"/>
        </w:rPr>
      </w:pPr>
    </w:p>
    <w:p>
      <w:pPr>
        <w:ind w:left="200" w:right="239"/>
        <w:spacing w:after="0" w:line="238" w:lineRule="auto"/>
        <w:rPr>
          <w:sz w:val="20"/>
          <w:szCs w:val="20"/>
          <w:color w:val="auto"/>
        </w:rPr>
      </w:pPr>
      <w:r>
        <w:rPr>
          <w:rFonts w:ascii="Arial" w:cs="Arial" w:eastAsia="Arial" w:hAnsi="Arial"/>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w:t>
      </w:r>
    </w:p>
    <w:p>
      <w:pPr>
        <w:spacing w:after="0" w:line="1" w:lineRule="exact"/>
        <w:rPr>
          <w:sz w:val="20"/>
          <w:szCs w:val="20"/>
          <w:color w:val="auto"/>
        </w:rPr>
      </w:pPr>
    </w:p>
    <w:p>
      <w:pPr>
        <w:ind w:left="200" w:right="299"/>
        <w:spacing w:after="0" w:line="238" w:lineRule="auto"/>
        <w:rPr>
          <w:sz w:val="20"/>
          <w:szCs w:val="20"/>
          <w:color w:val="auto"/>
        </w:rPr>
      </w:pPr>
      <w:r>
        <w:rPr>
          <w:rFonts w:ascii="Arial" w:cs="Arial" w:eastAsia="Arial" w:hAnsi="Arial"/>
          <w:sz w:val="18"/>
          <w:szCs w:val="18"/>
          <w:color w:val="auto"/>
        </w:rPr>
        <w:t>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The plaintiff is an entity that seeks to license a patent portfolio without itself practicing any of the claims recited therein.</w:t>
      </w:r>
    </w:p>
    <w:p>
      <w:pPr>
        <w:spacing w:after="0" w:line="168" w:lineRule="exact"/>
        <w:rPr>
          <w:sz w:val="20"/>
          <w:szCs w:val="20"/>
          <w:color w:val="auto"/>
        </w:rPr>
      </w:pPr>
    </w:p>
    <w:p>
      <w:pPr>
        <w:ind w:left="200" w:right="279"/>
        <w:spacing w:after="0" w:line="238" w:lineRule="auto"/>
        <w:rPr>
          <w:sz w:val="20"/>
          <w:szCs w:val="20"/>
          <w:color w:val="auto"/>
        </w:rPr>
      </w:pPr>
      <w:r>
        <w:rPr>
          <w:rFonts w:ascii="Arial" w:cs="Arial" w:eastAsia="Arial" w:hAnsi="Arial"/>
          <w:sz w:val="18"/>
          <w:szCs w:val="18"/>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w:t>
      </w:r>
    </w:p>
    <w:p>
      <w:pPr>
        <w:spacing w:after="0" w:line="172" w:lineRule="exact"/>
        <w:rPr>
          <w:sz w:val="20"/>
          <w:szCs w:val="20"/>
          <w:color w:val="auto"/>
        </w:rPr>
      </w:pPr>
    </w:p>
    <w:p>
      <w:pPr>
        <w:ind w:left="200" w:right="399"/>
        <w:spacing w:after="0"/>
        <w:rPr>
          <w:sz w:val="20"/>
          <w:szCs w:val="20"/>
          <w:color w:val="auto"/>
        </w:rPr>
      </w:pPr>
      <w:r>
        <w:rPr>
          <w:rFonts w:ascii="Arial" w:cs="Arial" w:eastAsia="Arial" w:hAnsi="Arial"/>
          <w:sz w:val="18"/>
          <w:szCs w:val="18"/>
          <w:color w:val="auto"/>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w:t>
      </w:r>
    </w:p>
    <w:p>
      <w:pPr>
        <w:spacing w:after="0" w:line="171" w:lineRule="exact"/>
        <w:rPr>
          <w:sz w:val="20"/>
          <w:szCs w:val="20"/>
          <w:color w:val="auto"/>
        </w:rPr>
      </w:pPr>
    </w:p>
    <w:p>
      <w:pPr>
        <w:jc w:val="both"/>
        <w:ind w:left="220" w:right="339" w:hanging="7"/>
        <w:spacing w:after="0" w:line="253" w:lineRule="auto"/>
        <w:rPr>
          <w:sz w:val="20"/>
          <w:szCs w:val="20"/>
          <w:color w:val="auto"/>
        </w:rPr>
      </w:pPr>
      <w:r>
        <w:rPr>
          <w:rFonts w:ascii="Arial" w:cs="Arial" w:eastAsia="Arial" w:hAnsi="Arial"/>
          <w:sz w:val="18"/>
          <w:szCs w:val="18"/>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7" w:name="page158"/>
    <w:bookmarkEnd w:id="15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20" w:right="259" w:hanging="7"/>
        <w:spacing w:after="0"/>
        <w:rPr>
          <w:sz w:val="20"/>
          <w:szCs w:val="20"/>
          <w:color w:val="auto"/>
        </w:rPr>
      </w:pPr>
      <w:r>
        <w:rPr>
          <w:rFonts w:ascii="Arial" w:cs="Arial" w:eastAsia="Arial" w:hAnsi="Arial"/>
          <w:sz w:val="18"/>
          <w:szCs w:val="18"/>
          <w:color w:val="auto"/>
        </w:rPr>
        <w:t>On November 13, 2023, the United States Patent and Trademark Office confirmed the patentability of the challenged claim. On January 18, 2023, DISH Network L.L.C., DISH Technologies L.L.C. and Sling TV L.L.C. filed a second petition requesting ex parte reexamination of the validity of the four other asserted claims of the 213 patent, reexamination was ordered on April 17, 2023, and it remains pending. On October 17, 2024, the Court ordered that the stay of the case, which had been entered for the pendency of the original petitions before the United States Patent and Trademark Office, would remain in place pending the outcome of Sound View’s appeal in a parallel action against Hulu.</w:t>
      </w:r>
    </w:p>
    <w:p>
      <w:pPr>
        <w:spacing w:after="0" w:line="171" w:lineRule="exact"/>
        <w:rPr>
          <w:sz w:val="20"/>
          <w:szCs w:val="20"/>
          <w:color w:val="auto"/>
        </w:rPr>
      </w:pPr>
    </w:p>
    <w:p>
      <w:pPr>
        <w:ind w:left="200" w:right="279"/>
        <w:spacing w:after="0" w:line="244"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State of Illinois ex rel. Rodriguez</w:t>
      </w:r>
    </w:p>
    <w:p>
      <w:pPr>
        <w:spacing w:after="0" w:line="196" w:lineRule="exact"/>
        <w:rPr>
          <w:sz w:val="20"/>
          <w:szCs w:val="20"/>
          <w:color w:val="auto"/>
        </w:rPr>
      </w:pPr>
    </w:p>
    <w:p>
      <w:pPr>
        <w:ind w:left="200" w:right="299"/>
        <w:spacing w:after="0" w:line="237" w:lineRule="auto"/>
        <w:rPr>
          <w:sz w:val="20"/>
          <w:szCs w:val="20"/>
          <w:color w:val="auto"/>
        </w:rPr>
      </w:pPr>
      <w:r>
        <w:rPr>
          <w:rFonts w:ascii="Arial" w:cs="Arial" w:eastAsia="Arial" w:hAnsi="Arial"/>
          <w:sz w:val="18"/>
          <w:szCs w:val="18"/>
          <w:color w:val="auto"/>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 On September 20, 2024, the Court granted DISH Wireless’s and Sprint’s motion to dismiss the Third Amended Complaint, without further leave to amend.</w:t>
      </w:r>
    </w:p>
    <w:p>
      <w:pPr>
        <w:spacing w:after="0" w:line="174" w:lineRule="exact"/>
        <w:rPr>
          <w:sz w:val="20"/>
          <w:szCs w:val="20"/>
          <w:color w:val="auto"/>
        </w:rPr>
      </w:pPr>
    </w:p>
    <w:p>
      <w:pPr>
        <w:ind w:left="200" w:right="23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TQ Delta, LLC</w:t>
      </w:r>
    </w:p>
    <w:p>
      <w:pPr>
        <w:spacing w:after="0" w:line="196" w:lineRule="exact"/>
        <w:rPr>
          <w:sz w:val="20"/>
          <w:szCs w:val="20"/>
          <w:color w:val="auto"/>
        </w:rPr>
      </w:pPr>
    </w:p>
    <w:p>
      <w:pPr>
        <w:ind w:left="200" w:right="319"/>
        <w:spacing w:after="0" w:line="237" w:lineRule="auto"/>
        <w:rPr>
          <w:sz w:val="20"/>
          <w:szCs w:val="20"/>
          <w:color w:val="auto"/>
        </w:rPr>
      </w:pPr>
      <w:r>
        <w:rPr>
          <w:rFonts w:ascii="Arial" w:cs="Arial" w:eastAsia="Arial" w:hAnsi="Arial"/>
          <w:sz w:val="18"/>
          <w:szCs w:val="18"/>
          <w:color w:val="auto"/>
        </w:rPr>
        <w:t>On July 17, 2015, TQ Delta, LLC (“TQ Delta”) filed a complaint against us and our wholly-owned subsidiaries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8" w:name="page159"/>
    <w:bookmarkEnd w:id="15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right="359"/>
        <w:spacing w:after="0"/>
        <w:rPr>
          <w:sz w:val="20"/>
          <w:szCs w:val="20"/>
          <w:color w:val="auto"/>
        </w:rPr>
      </w:pPr>
      <w:r>
        <w:rPr>
          <w:rFonts w:ascii="Arial" w:cs="Arial" w:eastAsia="Arial" w:hAnsi="Arial"/>
          <w:sz w:val="18"/>
          <w:szCs w:val="18"/>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its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w:t>
      </w:r>
    </w:p>
    <w:p>
      <w:pPr>
        <w:spacing w:after="0" w:line="171" w:lineRule="exact"/>
        <w:rPr>
          <w:sz w:val="20"/>
          <w:szCs w:val="20"/>
          <w:color w:val="auto"/>
        </w:rPr>
      </w:pPr>
    </w:p>
    <w:p>
      <w:pPr>
        <w:ind w:left="200" w:right="299"/>
        <w:spacing w:after="0" w:line="247" w:lineRule="auto"/>
        <w:rPr>
          <w:sz w:val="20"/>
          <w:szCs w:val="20"/>
          <w:color w:val="auto"/>
        </w:rPr>
      </w:pPr>
      <w:r>
        <w:rPr>
          <w:rFonts w:ascii="Arial" w:cs="Arial" w:eastAsia="Arial" w:hAnsi="Arial"/>
          <w:sz w:val="18"/>
          <w:szCs w:val="18"/>
          <w:color w:val="auto"/>
        </w:rPr>
        <w:t>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160" w:lineRule="exact"/>
        <w:rPr>
          <w:sz w:val="20"/>
          <w:szCs w:val="20"/>
          <w:color w:val="auto"/>
        </w:rPr>
      </w:pPr>
    </w:p>
    <w:p>
      <w:pPr>
        <w:ind w:left="200" w:right="359"/>
        <w:spacing w:after="0"/>
        <w:rPr>
          <w:sz w:val="20"/>
          <w:szCs w:val="20"/>
          <w:color w:val="auto"/>
        </w:rPr>
      </w:pPr>
      <w:r>
        <w:rPr>
          <w:rFonts w:ascii="Arial" w:cs="Arial" w:eastAsia="Arial" w:hAnsi="Arial"/>
          <w:sz w:val="18"/>
          <w:szCs w:val="18"/>
          <w:color w:val="auto"/>
        </w:rPr>
        <w:t>On July 14, 2016, TQ Delta stipulated to dismiss with prejudice all claims related to the 369 patent and the 956 patent. On July 20, 2016, we filed petitions with the United States Patent and Trademark Office challenging the validity of all of the patent claims of the 404 patent and the 268 patent that have been asserted against us.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w:t>
      </w:r>
    </w:p>
    <w:p>
      <w:pPr>
        <w:spacing w:after="0" w:line="171" w:lineRule="exact"/>
        <w:rPr>
          <w:sz w:val="20"/>
          <w:szCs w:val="20"/>
          <w:color w:val="auto"/>
        </w:rPr>
      </w:pPr>
    </w:p>
    <w:p>
      <w:pPr>
        <w:ind w:left="200" w:right="399"/>
        <w:spacing w:after="0" w:line="247" w:lineRule="auto"/>
        <w:rPr>
          <w:sz w:val="20"/>
          <w:szCs w:val="20"/>
          <w:color w:val="auto"/>
        </w:rPr>
      </w:pPr>
      <w:r>
        <w:rPr>
          <w:rFonts w:ascii="Arial" w:cs="Arial" w:eastAsia="Arial" w:hAnsi="Arial"/>
          <w:sz w:val="18"/>
          <w:szCs w:val="18"/>
          <w:color w:val="auto"/>
        </w:rPr>
        <w:t>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our motions to join the instituted petitions on the 430 and 158 patents.</w:t>
      </w:r>
    </w:p>
    <w:p>
      <w:pPr>
        <w:spacing w:after="0" w:line="160" w:lineRule="exact"/>
        <w:rPr>
          <w:sz w:val="20"/>
          <w:szCs w:val="20"/>
          <w:color w:val="auto"/>
        </w:rPr>
      </w:pPr>
    </w:p>
    <w:p>
      <w:pPr>
        <w:ind w:left="200" w:right="219"/>
        <w:spacing w:after="0"/>
        <w:rPr>
          <w:sz w:val="20"/>
          <w:szCs w:val="20"/>
          <w:color w:val="auto"/>
        </w:rPr>
      </w:pPr>
      <w:r>
        <w:rPr>
          <w:rFonts w:ascii="Arial" w:cs="Arial" w:eastAsia="Arial" w:hAnsi="Arial"/>
          <w:sz w:val="18"/>
          <w:szCs w:val="18"/>
          <w:color w:val="auto"/>
        </w:rPr>
        <w:t>On February 9, 2017, the United States Patent and Trademark Office agreed to institute proceedings on our petition related to the 404 patent, and on February 13, 2017, the United States Patent and Trademark Office agreed to institute proceedings on our petition related to the 268 patent. On February 27, 2017, the United States Patent and Trademark Office granted our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171" w:lineRule="exact"/>
        <w:rPr>
          <w:sz w:val="20"/>
          <w:szCs w:val="20"/>
          <w:color w:val="auto"/>
        </w:rPr>
      </w:pPr>
    </w:p>
    <w:p>
      <w:pPr>
        <w:jc w:val="both"/>
        <w:ind w:left="200" w:right="299"/>
        <w:spacing w:after="0" w:line="247" w:lineRule="auto"/>
        <w:rPr>
          <w:sz w:val="20"/>
          <w:szCs w:val="20"/>
          <w:color w:val="auto"/>
        </w:rPr>
      </w:pPr>
      <w:r>
        <w:rPr>
          <w:rFonts w:ascii="Arial" w:cs="Arial" w:eastAsia="Arial" w:hAnsi="Arial"/>
          <w:sz w:val="18"/>
          <w:szCs w:val="18"/>
          <w:color w:val="auto"/>
        </w:rPr>
        <w:t>On February 7, 2018, the United States Patent and Trademark Office issued final written decisions on the petitions challenging the 404 patent, and it invalidated all of the asserted claims of that patent on the basis of our petition. On February 10, 2018, the United States Patent and Trademark Office issued a final written decision on our petition challenging the 268 patent, and it invalidated all of the asserted claims.</w:t>
      </w:r>
    </w:p>
    <w:p>
      <w:pPr>
        <w:spacing w:after="0" w:line="160" w:lineRule="exact"/>
        <w:rPr>
          <w:sz w:val="20"/>
          <w:szCs w:val="20"/>
          <w:color w:val="auto"/>
        </w:rPr>
      </w:pPr>
    </w:p>
    <w:p>
      <w:pPr>
        <w:ind w:left="200" w:right="219"/>
        <w:spacing w:after="0" w:line="237" w:lineRule="auto"/>
        <w:rPr>
          <w:sz w:val="20"/>
          <w:szCs w:val="20"/>
          <w:color w:val="auto"/>
        </w:rPr>
      </w:pPr>
      <w:r>
        <w:rPr>
          <w:rFonts w:ascii="Arial" w:cs="Arial" w:eastAsia="Arial" w:hAnsi="Arial"/>
          <w:sz w:val="18"/>
          <w:szCs w:val="18"/>
          <w:color w:val="auto"/>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 million in damages.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59" w:name="page160"/>
    <w:bookmarkEnd w:id="15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w:t>
      </w:r>
    </w:p>
    <w:p>
      <w:pPr>
        <w:spacing w:after="0" w:line="2" w:lineRule="exact"/>
        <w:rPr>
          <w:sz w:val="20"/>
          <w:szCs w:val="20"/>
          <w:color w:val="auto"/>
        </w:rPr>
      </w:pPr>
    </w:p>
    <w:p>
      <w:pPr>
        <w:ind w:left="200" w:right="799"/>
        <w:spacing w:after="0" w:line="250" w:lineRule="auto"/>
        <w:rPr>
          <w:sz w:val="20"/>
          <w:szCs w:val="20"/>
          <w:color w:val="auto"/>
        </w:rPr>
      </w:pPr>
      <w:r>
        <w:rPr>
          <w:rFonts w:ascii="Arial" w:cs="Arial" w:eastAsia="Arial" w:hAnsi="Arial"/>
          <w:sz w:val="18"/>
          <w:szCs w:val="18"/>
          <w:color w:val="auto"/>
        </w:rPr>
        <w:t>We cannot predict with any degree of certainty the outcome of the suit or determine the extent of any potential liability or damages.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Uniloc 2017 LLC</w:t>
      </w:r>
    </w:p>
    <w:p>
      <w:pPr>
        <w:spacing w:after="0" w:line="196"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spacing w:after="0" w:line="166" w:lineRule="exact"/>
        <w:rPr>
          <w:sz w:val="20"/>
          <w:szCs w:val="20"/>
          <w:color w:val="auto"/>
        </w:rPr>
      </w:pPr>
    </w:p>
    <w:p>
      <w:pPr>
        <w:ind w:left="200" w:right="219"/>
        <w:spacing w:after="0"/>
        <w:rPr>
          <w:sz w:val="20"/>
          <w:szCs w:val="20"/>
          <w:color w:val="auto"/>
        </w:rPr>
      </w:pPr>
      <w:r>
        <w:rPr>
          <w:rFonts w:ascii="Arial" w:cs="Arial" w:eastAsia="Arial" w:hAnsi="Arial"/>
          <w:sz w:val="18"/>
          <w:szCs w:val="18"/>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171" w:lineRule="exact"/>
        <w:rPr>
          <w:sz w:val="20"/>
          <w:szCs w:val="20"/>
          <w:color w:val="auto"/>
        </w:rPr>
      </w:pPr>
    </w:p>
    <w:p>
      <w:pPr>
        <w:ind w:left="200" w:right="279"/>
        <w:spacing w:after="0" w:line="242" w:lineRule="auto"/>
        <w:rPr>
          <w:sz w:val="20"/>
          <w:szCs w:val="20"/>
          <w:color w:val="auto"/>
        </w:rPr>
      </w:pPr>
      <w:r>
        <w:rPr>
          <w:rFonts w:ascii="Arial" w:cs="Arial" w:eastAsia="Arial" w:hAnsi="Arial"/>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65" w:lineRule="exact"/>
        <w:rPr>
          <w:sz w:val="20"/>
          <w:szCs w:val="20"/>
          <w:color w:val="auto"/>
        </w:rPr>
      </w:pPr>
    </w:p>
    <w:p>
      <w:pPr>
        <w:ind w:left="200" w:right="339"/>
        <w:spacing w:after="0" w:line="239" w:lineRule="auto"/>
        <w:rPr>
          <w:sz w:val="20"/>
          <w:szCs w:val="20"/>
          <w:color w:val="auto"/>
        </w:rPr>
      </w:pPr>
      <w:r>
        <w:rPr>
          <w:rFonts w:ascii="Arial" w:cs="Arial" w:eastAsia="Arial" w:hAnsi="Arial"/>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spacing w:after="0" w:line="170" w:lineRule="exact"/>
        <w:rPr>
          <w:sz w:val="20"/>
          <w:szCs w:val="20"/>
          <w:color w:val="auto"/>
        </w:rPr>
      </w:pPr>
    </w:p>
    <w:p>
      <w:pPr>
        <w:ind w:left="200" w:right="279"/>
        <w:spacing w:after="0" w:line="244" w:lineRule="auto"/>
        <w:rPr>
          <w:sz w:val="20"/>
          <w:szCs w:val="20"/>
          <w:color w:val="auto"/>
        </w:rPr>
      </w:pPr>
      <w:r>
        <w:rPr>
          <w:rFonts w:ascii="Arial" w:cs="Arial" w:eastAsia="Arial" w:hAnsi="Arial"/>
          <w:sz w:val="18"/>
          <w:szCs w:val="18"/>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0" w:name="page161"/>
    <w:bookmarkEnd w:id="16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w:t>
      </w:r>
    </w:p>
    <w:p>
      <w:pPr>
        <w:spacing w:after="0" w:line="2" w:lineRule="exact"/>
        <w:rPr>
          <w:sz w:val="20"/>
          <w:szCs w:val="20"/>
          <w:color w:val="auto"/>
        </w:rPr>
      </w:pPr>
    </w:p>
    <w:p>
      <w:pPr>
        <w:ind w:left="200" w:right="799"/>
        <w:spacing w:after="0" w:line="250" w:lineRule="auto"/>
        <w:rPr>
          <w:sz w:val="20"/>
          <w:szCs w:val="20"/>
          <w:color w:val="auto"/>
        </w:rPr>
      </w:pPr>
      <w:r>
        <w:rPr>
          <w:rFonts w:ascii="Arial" w:cs="Arial" w:eastAsia="Arial" w:hAnsi="Arial"/>
          <w:sz w:val="18"/>
          <w:szCs w:val="18"/>
          <w:color w:val="auto"/>
        </w:rPr>
        <w:t>We cannot predict with any degree of certainty the outcome of the suit or determine the extent of any potential liability or damages.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222222"/>
        </w:rPr>
        <w:t>Universal Service Administrative Company</w:t>
      </w:r>
    </w:p>
    <w:p>
      <w:pPr>
        <w:spacing w:after="0" w:line="210" w:lineRule="exact"/>
        <w:rPr>
          <w:sz w:val="20"/>
          <w:szCs w:val="20"/>
          <w:color w:val="auto"/>
        </w:rPr>
      </w:pPr>
    </w:p>
    <w:p>
      <w:pPr>
        <w:ind w:left="200" w:right="359"/>
        <w:spacing w:after="0" w:line="261" w:lineRule="auto"/>
        <w:rPr>
          <w:sz w:val="20"/>
          <w:szCs w:val="20"/>
          <w:color w:val="auto"/>
        </w:rPr>
      </w:pPr>
      <w:r>
        <w:rPr>
          <w:rFonts w:ascii="Arial" w:cs="Arial" w:eastAsia="Arial" w:hAnsi="Arial"/>
          <w:sz w:val="17"/>
          <w:szCs w:val="17"/>
          <w:color w:val="222222"/>
        </w:rPr>
        <w:t>On April 3, 2023, the Universal Service Administrative Company (“USAC”) notified our wholly-owned subsidiary DISH Wireless that it intended to seek to recover funds in the amount of $13.9 million disbursed under the Emergency Broadband Benefit Program (“EBBP”) and Affordable Connectivity Program (“ACP”) rules. We appealed this action and the USAC denied our appeal in October 2023. We appealed USAC's action to the FCC's Wireline Competition Bureau, which denied our appeal on January 17, 2025.</w:t>
      </w:r>
    </w:p>
    <w:p>
      <w:pPr>
        <w:spacing w:after="0" w:line="166" w:lineRule="exact"/>
        <w:rPr>
          <w:sz w:val="20"/>
          <w:szCs w:val="20"/>
          <w:color w:val="auto"/>
        </w:rPr>
      </w:pPr>
    </w:p>
    <w:p>
      <w:pPr>
        <w:ind w:left="220" w:right="479"/>
        <w:spacing w:after="0" w:line="271" w:lineRule="auto"/>
        <w:rPr>
          <w:sz w:val="20"/>
          <w:szCs w:val="20"/>
          <w:color w:val="auto"/>
        </w:rPr>
      </w:pPr>
      <w:r>
        <w:rPr>
          <w:rFonts w:ascii="Arial" w:cs="Arial" w:eastAsia="Arial" w:hAnsi="Arial"/>
          <w:sz w:val="18"/>
          <w:szCs w:val="18"/>
          <w:color w:val="222222"/>
        </w:rPr>
        <w:t>We will continue to appeal USAC's action. We cannot predict with any degree of certainty the outcome of our appeals or determine the extent of any potential liability or damages.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Bank Trust Company</w:t>
      </w:r>
    </w:p>
    <w:p>
      <w:pPr>
        <w:spacing w:after="0" w:line="196" w:lineRule="exact"/>
        <w:rPr>
          <w:sz w:val="20"/>
          <w:szCs w:val="20"/>
          <w:color w:val="auto"/>
        </w:rPr>
      </w:pPr>
    </w:p>
    <w:p>
      <w:pPr>
        <w:ind w:left="220" w:right="239" w:hanging="7"/>
        <w:spacing w:after="0" w:line="237" w:lineRule="auto"/>
        <w:rPr>
          <w:sz w:val="20"/>
          <w:szCs w:val="20"/>
          <w:color w:val="auto"/>
        </w:rPr>
      </w:pPr>
      <w:r>
        <w:rPr>
          <w:rFonts w:ascii="Arial" w:cs="Arial" w:eastAsia="Arial" w:hAnsi="Arial"/>
          <w:sz w:val="18"/>
          <w:szCs w:val="18"/>
          <w:color w:val="auto"/>
        </w:rPr>
        <w:t>On April 26, 2024, U.S. Bank Trust Company, in its capacity as Trustee under the Indentures for DISH DBS Corporation’s 5.75% Senior Secured Notes due 2028 and 7.75% Senior Notes due 2026, filed an action in state court in New York City against DISH DBS Corporation, DISH Network L.L.C., EchoStar Intercompany Receivable Company L.L.C., DISH DBS Issuer LLC, and DBS Intercompany Receivable L.L.C. In its complaint, the Trustee contends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 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 On January 22, 2025, with permission from the Court, the Trustee filed a second amended complaint, which added allegations regarding our New DISH DBS Financing, a related intercompany loan, and the DIRECTV Transaction.</w:t>
      </w:r>
    </w:p>
    <w:p>
      <w:pPr>
        <w:spacing w:after="0" w:line="172" w:lineRule="exact"/>
        <w:rPr>
          <w:sz w:val="20"/>
          <w:szCs w:val="20"/>
          <w:color w:val="auto"/>
        </w:rPr>
      </w:pPr>
    </w:p>
    <w:p>
      <w:pPr>
        <w:ind w:left="220" w:right="23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Vermont National Telephone Company</w:t>
      </w:r>
    </w:p>
    <w:p>
      <w:pPr>
        <w:spacing w:after="0" w:line="196" w:lineRule="exact"/>
        <w:rPr>
          <w:sz w:val="20"/>
          <w:szCs w:val="20"/>
          <w:color w:val="auto"/>
        </w:rPr>
      </w:pPr>
    </w:p>
    <w:p>
      <w:pPr>
        <w:ind w:left="200" w:right="239"/>
        <w:spacing w:after="0" w:line="238" w:lineRule="auto"/>
        <w:rPr>
          <w:sz w:val="20"/>
          <w:szCs w:val="20"/>
          <w:color w:val="auto"/>
        </w:rPr>
      </w:pPr>
      <w:r>
        <w:rPr>
          <w:rFonts w:ascii="Arial" w:cs="Arial" w:eastAsia="Arial" w:hAnsi="Arial"/>
          <w:sz w:val="18"/>
          <w:szCs w:val="18"/>
          <w:color w:val="auto"/>
        </w:rPr>
        <w:t>On September 23, 2016, the United States District Court for the District of Columbia unsealed a qui tam complaint that, on May 13, 2015, Vermont National filed against us; our wholly-owned subsidiaries, American AWS-3 Wireless I L.L.C., American II, American III, and DISH Wireless Holding L.L.C.; Charles W. Ergen (our Chairman) and Cantey M. Ergen (a member of our Board of Directors, at that time);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1" w:name="page162"/>
    <w:bookmarkEnd w:id="16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379"/>
        <w:spacing w:after="0" w:line="244" w:lineRule="auto"/>
        <w:rPr>
          <w:sz w:val="20"/>
          <w:szCs w:val="20"/>
          <w:color w:val="auto"/>
        </w:rPr>
      </w:pPr>
      <w:r>
        <w:rPr>
          <w:rFonts w:ascii="Arial" w:cs="Arial" w:eastAsia="Arial" w:hAnsi="Arial"/>
          <w:sz w:val="18"/>
          <w:szCs w:val="18"/>
          <w:color w:val="auto"/>
        </w:rPr>
        <w:t>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w:t>
      </w:r>
    </w:p>
    <w:p>
      <w:pPr>
        <w:spacing w:after="0" w:line="163" w:lineRule="exact"/>
        <w:rPr>
          <w:sz w:val="20"/>
          <w:szCs w:val="20"/>
          <w:color w:val="auto"/>
        </w:rPr>
      </w:pPr>
    </w:p>
    <w:p>
      <w:pPr>
        <w:ind w:left="200" w:right="239"/>
        <w:spacing w:after="0" w:line="247" w:lineRule="auto"/>
        <w:rPr>
          <w:sz w:val="20"/>
          <w:szCs w:val="20"/>
          <w:color w:val="auto"/>
        </w:rPr>
      </w:pPr>
      <w:r>
        <w:rPr>
          <w:rFonts w:ascii="Arial" w:cs="Arial" w:eastAsia="Arial" w:hAnsi="Arial"/>
          <w:sz w:val="18"/>
          <w:szCs w:val="18"/>
          <w:color w:val="auto"/>
        </w:rPr>
        <w:t xml:space="preserve">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8"/>
          <w:szCs w:val="18"/>
          <w:i w:val="1"/>
          <w:iCs w:val="1"/>
          <w:color w:val="auto"/>
        </w:rPr>
        <w:t>SNR Wireless LicenseCo, LLC, et al. v. F.C.C.</w:t>
      </w:r>
      <w:r>
        <w:rPr>
          <w:rFonts w:ascii="Arial" w:cs="Arial" w:eastAsia="Arial" w:hAnsi="Arial"/>
          <w:sz w:val="18"/>
          <w:szCs w:val="18"/>
          <w:color w:val="auto"/>
        </w:rPr>
        <w:t xml:space="preserve"> The D.C. Circuit issued its opinion on August 29, 2017 and remanded the matter to the FCC for further proceedings.</w:t>
      </w:r>
    </w:p>
    <w:p>
      <w:pPr>
        <w:spacing w:after="0" w:line="160"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w:t>
      </w:r>
    </w:p>
    <w:p>
      <w:pPr>
        <w:spacing w:after="0" w:line="171" w:lineRule="exact"/>
        <w:rPr>
          <w:sz w:val="20"/>
          <w:szCs w:val="20"/>
          <w:color w:val="auto"/>
        </w:rPr>
      </w:pPr>
    </w:p>
    <w:p>
      <w:pPr>
        <w:jc w:val="both"/>
        <w:ind w:left="200" w:right="399"/>
        <w:spacing w:after="0"/>
        <w:rPr>
          <w:sz w:val="20"/>
          <w:szCs w:val="20"/>
          <w:color w:val="auto"/>
        </w:rPr>
      </w:pPr>
      <w:r>
        <w:rPr>
          <w:rFonts w:ascii="Arial" w:cs="Arial" w:eastAsia="Arial" w:hAnsi="Arial"/>
          <w:sz w:val="18"/>
          <w:szCs w:val="18"/>
          <w:color w:val="auto"/>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w:t>
      </w:r>
    </w:p>
    <w:p>
      <w:pPr>
        <w:ind w:left="200" w:right="339"/>
        <w:spacing w:after="0"/>
        <w:rPr>
          <w:sz w:val="20"/>
          <w:szCs w:val="20"/>
          <w:color w:val="auto"/>
        </w:rPr>
      </w:pPr>
      <w:r>
        <w:rPr>
          <w:rFonts w:ascii="Arial" w:cs="Arial" w:eastAsia="Arial" w:hAnsi="Arial"/>
          <w:sz w:val="18"/>
          <w:szCs w:val="18"/>
          <w:color w:val="auto"/>
        </w:rPr>
        <w:t>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On November 21, 2024, a magistrate judge held a hearing on the motion.</w:t>
      </w:r>
    </w:p>
    <w:p>
      <w:pPr>
        <w:spacing w:after="0" w:line="167" w:lineRule="exact"/>
        <w:rPr>
          <w:sz w:val="20"/>
          <w:szCs w:val="20"/>
          <w:color w:val="auto"/>
        </w:rPr>
      </w:pPr>
    </w:p>
    <w:p>
      <w:pPr>
        <w:ind w:left="200" w:right="4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this proceeding or determine the extent of any potential liability or damages.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w:t>
      </w:r>
    </w:p>
    <w:p>
      <w:pPr>
        <w:spacing w:after="0" w:line="196" w:lineRule="exact"/>
        <w:rPr>
          <w:sz w:val="20"/>
          <w:szCs w:val="20"/>
          <w:color w:val="auto"/>
        </w:rPr>
      </w:pPr>
    </w:p>
    <w:p>
      <w:pPr>
        <w:ind w:left="200" w:right="299"/>
        <w:spacing w:after="0" w:line="261" w:lineRule="auto"/>
        <w:rPr>
          <w:sz w:val="20"/>
          <w:szCs w:val="20"/>
          <w:color w:val="auto"/>
        </w:rPr>
      </w:pPr>
      <w:r>
        <w:rPr>
          <w:rFonts w:ascii="Arial" w:cs="Arial" w:eastAsia="Arial" w:hAnsi="Arial"/>
          <w:sz w:val="17"/>
          <w:szCs w:val="17"/>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2" w:name="page163"/>
    <w:bookmarkEnd w:id="16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2" w:lineRule="exact"/>
        <w:rPr>
          <w:sz w:val="20"/>
          <w:szCs w:val="20"/>
          <w:color w:val="auto"/>
        </w:rPr>
      </w:pPr>
    </w:p>
    <w:p>
      <w:pPr>
        <w:ind w:left="660" w:hanging="451"/>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98" w:lineRule="exact"/>
        <w:rPr>
          <w:sz w:val="20"/>
          <w:szCs w:val="20"/>
          <w:color w:val="auto"/>
        </w:rPr>
      </w:pPr>
    </w:p>
    <w:p>
      <w:pPr>
        <w:ind w:left="200" w:right="659"/>
        <w:spacing w:after="0" w:line="271" w:lineRule="auto"/>
        <w:rPr>
          <w:sz w:val="20"/>
          <w:szCs w:val="20"/>
          <w:color w:val="auto"/>
        </w:rPr>
      </w:pPr>
      <w:r>
        <w:rPr>
          <w:rFonts w:ascii="Arial" w:cs="Arial" w:eastAsia="Arial" w:hAnsi="Arial"/>
          <w:sz w:val="18"/>
          <w:szCs w:val="18"/>
          <w:color w:val="auto"/>
        </w:rPr>
        <w:t>Our reportable segments are strategic business units managed separately based on different business strategies, services and products.</w:t>
      </w:r>
    </w:p>
    <w:p>
      <w:pPr>
        <w:spacing w:after="0" w:line="140" w:lineRule="exact"/>
        <w:rPr>
          <w:sz w:val="20"/>
          <w:szCs w:val="20"/>
          <w:color w:val="auto"/>
        </w:rPr>
      </w:pPr>
    </w:p>
    <w:p>
      <w:pPr>
        <w:ind w:left="200" w:right="359"/>
        <w:spacing w:after="0" w:line="247" w:lineRule="auto"/>
        <w:rPr>
          <w:sz w:val="20"/>
          <w:szCs w:val="20"/>
          <w:color w:val="auto"/>
        </w:rPr>
      </w:pPr>
      <w:r>
        <w:rPr>
          <w:rFonts w:ascii="Arial" w:cs="Arial" w:eastAsia="Arial" w:hAnsi="Arial"/>
          <w:sz w:val="18"/>
          <w:szCs w:val="18"/>
          <w:color w:val="auto"/>
        </w:rPr>
        <w:t xml:space="preserve">Our chief operating decision maker </w:t>
      </w:r>
      <w:r>
        <w:rPr>
          <w:rFonts w:ascii="Arial" w:cs="Arial" w:eastAsia="Arial" w:hAnsi="Arial"/>
          <w:sz w:val="18"/>
          <w:szCs w:val="18"/>
          <w:color w:val="222222"/>
        </w:rPr>
        <w:t>(“CODM”)</w:t>
      </w:r>
      <w:r>
        <w:rPr>
          <w:rFonts w:ascii="Arial" w:cs="Arial" w:eastAsia="Arial" w:hAnsi="Arial"/>
          <w:sz w:val="18"/>
          <w:szCs w:val="18"/>
          <w:color w:val="auto"/>
        </w:rPr>
        <w:t xml:space="preserve"> is our </w:t>
      </w:r>
      <w:r>
        <w:rPr>
          <w:rFonts w:ascii="Arial" w:cs="Arial" w:eastAsia="Arial" w:hAnsi="Arial"/>
          <w:sz w:val="18"/>
          <w:szCs w:val="18"/>
          <w:color w:val="222222"/>
        </w:rPr>
        <w:t>President and Chief Executive Officer.</w:t>
      </w:r>
      <w:r>
        <w:rPr>
          <w:rFonts w:ascii="Arial" w:cs="Arial" w:eastAsia="Arial" w:hAnsi="Arial"/>
          <w:sz w:val="18"/>
          <w:szCs w:val="18"/>
          <w:color w:val="auto"/>
        </w:rPr>
        <w:t xml:space="preserve"> “OIBDA,”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w:t>
      </w:r>
    </w:p>
    <w:p>
      <w:pPr>
        <w:spacing w:after="0" w:line="147" w:lineRule="exact"/>
        <w:rPr>
          <w:sz w:val="20"/>
          <w:szCs w:val="20"/>
          <w:color w:val="auto"/>
        </w:rPr>
      </w:pPr>
    </w:p>
    <w:p>
      <w:pPr>
        <w:ind w:left="200" w:right="499"/>
        <w:spacing w:after="0" w:line="231" w:lineRule="auto"/>
        <w:rPr>
          <w:sz w:val="20"/>
          <w:szCs w:val="20"/>
          <w:color w:val="auto"/>
        </w:rPr>
      </w:pPr>
      <w:r>
        <w:rPr>
          <w:rFonts w:ascii="Arial" w:cs="Arial" w:eastAsia="Arial" w:hAnsi="Arial"/>
          <w:sz w:val="18"/>
          <w:szCs w:val="18"/>
          <w:color w:val="auto"/>
        </w:rPr>
        <w:t xml:space="preserve">Historically, we reported three primary business segments: (1) Pay-TV; (2) Retail Wireless and (3) 5G Network Deployment. However, based on the information provided to the </w:t>
      </w:r>
      <w:r>
        <w:rPr>
          <w:rFonts w:ascii="Arial" w:cs="Arial" w:eastAsia="Arial" w:hAnsi="Arial"/>
          <w:sz w:val="18"/>
          <w:szCs w:val="18"/>
          <w:color w:val="222222"/>
        </w:rPr>
        <w:t>CODM</w:t>
      </w:r>
      <w:r>
        <w:rPr>
          <w:rFonts w:ascii="Arial" w:cs="Arial" w:eastAsia="Arial" w:hAnsi="Arial"/>
          <w:sz w:val="18"/>
          <w:szCs w:val="18"/>
          <w:color w:val="auto"/>
        </w:rPr>
        <w:t xml:space="preserve"> and to align with management’s view of the business, we concluded that the Retail Wireless and 5G Network Deployment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segments should be combined to a single segment, the “Wireless” segment.</w:t>
      </w:r>
    </w:p>
    <w:p>
      <w:pPr>
        <w:spacing w:after="0" w:line="167" w:lineRule="exact"/>
        <w:rPr>
          <w:sz w:val="20"/>
          <w:szCs w:val="20"/>
          <w:color w:val="auto"/>
        </w:rPr>
      </w:pPr>
    </w:p>
    <w:p>
      <w:pPr>
        <w:ind w:left="200" w:right="419"/>
        <w:spacing w:after="0" w:line="247" w:lineRule="auto"/>
        <w:rPr>
          <w:sz w:val="20"/>
          <w:szCs w:val="20"/>
          <w:color w:val="auto"/>
        </w:rPr>
      </w:pPr>
      <w:r>
        <w:rPr>
          <w:rFonts w:ascii="Arial" w:cs="Arial" w:eastAsia="Arial" w:hAnsi="Arial"/>
          <w:sz w:val="18"/>
          <w:szCs w:val="18"/>
          <w:color w:val="auto"/>
        </w:rPr>
        <w:t>We currently operate two primary business segments: (1) Pay-TV and (2) Wireless. See Note 1 for further information. Our Pay-TV segment revenue is primarily derived from Pay-TV subscriber revenue. Our Wireless segment revenue is primarily derived from Wireless subscriber revenue and selling wireless devices to subscribers.</w:t>
      </w:r>
    </w:p>
    <w:p>
      <w:pPr>
        <w:spacing w:after="0" w:line="160" w:lineRule="exact"/>
        <w:rPr>
          <w:sz w:val="20"/>
          <w:szCs w:val="20"/>
          <w:color w:val="auto"/>
        </w:rPr>
      </w:pPr>
    </w:p>
    <w:p>
      <w:pPr>
        <w:ind w:left="220" w:right="379" w:hanging="7"/>
        <w:spacing w:after="0" w:line="271" w:lineRule="auto"/>
        <w:rPr>
          <w:sz w:val="20"/>
          <w:szCs w:val="20"/>
          <w:color w:val="auto"/>
        </w:rPr>
      </w:pPr>
      <w:r>
        <w:rPr>
          <w:rFonts w:ascii="Arial" w:cs="Arial" w:eastAsia="Arial" w:hAnsi="Arial"/>
          <w:sz w:val="18"/>
          <w:szCs w:val="18"/>
          <w:color w:val="auto"/>
        </w:rPr>
        <w:t>All other and eliminations primarily include intersegment eliminations related to intercompany revenue and the related expense, which are eliminated in consolidation.</w:t>
      </w:r>
    </w:p>
    <w:p>
      <w:pPr>
        <w:spacing w:after="0" w:line="140" w:lineRule="exact"/>
        <w:rPr>
          <w:sz w:val="20"/>
          <w:szCs w:val="20"/>
          <w:color w:val="auto"/>
        </w:rPr>
      </w:pPr>
    </w:p>
    <w:p>
      <w:pPr>
        <w:ind w:left="200" w:right="1039"/>
        <w:spacing w:after="0" w:line="271" w:lineRule="auto"/>
        <w:rPr>
          <w:sz w:val="20"/>
          <w:szCs w:val="20"/>
          <w:color w:val="auto"/>
        </w:rPr>
      </w:pPr>
      <w:r>
        <w:rPr>
          <w:rFonts w:ascii="Arial" w:cs="Arial" w:eastAsia="Arial" w:hAnsi="Arial"/>
          <w:sz w:val="18"/>
          <w:szCs w:val="18"/>
          <w:color w:val="auto"/>
        </w:rPr>
        <w:t>The CODM is not regularly provided assets on a segment basis; therefore, such information is not presented.</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revenue, expense, operating income (loss) and OIBDA by segment were as follows:</w:t>
      </w:r>
    </w:p>
    <w:p>
      <w:pPr>
        <w:spacing w:after="0" w:line="198" w:lineRule="exact"/>
        <w:rPr>
          <w:sz w:val="20"/>
          <w:szCs w:val="20"/>
          <w:color w:val="auto"/>
        </w:rPr>
      </w:pPr>
    </w:p>
    <w:p>
      <w:pPr>
        <w:ind w:left="200" w:right="459"/>
        <w:spacing w:after="0" w:line="271" w:lineRule="auto"/>
        <w:rPr>
          <w:sz w:val="20"/>
          <w:szCs w:val="20"/>
          <w:color w:val="auto"/>
        </w:rPr>
      </w:pPr>
      <w:r>
        <w:rPr>
          <w:rFonts w:ascii="Arial" w:cs="Arial" w:eastAsia="Arial" w:hAnsi="Arial"/>
          <w:sz w:val="18"/>
          <w:szCs w:val="18"/>
          <w:color w:val="auto"/>
        </w:rPr>
        <w:t>The significant expense categories and amounts align with the segment-level information that is regularly provided to the CODM. Intersegment expenses are included within the amounts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3" w:name="page164"/>
    <w:bookmarkEnd w:id="16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Pay-TV</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Wireless</w:t>
            </w:r>
          </w:p>
        </w:tc>
        <w:tc>
          <w:tcPr>
            <w:tcW w:w="180" w:type="dxa"/>
            <w:vAlign w:val="bottom"/>
          </w:tcPr>
          <w:p>
            <w:pPr>
              <w:spacing w:after="0"/>
              <w:rPr>
                <w:sz w:val="18"/>
                <w:szCs w:val="18"/>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8"/>
              </w:rPr>
              <w:t>Eliminations</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For the Year Ended December 31, 2024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ind w:left="580"/>
              <w:spacing w:after="0"/>
              <w:rPr>
                <w:sz w:val="20"/>
                <w:szCs w:val="20"/>
                <w:color w:val="auto"/>
              </w:rPr>
            </w:pPr>
            <w:r>
              <w:rPr>
                <w:rFonts w:ascii="Arial" w:cs="Arial" w:eastAsia="Arial" w:hAnsi="Arial"/>
                <w:sz w:val="16"/>
                <w:szCs w:val="16"/>
                <w:color w:val="auto"/>
              </w:rPr>
              <w:t>(In thousands)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i w:val="1"/>
                <w:iCs w:val="1"/>
                <w:color w:val="auto"/>
              </w:rPr>
              <w:t>Revenue from external customers: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Service 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$ 10,613,640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3,156,760</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$ 13,770,400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Equipment sales and other revenue</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72,841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449,417</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522,258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Intersegment 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10,688,204</w:t>
            </w:r>
          </w:p>
        </w:tc>
        <w:tc>
          <w:tcPr>
            <w:tcW w:w="1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3,606,177</w:t>
            </w:r>
          </w:p>
        </w:tc>
        <w:tc>
          <w:tcPr>
            <w:tcW w:w="1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(1,723)</w:t>
            </w:r>
          </w:p>
        </w:tc>
        <w:tc>
          <w:tcPr>
            <w:tcW w:w="20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14,292,658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Cost of services: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Programming</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5,060,083</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5,060,083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Connectivity services (1)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224,112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2,566,462</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2,789,087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Other (2)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1,262,311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529,328</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1,792,065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cost of services</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6,546,506</w:t>
            </w: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3,095,790</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(1,061)</w:t>
            </w: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9,641,235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Pr>
          <w:p>
            <w:pPr>
              <w:spacing w:after="0" w:line="183" w:lineRule="exact"/>
              <w:rPr>
                <w:sz w:val="20"/>
                <w:szCs w:val="20"/>
                <w:color w:val="auto"/>
              </w:rPr>
            </w:pPr>
            <w:r>
              <w:rPr>
                <w:rFonts w:ascii="Arial" w:cs="Arial" w:eastAsia="Arial" w:hAnsi="Arial"/>
                <w:sz w:val="16"/>
                <w:szCs w:val="16"/>
                <w:color w:val="auto"/>
              </w:rPr>
              <w:t>Cost of services - equipment and other</w:t>
            </w:r>
          </w:p>
        </w:tc>
        <w:tc>
          <w:tcPr>
            <w:tcW w:w="2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80,271</w:t>
            </w:r>
          </w:p>
        </w:tc>
        <w:tc>
          <w:tcPr>
            <w:tcW w:w="1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1,250,656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1,330,927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Selling, general and administrative expenses: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Subscriber acquisition costs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425,227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650,794</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1,076,010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650,735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301,823</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951,907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2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1,075,962</w:t>
            </w:r>
          </w:p>
        </w:tc>
        <w:tc>
          <w:tcPr>
            <w:tcW w:w="1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952,617</w:t>
            </w:r>
          </w:p>
        </w:tc>
        <w:tc>
          <w:tcPr>
            <w:tcW w:w="1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(662)</w:t>
            </w:r>
          </w:p>
        </w:tc>
        <w:tc>
          <w:tcPr>
            <w:tcW w:w="20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2,027,917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OIBDA (3)</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2,985,465</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(1,692,886)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3"/>
          </w:tcPr>
          <w:p>
            <w:pPr>
              <w:jc w:val="right"/>
              <w:ind w:right="304"/>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1,292,579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5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337,331</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1,134,873</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3"/>
          </w:tcPr>
          <w:p>
            <w:pPr>
              <w:jc w:val="right"/>
              <w:ind w:right="30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1,472,204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costs and expenses</w:t>
            </w:r>
          </w:p>
        </w:tc>
        <w:tc>
          <w:tcPr>
            <w:tcW w:w="3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8,040,070</w:t>
            </w: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6,433,936</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(1,723)</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14,472,283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Operating income (loss)</w:t>
            </w: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2,648,134</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(2,827,759)</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(179,625)</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Unallocated Amounts</w:t>
            </w: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 of amounts capitalized</w:t>
            </w: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(690,222)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742,705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Income (loss) before income taxes</w:t>
            </w:r>
          </w:p>
        </w:tc>
        <w:tc>
          <w:tcPr>
            <w:tcW w:w="3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40" w:right="439" w:hanging="331"/>
        <w:spacing w:after="0" w:line="241"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“Connectivity services” is the cost to deliver our services and products to customers, which includes, among other things, network, transport and data, cloud based service, satellite and transmission, and other related costs.</w:t>
      </w:r>
    </w:p>
    <w:p>
      <w:pPr>
        <w:spacing w:after="0" w:line="1" w:lineRule="exact"/>
        <w:rPr>
          <w:rFonts w:ascii="Arial" w:cs="Arial" w:eastAsia="Arial" w:hAnsi="Arial"/>
          <w:sz w:val="18"/>
          <w:szCs w:val="18"/>
          <w:color w:val="auto"/>
        </w:rPr>
      </w:pPr>
    </w:p>
    <w:p>
      <w:pPr>
        <w:ind w:left="540" w:right="519" w:hanging="331"/>
        <w:spacing w:after="0" w:line="234"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 primarily consists of variable costs including call center, manufacturing, dealer incentive, bad debt, billing and other variable costs, as well as costs to retain our subscribers.</w:t>
      </w:r>
    </w:p>
    <w:p>
      <w:pPr>
        <w:spacing w:after="0" w:line="1" w:lineRule="exact"/>
        <w:rPr>
          <w:rFonts w:ascii="Arial" w:cs="Arial" w:eastAsia="Arial" w:hAnsi="Arial"/>
          <w:sz w:val="18"/>
          <w:szCs w:val="18"/>
          <w:color w:val="auto"/>
        </w:rPr>
      </w:pPr>
    </w:p>
    <w:p>
      <w:pPr>
        <w:ind w:left="540" w:right="259" w:hanging="331"/>
        <w:spacing w:after="0" w:line="238"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4" w:name="page165"/>
    <w:bookmarkEnd w:id="16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Pay-TV</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Wireless</w:t>
            </w:r>
          </w:p>
        </w:tc>
        <w:tc>
          <w:tcPr>
            <w:tcW w:w="180" w:type="dxa"/>
            <w:vAlign w:val="bottom"/>
          </w:tcPr>
          <w:p>
            <w:pPr>
              <w:spacing w:after="0"/>
              <w:rPr>
                <w:sz w:val="18"/>
                <w:szCs w:val="18"/>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8"/>
              </w:rPr>
              <w:t>Eliminations</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For the Year Ended December 31, 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i w:val="1"/>
                <w:iCs w:val="1"/>
                <w:color w:val="auto"/>
              </w:rPr>
              <w:t>Revenue from external customers: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Service revenue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11,384,460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3,337,222</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14,721,682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Equipment sales and other revenue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178,486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394,920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4"/>
          </w:tcPr>
          <w:p>
            <w:pPr>
              <w:jc w:val="right"/>
              <w:ind w:right="31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573,406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Intersegment revenue</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8,213</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11,571,159</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3,732,160</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(8,231)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15,295,088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Cost of services:</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Programming</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5,301,968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4"/>
          </w:tcPr>
          <w:p>
            <w:pPr>
              <w:jc w:val="right"/>
              <w:ind w:right="31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5,301,968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Connectivity services</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245,716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1,530,184</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ind w:right="31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1,775,900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1,429,944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482,149</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4"/>
          </w:tcPr>
          <w:p>
            <w:pPr>
              <w:jc w:val="right"/>
              <w:ind w:right="31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1,912,093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cost of services</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6,977,628</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2,012,333</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8,989,961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Pr>
          <w:p>
            <w:pPr>
              <w:spacing w:after="0" w:line="183" w:lineRule="exact"/>
              <w:rPr>
                <w:sz w:val="20"/>
                <w:szCs w:val="20"/>
                <w:color w:val="auto"/>
              </w:rPr>
            </w:pPr>
            <w:r>
              <w:rPr>
                <w:rFonts w:ascii="Arial" w:cs="Arial" w:eastAsia="Arial" w:hAnsi="Arial"/>
                <w:sz w:val="16"/>
                <w:szCs w:val="16"/>
                <w:color w:val="auto"/>
              </w:rPr>
              <w:t>Cost of services - equipment and other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91,164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2,110,706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2,201,870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Selling, general and administrative expenses:</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Subscriber acquisition costs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687,338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701,814</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(1,502)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1,387,650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727,470</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412,671</w:t>
            </w: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(6,729)</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1,133,412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1,414,808</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1,114,485</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(8,231)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2,521,062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Impairments for long-lived assets and goodwill</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6,457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218,560</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225,017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OIBDA</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3,081,102</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(1,723,924)</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1,357,178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381,292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800,629</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ind w:right="31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1,181,921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8,871,349</w:t>
            </w:r>
          </w:p>
        </w:tc>
        <w:tc>
          <w:tcPr>
            <w:tcW w:w="1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6,256,713</w:t>
            </w:r>
          </w:p>
        </w:tc>
        <w:tc>
          <w:tcPr>
            <w:tcW w:w="1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(8,231)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15,119,831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line="183" w:lineRule="exact"/>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2,699,810</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(2,524,553)</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175,257</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6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b w:val="1"/>
                <w:bCs w:val="1"/>
                <w:color w:val="auto"/>
              </w:rPr>
              <w:t>Unallocated Amounts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Interest expense, net of amounts capitalized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(38,881)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(1,741,876)</w:t>
            </w:r>
          </w:p>
        </w:tc>
        <w:tc>
          <w:tcPr>
            <w:tcW w:w="0" w:type="dxa"/>
            <w:vAlign w:val="bottom"/>
          </w:tcPr>
          <w:p>
            <w:pPr>
              <w:spacing w:after="0"/>
              <w:rPr>
                <w:sz w:val="1"/>
                <w:szCs w:val="1"/>
                <w:color w:val="auto"/>
              </w:rPr>
            </w:pPr>
          </w:p>
        </w:tc>
      </w:tr>
      <w:tr>
        <w:trPr>
          <w:trHeight w:val="183"/>
        </w:trPr>
        <w:tc>
          <w:tcPr>
            <w:tcW w:w="3700" w:type="dxa"/>
            <w:vAlign w:val="bottom"/>
            <w:gridSpan w:val="2"/>
          </w:tcPr>
          <w:p>
            <w:pPr>
              <w:spacing w:after="0" w:line="183" w:lineRule="exact"/>
              <w:rPr>
                <w:sz w:val="20"/>
                <w:szCs w:val="20"/>
                <w:color w:val="auto"/>
              </w:rPr>
            </w:pPr>
            <w:r>
              <w:rPr>
                <w:rFonts w:ascii="Arial" w:cs="Arial" w:eastAsia="Arial" w:hAnsi="Arial"/>
                <w:sz w:val="16"/>
                <w:szCs w:val="16"/>
                <w:color w:val="auto"/>
              </w:rPr>
              <w:t>Income (loss) before income taxes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(1,500,084)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5" w:name="page166"/>
    <w:bookmarkEnd w:id="16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Pay-TV</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Wireless</w:t>
            </w:r>
          </w:p>
        </w:tc>
        <w:tc>
          <w:tcPr>
            <w:tcW w:w="180" w:type="dxa"/>
            <w:vAlign w:val="bottom"/>
          </w:tcPr>
          <w:p>
            <w:pPr>
              <w:spacing w:after="0"/>
              <w:rPr>
                <w:sz w:val="18"/>
                <w:szCs w:val="18"/>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8"/>
              </w:rPr>
              <w:t>Eliminations</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For the Year Ended December 31, 2022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ind w:left="580"/>
              <w:spacing w:after="0"/>
              <w:rPr>
                <w:sz w:val="20"/>
                <w:szCs w:val="20"/>
                <w:color w:val="auto"/>
              </w:rPr>
            </w:pPr>
            <w:r>
              <w:rPr>
                <w:rFonts w:ascii="Arial" w:cs="Arial" w:eastAsia="Arial" w:hAnsi="Arial"/>
                <w:sz w:val="16"/>
                <w:szCs w:val="16"/>
                <w:color w:val="auto"/>
              </w:rPr>
              <w:t>(In thousands)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i w:val="1"/>
                <w:iCs w:val="1"/>
                <w:color w:val="auto"/>
              </w:rPr>
              <w:t>Revenue from external customers: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Service 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$ 12,360,392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3,653,892</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$ 16,014,284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Equipment sales and other revenue</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139,013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526,110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665,123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Intersegment 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5,987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(6,003)</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12,505,392</w:t>
            </w:r>
          </w:p>
        </w:tc>
        <w:tc>
          <w:tcPr>
            <w:tcW w:w="1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4,180,018</w:t>
            </w:r>
          </w:p>
        </w:tc>
        <w:tc>
          <w:tcPr>
            <w:tcW w:w="1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(6,003)</w:t>
            </w:r>
          </w:p>
        </w:tc>
        <w:tc>
          <w:tcPr>
            <w:tcW w:w="20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16,679,407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Cost of services: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Programming</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5,584,877</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5,584,877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Connectivity services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261,942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1,680,811</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1,942,737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Other</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1,576,608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454,262</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2,030,870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cost of services</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7,423,427</w:t>
            </w: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2,135,073</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w:t>
            </w: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9,558,484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Pr>
          <w:p>
            <w:pPr>
              <w:spacing w:after="0" w:line="183" w:lineRule="exact"/>
              <w:rPr>
                <w:sz w:val="20"/>
                <w:szCs w:val="20"/>
                <w:color w:val="auto"/>
              </w:rPr>
            </w:pPr>
            <w:r>
              <w:rPr>
                <w:rFonts w:ascii="Arial" w:cs="Arial" w:eastAsia="Arial" w:hAnsi="Arial"/>
                <w:sz w:val="16"/>
                <w:szCs w:val="16"/>
                <w:color w:val="auto"/>
              </w:rPr>
              <w:t>Cost of services - equipment and other</w:t>
            </w:r>
          </w:p>
        </w:tc>
        <w:tc>
          <w:tcPr>
            <w:tcW w:w="2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97,315</w:t>
            </w:r>
          </w:p>
        </w:tc>
        <w:tc>
          <w:tcPr>
            <w:tcW w:w="1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1,715,276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1,812,591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Selling, general and administrative expenses: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Subscriber acquisition costs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879,620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512,721</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1,392,061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742,661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416,578</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1,153,532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2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1,622,281</w:t>
            </w:r>
          </w:p>
        </w:tc>
        <w:tc>
          <w:tcPr>
            <w:tcW w:w="1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929,299</w:t>
            </w:r>
          </w:p>
        </w:tc>
        <w:tc>
          <w:tcPr>
            <w:tcW w:w="1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(5,987)</w:t>
            </w:r>
          </w:p>
        </w:tc>
        <w:tc>
          <w:tcPr>
            <w:tcW w:w="20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2,545,593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900" w:type="dxa"/>
            <w:vAlign w:val="bottom"/>
            <w:gridSpan w:val="2"/>
          </w:tcPr>
          <w:p>
            <w:pPr>
              <w:spacing w:after="0"/>
              <w:rPr>
                <w:sz w:val="20"/>
                <w:szCs w:val="20"/>
                <w:color w:val="auto"/>
              </w:rPr>
            </w:pPr>
            <w:r>
              <w:rPr>
                <w:rFonts w:ascii="Arial" w:cs="Arial" w:eastAsia="Arial" w:hAnsi="Arial"/>
                <w:sz w:val="16"/>
                <w:szCs w:val="16"/>
                <w:b w:val="1"/>
                <w:bCs w:val="1"/>
                <w:color w:val="auto"/>
              </w:rPr>
              <w:t>OIBDA</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3,362,369</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(599,630)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3"/>
          </w:tcPr>
          <w:p>
            <w:pPr>
              <w:jc w:val="right"/>
              <w:ind w:right="304"/>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2,762,739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8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color w:val="auto"/>
              </w:rPr>
              <w:t>428,471</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288,602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3"/>
          </w:tcPr>
          <w:p>
            <w:pPr>
              <w:jc w:val="right"/>
              <w:ind w:right="30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717,073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costs and expenses</w:t>
            </w: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9,571,494</w:t>
            </w: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5,068,250</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(6,003)</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14,633,741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Operating income (loss)</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2,933,898</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(888,232)</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2,045,666</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8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Unallocated Amounts</w:t>
            </w: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Interest income</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42,776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 of amounts capitalized</w:t>
            </w: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1,038,982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Income (loss) before income taxes</w:t>
            </w:r>
          </w:p>
        </w:tc>
        <w:tc>
          <w:tcPr>
            <w:tcW w:w="10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3,104,643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6" w:name="page167"/>
    <w:bookmarkEnd w:id="16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purchases of property and equipment, net of refunds, (including capitalized interest related to</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Regulatory authorizations) by segment were as follows:</w:t>
      </w:r>
    </w:p>
    <w:p>
      <w:pPr>
        <w:spacing w:after="0" w:line="3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Pay-TV</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Wireless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 December 31, 2024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00" w:type="dxa"/>
            <w:vAlign w:val="bottom"/>
            <w:tcBorders>
              <w:top w:val="single" w:sz="8" w:color="auto"/>
            </w:tcBorders>
            <w:shd w:val="clear" w:color="auto" w:fill="CCEEFF"/>
          </w:tcPr>
          <w:p>
            <w:pPr>
              <w:spacing w:after="0" w:line="147" w:lineRule="exact"/>
              <w:rPr>
                <w:sz w:val="20"/>
                <w:szCs w:val="20"/>
                <w:color w:val="auto"/>
              </w:rPr>
            </w:pPr>
            <w:r>
              <w:rPr>
                <w:rFonts w:ascii="Arial" w:cs="Arial" w:eastAsia="Arial" w:hAnsi="Arial"/>
                <w:sz w:val="14"/>
                <w:szCs w:val="14"/>
                <w:color w:val="auto"/>
              </w:rPr>
              <w:t>Purchases of property and equipment, net of refunds (including capitalized interest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related to regulatory authorizations)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172,309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1,985,630</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2,157,939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2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For the Year Ended December 31, 2023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00" w:type="dxa"/>
            <w:vAlign w:val="bottom"/>
          </w:tcPr>
          <w:p>
            <w:pPr>
              <w:spacing w:after="0" w:line="147" w:lineRule="exact"/>
              <w:rPr>
                <w:sz w:val="20"/>
                <w:szCs w:val="20"/>
                <w:color w:val="auto"/>
              </w:rPr>
            </w:pPr>
            <w:r>
              <w:rPr>
                <w:rFonts w:ascii="Arial" w:cs="Arial" w:eastAsia="Arial" w:hAnsi="Arial"/>
                <w:sz w:val="14"/>
                <w:szCs w:val="14"/>
                <w:color w:val="auto"/>
              </w:rPr>
              <w:t>Purchases of property and equipment, net of refunds (including capitalized interest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20" w:type="dxa"/>
            <w:vAlign w:val="bottom"/>
            <w:gridSpan w:val="2"/>
          </w:tcPr>
          <w:p>
            <w:pPr>
              <w:spacing w:after="0"/>
              <w:rPr>
                <w:sz w:val="20"/>
                <w:szCs w:val="20"/>
                <w:color w:val="auto"/>
              </w:rPr>
            </w:pPr>
            <w:r>
              <w:rPr>
                <w:rFonts w:ascii="Arial" w:cs="Arial" w:eastAsia="Arial" w:hAnsi="Arial"/>
                <w:sz w:val="14"/>
                <w:szCs w:val="14"/>
                <w:color w:val="auto"/>
              </w:rPr>
              <w:t>related to regulatory authorizations)</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242,736</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left="48"/>
              <w:spacing w:after="0"/>
              <w:rPr>
                <w:sz w:val="20"/>
                <w:szCs w:val="20"/>
                <w:color w:val="auto"/>
              </w:rPr>
            </w:pPr>
            <w:r>
              <w:rPr>
                <w:rFonts w:ascii="Arial" w:cs="Arial" w:eastAsia="Arial" w:hAnsi="Arial"/>
                <w:sz w:val="14"/>
                <w:szCs w:val="14"/>
                <w:color w:val="auto"/>
              </w:rPr>
              <w:t>3,748,624</w:t>
            </w:r>
          </w:p>
        </w:tc>
        <w:tc>
          <w:tcPr>
            <w:tcW w:w="140" w:type="dxa"/>
            <w:vAlign w:val="bottom"/>
          </w:tcPr>
          <w:p>
            <w:pPr>
              <w:spacing w:after="0"/>
              <w:rPr>
                <w:sz w:val="14"/>
                <w:szCs w:val="1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3,991,360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December 31, 2022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00" w:type="dxa"/>
            <w:vAlign w:val="bottom"/>
            <w:tcBorders>
              <w:top w:val="single" w:sz="8" w:color="auto"/>
            </w:tcBorders>
            <w:shd w:val="clear" w:color="auto" w:fill="CCEEFF"/>
          </w:tcPr>
          <w:p>
            <w:pPr>
              <w:spacing w:after="0" w:line="147" w:lineRule="exact"/>
              <w:rPr>
                <w:sz w:val="20"/>
                <w:szCs w:val="20"/>
                <w:color w:val="auto"/>
              </w:rPr>
            </w:pPr>
            <w:r>
              <w:rPr>
                <w:rFonts w:ascii="Arial" w:cs="Arial" w:eastAsia="Arial" w:hAnsi="Arial"/>
                <w:sz w:val="14"/>
                <w:szCs w:val="14"/>
                <w:color w:val="auto"/>
              </w:rPr>
              <w:t>Purchases of property and equipment, net of refunds (including capitalized interest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related to regulatory authorizations)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131,093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3,580,518</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3,711,611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200" w:right="419"/>
        <w:spacing w:after="0" w:line="255" w:lineRule="auto"/>
        <w:rPr>
          <w:sz w:val="20"/>
          <w:szCs w:val="20"/>
          <w:color w:val="auto"/>
        </w:rPr>
      </w:pPr>
      <w:r>
        <w:rPr>
          <w:rFonts w:ascii="Arial" w:cs="Arial" w:eastAsia="Arial" w:hAnsi="Arial"/>
          <w:sz w:val="18"/>
          <w:szCs w:val="18"/>
          <w:b w:val="1"/>
          <w:bCs w:val="1"/>
          <w:i w:val="1"/>
          <w:iCs w:val="1"/>
          <w:color w:val="222222"/>
        </w:rPr>
        <w:t xml:space="preserve">Geographic Information. </w:t>
      </w:r>
      <w:r>
        <w:rPr>
          <w:rFonts w:ascii="Arial" w:cs="Arial" w:eastAsia="Arial" w:hAnsi="Arial"/>
          <w:sz w:val="18"/>
          <w:szCs w:val="18"/>
          <w:color w:val="222222"/>
        </w:rPr>
        <w:t>Revenue is attributed to geographic regions based upon the customer billing</w:t>
      </w:r>
      <w:r>
        <w:rPr>
          <w:rFonts w:ascii="Arial" w:cs="Arial" w:eastAsia="Arial" w:hAnsi="Arial"/>
          <w:sz w:val="18"/>
          <w:szCs w:val="18"/>
          <w:b w:val="1"/>
          <w:bCs w:val="1"/>
          <w:i w:val="1"/>
          <w:iCs w:val="1"/>
          <w:color w:val="222222"/>
        </w:rPr>
        <w:t xml:space="preserve"> </w:t>
      </w:r>
      <w:r>
        <w:rPr>
          <w:rFonts w:ascii="Arial" w:cs="Arial" w:eastAsia="Arial" w:hAnsi="Arial"/>
          <w:sz w:val="18"/>
          <w:szCs w:val="18"/>
          <w:color w:val="222222"/>
        </w:rPr>
        <w:t>location. Long-lived assets are associated with the geographic regions based upon the location where the</w:t>
      </w:r>
    </w:p>
    <w:p>
      <w:pPr>
        <w:spacing w:after="0" w:line="2" w:lineRule="exact"/>
        <w:rPr>
          <w:sz w:val="20"/>
          <w:szCs w:val="20"/>
          <w:color w:val="auto"/>
        </w:rPr>
      </w:pPr>
    </w:p>
    <w:p>
      <w:pPr>
        <w:ind w:left="200" w:right="759"/>
        <w:spacing w:after="0" w:line="276" w:lineRule="auto"/>
        <w:rPr>
          <w:sz w:val="20"/>
          <w:szCs w:val="20"/>
          <w:color w:val="auto"/>
        </w:rPr>
      </w:pPr>
      <w:r>
        <w:rPr>
          <w:rFonts w:ascii="Arial" w:cs="Arial" w:eastAsia="Arial" w:hAnsi="Arial"/>
          <w:sz w:val="18"/>
          <w:szCs w:val="18"/>
          <w:color w:val="222222"/>
        </w:rPr>
        <w:t xml:space="preserve">asset resides. </w:t>
      </w:r>
      <w:r>
        <w:rPr>
          <w:rFonts w:ascii="Arial" w:cs="Arial" w:eastAsia="Arial" w:hAnsi="Arial"/>
          <w:sz w:val="18"/>
          <w:szCs w:val="18"/>
          <w:color w:val="000000"/>
        </w:rPr>
        <w:t>All revenue was derived from North America, with all service revenue coming from the</w:t>
      </w:r>
      <w:r>
        <w:rPr>
          <w:rFonts w:ascii="Arial" w:cs="Arial" w:eastAsia="Arial" w:hAnsi="Arial"/>
          <w:sz w:val="18"/>
          <w:szCs w:val="18"/>
          <w:color w:val="222222"/>
        </w:rPr>
        <w:t xml:space="preserve"> </w:t>
      </w:r>
      <w:r>
        <w:rPr>
          <w:rFonts w:ascii="Arial" w:cs="Arial" w:eastAsia="Arial" w:hAnsi="Arial"/>
          <w:sz w:val="18"/>
          <w:szCs w:val="18"/>
          <w:color w:val="000000"/>
        </w:rPr>
        <w:t>United States. Substantially all of our long-lived assets reside in the United States.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revenue from external customers disaggregated by major revenue source was as follows:</w:t>
      </w:r>
    </w:p>
    <w:p>
      <w:pPr>
        <w:spacing w:after="0" w:line="200" w:lineRule="exact"/>
        <w:rPr>
          <w:sz w:val="20"/>
          <w:szCs w:val="20"/>
          <w:color w:val="auto"/>
        </w:rPr>
      </w:pP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4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Category: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gridSpan w:val="9"/>
          </w:tcPr>
          <w:p>
            <w:pPr>
              <w:jc w:val="center"/>
              <w:ind w:right="42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9"/>
        </w:trPr>
        <w:tc>
          <w:tcPr>
            <w:tcW w:w="4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top w:val="single" w:sz="8" w:color="auto"/>
            </w:tcBorders>
            <w:gridSpan w:val="2"/>
          </w:tcPr>
          <w:p>
            <w:pPr>
              <w:jc w:val="center"/>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Pay-TV subscriber and related 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10,613,653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11,385,961</w:t>
            </w:r>
          </w:p>
        </w:tc>
        <w:tc>
          <w:tcPr>
            <w:tcW w:w="2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12,360,601</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Wireless services and related revenue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3,156,760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3,337,240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3,653,909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Pay-TV equipment sales and other revenue</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74,551</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185,198</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144,791</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Wireless equipment sales and other revenue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449,417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394,920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526,109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(6,003)</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14,292,658</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15,295,088</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16,679,407</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hanging="451"/>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allowance for credit losses as of December 31, 2024, 2023 and 2022 were as follows:</w:t>
      </w:r>
    </w:p>
    <w:p>
      <w:pPr>
        <w:spacing w:after="0" w:line="216"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Pay-TV</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Wireless</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69"/>
        </w:trPr>
        <w:tc>
          <w:tcPr>
            <w:tcW w:w="2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(In thousands)</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1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December 31, 2021</w:t>
            </w: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32,947</w:t>
            </w:r>
          </w:p>
        </w:tc>
        <w:tc>
          <w:tcPr>
            <w:tcW w:w="320" w:type="dxa"/>
            <w:vAlign w:val="bottom"/>
            <w:gridSpan w:val="2"/>
            <w:shd w:val="clear" w:color="auto" w:fill="CCEEFF"/>
          </w:tcPr>
          <w:p>
            <w:pPr>
              <w:jc w:val="right"/>
              <w:ind w:right="23"/>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5,587</w:t>
            </w:r>
          </w:p>
        </w:tc>
        <w:tc>
          <w:tcPr>
            <w:tcW w:w="400" w:type="dxa"/>
            <w:vAlign w:val="bottom"/>
            <w:gridSpan w:val="2"/>
            <w:shd w:val="clear" w:color="auto" w:fill="CCEEFF"/>
          </w:tcPr>
          <w:p>
            <w:pPr>
              <w:jc w:val="right"/>
              <w:ind w:right="84"/>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38,534</w:t>
            </w:r>
          </w:p>
        </w:tc>
      </w:tr>
      <w:tr>
        <w:trPr>
          <w:trHeight w:val="183"/>
        </w:trPr>
        <w:tc>
          <w:tcPr>
            <w:tcW w:w="20" w:type="dxa"/>
            <w:vAlign w:val="bottom"/>
          </w:tcPr>
          <w:p>
            <w:pPr>
              <w:spacing w:after="0"/>
              <w:rPr>
                <w:sz w:val="15"/>
                <w:szCs w:val="15"/>
                <w:color w:val="auto"/>
              </w:rPr>
            </w:pPr>
          </w:p>
        </w:tc>
        <w:tc>
          <w:tcPr>
            <w:tcW w:w="4140" w:type="dxa"/>
            <w:vAlign w:val="bottom"/>
          </w:tcPr>
          <w:p>
            <w:pPr>
              <w:spacing w:after="0" w:line="183" w:lineRule="exact"/>
              <w:rPr>
                <w:sz w:val="20"/>
                <w:szCs w:val="20"/>
                <w:color w:val="auto"/>
              </w:rPr>
            </w:pPr>
            <w:r>
              <w:rPr>
                <w:rFonts w:ascii="Arial" w:cs="Arial" w:eastAsia="Arial" w:hAnsi="Arial"/>
                <w:sz w:val="16"/>
                <w:szCs w:val="16"/>
                <w:color w:val="auto"/>
              </w:rPr>
              <w:t>Current period provision for expected credit losses</w:t>
            </w:r>
          </w:p>
        </w:tc>
        <w:tc>
          <w:tcPr>
            <w:tcW w:w="5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75,518</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4,146</w:t>
            </w: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79,664</w:t>
            </w: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Write-offs charged against allowance</w:t>
            </w: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(67,823)</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(73,845)</w:t>
            </w:r>
          </w:p>
        </w:tc>
      </w:tr>
      <w:tr>
        <w:trPr>
          <w:trHeight w:val="189"/>
        </w:trPr>
        <w:tc>
          <w:tcPr>
            <w:tcW w:w="20" w:type="dxa"/>
            <w:vAlign w:val="bottom"/>
          </w:tcPr>
          <w:p>
            <w:pPr>
              <w:spacing w:after="0"/>
              <w:rPr>
                <w:sz w:val="16"/>
                <w:szCs w:val="16"/>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Acquisitions</w:t>
            </w:r>
          </w:p>
        </w:tc>
        <w:tc>
          <w:tcPr>
            <w:tcW w:w="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183"/>
        </w:trPr>
        <w:tc>
          <w:tcPr>
            <w:tcW w:w="20" w:type="dxa"/>
            <w:vAlign w:val="bottom"/>
          </w:tcPr>
          <w:p>
            <w:pPr>
              <w:spacing w:after="0"/>
              <w:rPr>
                <w:sz w:val="15"/>
                <w:szCs w:val="15"/>
                <w:color w:val="auto"/>
              </w:rPr>
            </w:pPr>
          </w:p>
        </w:tc>
        <w:tc>
          <w:tcPr>
            <w:tcW w:w="41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December 31, 2022</w:t>
            </w:r>
          </w:p>
        </w:tc>
        <w:tc>
          <w:tcPr>
            <w:tcW w:w="5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40,642</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3,789</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44,431</w:t>
            </w:r>
          </w:p>
        </w:tc>
      </w:tr>
      <w:tr>
        <w:trPr>
          <w:trHeight w:val="183"/>
        </w:trPr>
        <w:tc>
          <w:tcPr>
            <w:tcW w:w="20" w:type="dxa"/>
            <w:vAlign w:val="bottom"/>
          </w:tcPr>
          <w:p>
            <w:pPr>
              <w:spacing w:after="0"/>
              <w:rPr>
                <w:sz w:val="15"/>
                <w:szCs w:val="15"/>
                <w:color w:val="auto"/>
              </w:rPr>
            </w:pPr>
          </w:p>
        </w:tc>
        <w:tc>
          <w:tcPr>
            <w:tcW w:w="4140" w:type="dxa"/>
            <w:vAlign w:val="bottom"/>
          </w:tcPr>
          <w:p>
            <w:pPr>
              <w:spacing w:after="0" w:line="183" w:lineRule="exact"/>
              <w:rPr>
                <w:sz w:val="20"/>
                <w:szCs w:val="20"/>
                <w:color w:val="auto"/>
              </w:rPr>
            </w:pPr>
            <w:r>
              <w:rPr>
                <w:rFonts w:ascii="Arial" w:cs="Arial" w:eastAsia="Arial" w:hAnsi="Arial"/>
                <w:sz w:val="16"/>
                <w:szCs w:val="16"/>
                <w:color w:val="auto"/>
              </w:rPr>
              <w:t>Current period provision for expected credit losses</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56,421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10,881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67,302</w:t>
            </w: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Write-offs charged against allowance</w:t>
            </w:r>
          </w:p>
        </w:tc>
        <w:tc>
          <w:tcPr>
            <w:tcW w:w="5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(61,743)</w:t>
            </w: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(57,742)</w:t>
            </w:r>
          </w:p>
        </w:tc>
      </w:tr>
      <w:tr>
        <w:trPr>
          <w:trHeight w:val="183"/>
        </w:trPr>
        <w:tc>
          <w:tcPr>
            <w:tcW w:w="20" w:type="dxa"/>
            <w:vAlign w:val="bottom"/>
          </w:tcPr>
          <w:p>
            <w:pPr>
              <w:spacing w:after="0"/>
              <w:rPr>
                <w:sz w:val="15"/>
                <w:szCs w:val="15"/>
                <w:color w:val="auto"/>
              </w:rPr>
            </w:pPr>
          </w:p>
        </w:tc>
        <w:tc>
          <w:tcPr>
            <w:tcW w:w="41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Balance, December 31, 2023</w:t>
            </w:r>
          </w:p>
        </w:tc>
        <w:tc>
          <w:tcPr>
            <w:tcW w:w="5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35,320</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18,671</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53,991</w:t>
            </w:r>
          </w:p>
        </w:tc>
      </w:tr>
      <w:tr>
        <w:trPr>
          <w:trHeight w:val="183"/>
        </w:trPr>
        <w:tc>
          <w:tcPr>
            <w:tcW w:w="20" w:type="dxa"/>
            <w:vAlign w:val="bottom"/>
          </w:tcPr>
          <w:p>
            <w:pPr>
              <w:spacing w:after="0"/>
              <w:rPr>
                <w:sz w:val="15"/>
                <w:szCs w:val="15"/>
                <w:color w:val="auto"/>
              </w:rPr>
            </w:pPr>
          </w:p>
        </w:tc>
        <w:tc>
          <w:tcPr>
            <w:tcW w:w="4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Current period provision for expected credit losses</w:t>
            </w: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56,729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24,989</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81,718</w:t>
            </w:r>
          </w:p>
        </w:tc>
      </w:tr>
      <w:tr>
        <w:trPr>
          <w:trHeight w:val="189"/>
        </w:trPr>
        <w:tc>
          <w:tcPr>
            <w:tcW w:w="20" w:type="dxa"/>
            <w:vAlign w:val="bottom"/>
          </w:tcPr>
          <w:p>
            <w:pPr>
              <w:spacing w:after="0"/>
              <w:rPr>
                <w:sz w:val="16"/>
                <w:szCs w:val="16"/>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Write-offs charged against allowance</w:t>
            </w:r>
          </w:p>
        </w:tc>
        <w:tc>
          <w:tcPr>
            <w:tcW w:w="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(49,474)</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(14,921)</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(64,395)</w:t>
            </w:r>
          </w:p>
        </w:tc>
      </w:tr>
      <w:tr>
        <w:trPr>
          <w:trHeight w:val="183"/>
        </w:trPr>
        <w:tc>
          <w:tcPr>
            <w:tcW w:w="20" w:type="dxa"/>
            <w:vAlign w:val="bottom"/>
          </w:tcPr>
          <w:p>
            <w:pPr>
              <w:spacing w:after="0"/>
              <w:rPr>
                <w:sz w:val="15"/>
                <w:szCs w:val="15"/>
                <w:color w:val="auto"/>
              </w:rPr>
            </w:pPr>
          </w:p>
        </w:tc>
        <w:tc>
          <w:tcPr>
            <w:tcW w:w="41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December 31, 2024</w:t>
            </w:r>
          </w:p>
        </w:tc>
        <w:tc>
          <w:tcPr>
            <w:tcW w:w="5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42,575</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28,739</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71,314</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7" w:name="page168"/>
    <w:bookmarkEnd w:id="16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239"/>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Consolidated Balance Sheets.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our contract liability balances: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As of December 31,</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(In thousands)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Contract liabilities</w:t>
            </w:r>
          </w:p>
        </w:tc>
        <w:tc>
          <w:tcPr>
            <w:tcW w:w="2740" w:type="dxa"/>
            <w:vAlign w:val="bottom"/>
            <w:gridSpan w:val="2"/>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160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566,118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586,867</w:t>
            </w:r>
          </w:p>
        </w:tc>
        <w:tc>
          <w:tcPr>
            <w:tcW w:w="100" w:type="dxa"/>
            <w:vAlign w:val="bottom"/>
            <w:shd w:val="clear" w:color="auto" w:fill="CCEEFF"/>
          </w:tcPr>
          <w:p>
            <w:pPr>
              <w:spacing w:after="0"/>
              <w:rPr>
                <w:sz w:val="16"/>
                <w:szCs w:val="16"/>
                <w:color w:val="auto"/>
              </w:rPr>
            </w:pPr>
          </w:p>
        </w:tc>
      </w:tr>
    </w:tbl>
    <w:p>
      <w:pPr>
        <w:spacing w:after="0" w:line="170" w:lineRule="exact"/>
        <w:rPr>
          <w:sz w:val="20"/>
          <w:szCs w:val="20"/>
          <w:color w:val="auto"/>
        </w:rPr>
      </w:pPr>
    </w:p>
    <w:p>
      <w:pPr>
        <w:ind w:left="200" w:right="639"/>
        <w:spacing w:after="0" w:line="271" w:lineRule="auto"/>
        <w:rPr>
          <w:sz w:val="20"/>
          <w:szCs w:val="20"/>
          <w:color w:val="auto"/>
        </w:rPr>
      </w:pPr>
      <w:r>
        <w:rPr>
          <w:rFonts w:ascii="Arial" w:cs="Arial" w:eastAsia="Arial" w:hAnsi="Arial"/>
          <w:sz w:val="18"/>
          <w:szCs w:val="18"/>
          <w:color w:val="auto"/>
        </w:rPr>
        <w:t>Our beginning of period contract liability recorded as customer contract revenue during 2024 was $563 million.</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Pay-TV and Wireless Segments</w:t>
      </w:r>
    </w:p>
    <w:p>
      <w:pPr>
        <w:spacing w:after="0" w:line="196" w:lineRule="exact"/>
        <w:rPr>
          <w:sz w:val="20"/>
          <w:szCs w:val="20"/>
          <w:color w:val="auto"/>
        </w:rPr>
      </w:pPr>
    </w:p>
    <w:p>
      <w:pPr>
        <w:jc w:val="both"/>
        <w:ind w:left="200" w:right="319"/>
        <w:spacing w:after="0" w:line="247"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00" w:lineRule="exact"/>
        <w:rPr>
          <w:sz w:val="20"/>
          <w:szCs w:val="20"/>
          <w:color w:val="auto"/>
        </w:rPr>
      </w:pP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219"/>
              <w:spacing w:after="0" w:line="169" w:lineRule="exact"/>
              <w:rPr>
                <w:sz w:val="20"/>
                <w:szCs w:val="20"/>
                <w:color w:val="auto"/>
              </w:rPr>
            </w:pPr>
            <w:r>
              <w:rPr>
                <w:rFonts w:ascii="Arial" w:cs="Arial" w:eastAsia="Arial" w:hAnsi="Arial"/>
                <w:sz w:val="16"/>
                <w:szCs w:val="16"/>
                <w:color w:val="auto"/>
                <w:w w:val="99"/>
              </w:rPr>
              <w:t>(In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beginning of period</w:t>
            </w:r>
          </w:p>
        </w:tc>
        <w:tc>
          <w:tcPr>
            <w:tcW w:w="100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287,276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381,401</w:t>
            </w: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304"/>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458,006</w:t>
            </w:r>
          </w:p>
        </w:tc>
        <w:tc>
          <w:tcPr>
            <w:tcW w:w="44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Arial" w:cs="Arial" w:eastAsia="Arial" w:hAnsi="Arial"/>
                <w:sz w:val="16"/>
                <w:szCs w:val="16"/>
                <w:color w:val="auto"/>
              </w:rPr>
              <w:t>Additions</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217,197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278,077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346,577</w:t>
            </w:r>
          </w:p>
        </w:tc>
        <w:tc>
          <w:tcPr>
            <w:tcW w:w="4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Amortization expense</w:t>
            </w:r>
          </w:p>
        </w:tc>
        <w:tc>
          <w:tcPr>
            <w:tcW w:w="6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(273,551)</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(372,202)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(423,182)</w:t>
            </w:r>
          </w:p>
        </w:tc>
        <w:tc>
          <w:tcPr>
            <w:tcW w:w="440" w:type="dxa"/>
            <w:vAlign w:val="bottom"/>
            <w:shd w:val="clear" w:color="auto" w:fill="CCEEFF"/>
          </w:tcPr>
          <w:p>
            <w:pPr>
              <w:spacing w:after="0"/>
              <w:rPr>
                <w:sz w:val="16"/>
                <w:szCs w:val="16"/>
                <w:color w:val="auto"/>
              </w:rPr>
            </w:pPr>
          </w:p>
        </w:tc>
      </w:tr>
      <w:tr>
        <w:trPr>
          <w:trHeight w:val="183"/>
        </w:trPr>
        <w:tc>
          <w:tcPr>
            <w:tcW w:w="292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Balance, end of period</w:t>
            </w:r>
          </w:p>
        </w:tc>
        <w:tc>
          <w:tcPr>
            <w:tcW w:w="680" w:type="dxa"/>
            <w:vAlign w:val="bottom"/>
          </w:tcPr>
          <w:p>
            <w:pPr>
              <w:spacing w:after="0"/>
              <w:rPr>
                <w:sz w:val="15"/>
                <w:szCs w:val="15"/>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230,922</w:t>
            </w:r>
          </w:p>
        </w:tc>
        <w:tc>
          <w:tcPr>
            <w:tcW w:w="2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287,276</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381,401</w:t>
            </w:r>
          </w:p>
        </w:tc>
        <w:tc>
          <w:tcPr>
            <w:tcW w:w="4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60" w:hanging="451"/>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 with EchoStar, our Parent.</w:t>
      </w:r>
    </w:p>
    <w:p>
      <w:pPr>
        <w:spacing w:after="0" w:line="198" w:lineRule="exact"/>
        <w:rPr>
          <w:sz w:val="20"/>
          <w:szCs w:val="20"/>
          <w:color w:val="auto"/>
        </w:rPr>
      </w:pPr>
    </w:p>
    <w:p>
      <w:pPr>
        <w:ind w:left="200" w:right="439"/>
        <w:spacing w:after="0" w:line="259" w:lineRule="auto"/>
        <w:rPr>
          <w:sz w:val="20"/>
          <w:szCs w:val="20"/>
          <w:color w:val="auto"/>
        </w:rPr>
      </w:pPr>
      <w:r>
        <w:rPr>
          <w:rFonts w:ascii="Arial" w:cs="Arial" w:eastAsia="Arial" w:hAnsi="Arial"/>
          <w:sz w:val="17"/>
          <w:szCs w:val="17"/>
          <w:color w:val="auto"/>
        </w:rPr>
        <w:t>On January 1, 2008, DISH Network completed the distribution of its technology and set-top box business and certain infrastructure assets (the “Spin-off”) into a separate publicly-traded company, EchoStar. Following the Spin-off, DISH Network and EchoStar operated as separate publicly-traded companies until the Merger on December 31, 2023. See Note 1 for more information. After the Spin-off and prior to the Merger, we and EchoStar entered into certain agreements pursuant to which we obtain certain products, services and rights from EchoStar and EchoStar obtains certain products, services and rights from us.</w:t>
      </w:r>
    </w:p>
    <w:p>
      <w:pPr>
        <w:spacing w:after="0" w:line="152"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On February 28, 2017, we and EchoStar and certain of our respective subsidiaries completed a transaction (the “Share Exchange Agreement”) pursuant to which certain assets that were transferred to EchoStar in the Spin-off were transferred back to us. On September 10, 2019, we and EchoStar and certain of our respective subsidiaries completed the transactions contemplated by the Master Transaction Agreement (the “Master Transaction Agreement”) pursuant to which certain assets that were transferred to EchoStar in the Spin-off were transferred back to us. On December 31, 2023, EchoStar completed the acquisition of DISH Network.</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8" w:name="page169"/>
    <w:bookmarkEnd w:id="16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9" w:lineRule="exact"/>
        <w:rPr>
          <w:sz w:val="20"/>
          <w:szCs w:val="20"/>
          <w:color w:val="auto"/>
        </w:rPr>
      </w:pPr>
    </w:p>
    <w:p>
      <w:pPr>
        <w:ind w:left="200" w:right="699"/>
        <w:spacing w:after="0" w:line="271" w:lineRule="auto"/>
        <w:rPr>
          <w:sz w:val="20"/>
          <w:szCs w:val="20"/>
          <w:color w:val="auto"/>
        </w:rPr>
      </w:pPr>
      <w:r>
        <w:rPr>
          <w:rFonts w:ascii="Arial" w:cs="Arial" w:eastAsia="Arial" w:hAnsi="Arial"/>
          <w:sz w:val="18"/>
          <w:szCs w:val="18"/>
          <w:color w:val="auto"/>
        </w:rPr>
        <w:t>The following is a summary of the terms of our principal agreements with EchoStar, our parent, and its subsidiaries, that may have an impact on our financial condition and results of operations.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96" w:lineRule="exact"/>
        <w:rPr>
          <w:sz w:val="20"/>
          <w:szCs w:val="20"/>
          <w:color w:val="auto"/>
        </w:rPr>
      </w:pPr>
    </w:p>
    <w:p>
      <w:pPr>
        <w:jc w:val="both"/>
        <w:ind w:left="200" w:right="599"/>
        <w:spacing w:after="0" w:line="253" w:lineRule="auto"/>
        <w:rPr>
          <w:sz w:val="20"/>
          <w:szCs w:val="20"/>
          <w:color w:val="auto"/>
        </w:rPr>
      </w:pPr>
      <w:r>
        <w:rPr>
          <w:rFonts w:ascii="Arial" w:cs="Arial" w:eastAsia="Arial" w:hAnsi="Arial"/>
          <w:sz w:val="18"/>
          <w:szCs w:val="18"/>
          <w:color w:val="auto"/>
        </w:rPr>
        <w:t>As of December 31, 2024 and 2023, trade accounts receivable from EchoStar was zero and $4 million, respectively. These amounts are recorded in “Trade accounts receivable” on our Consolidated Balance Sheets.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“Trade accounts payable”</w:t>
      </w:r>
    </w:p>
    <w:p>
      <w:pPr>
        <w:spacing w:after="0" w:line="196" w:lineRule="exact"/>
        <w:rPr>
          <w:sz w:val="20"/>
          <w:szCs w:val="20"/>
          <w:color w:val="auto"/>
        </w:rPr>
      </w:pPr>
    </w:p>
    <w:p>
      <w:pPr>
        <w:ind w:left="200" w:right="419"/>
        <w:spacing w:after="0" w:line="253" w:lineRule="auto"/>
        <w:rPr>
          <w:sz w:val="20"/>
          <w:szCs w:val="20"/>
          <w:color w:val="auto"/>
        </w:rPr>
      </w:pPr>
      <w:r>
        <w:rPr>
          <w:rFonts w:ascii="Arial" w:cs="Arial" w:eastAsia="Arial" w:hAnsi="Arial"/>
          <w:sz w:val="18"/>
          <w:szCs w:val="18"/>
          <w:color w:val="auto"/>
        </w:rPr>
        <w:t>As of December 31, 2024 and 2023, trade accounts payable to EchoStar was $53 million and $13 million, respectively. These amounts are recorded in “Trade accounts payable” on our Consolidated Balance Sheets.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96" w:lineRule="exact"/>
        <w:rPr>
          <w:sz w:val="20"/>
          <w:szCs w:val="20"/>
          <w:color w:val="auto"/>
        </w:rPr>
      </w:pPr>
    </w:p>
    <w:p>
      <w:pPr>
        <w:ind w:left="200" w:right="399"/>
        <w:spacing w:after="0" w:line="247" w:lineRule="auto"/>
        <w:rPr>
          <w:sz w:val="20"/>
          <w:szCs w:val="20"/>
          <w:color w:val="auto"/>
        </w:rPr>
      </w:pPr>
      <w:r>
        <w:rPr>
          <w:rFonts w:ascii="Arial" w:cs="Arial" w:eastAsia="Arial" w:hAnsi="Arial"/>
          <w:sz w:val="18"/>
          <w:szCs w:val="18"/>
          <w:color w:val="auto"/>
        </w:rPr>
        <w:t>During the years ended December 31, 2024, 2023 and 2022, we received $ 5 million, $5 million and $4 million, respectively, for services provided to EchoStar. These amounts are recorded in “Service revenue” on our Consolidated Statements of Operations and Comprehensive Income (Loss). The primary agreements pertaining to these revenues are discussed below.</w:t>
      </w:r>
    </w:p>
    <w:p>
      <w:pPr>
        <w:spacing w:after="0" w:line="160" w:lineRule="exact"/>
        <w:rPr>
          <w:sz w:val="20"/>
          <w:szCs w:val="20"/>
          <w:color w:val="auto"/>
        </w:rPr>
      </w:pPr>
    </w:p>
    <w:p>
      <w:pPr>
        <w:ind w:left="200" w:right="319"/>
        <w:spacing w:after="0" w:line="238" w:lineRule="auto"/>
        <w:rPr>
          <w:sz w:val="20"/>
          <w:szCs w:val="20"/>
          <w:color w:val="auto"/>
        </w:rPr>
      </w:pPr>
      <w:r>
        <w:rPr>
          <w:rFonts w:ascii="Arial" w:cs="Arial" w:eastAsia="Arial" w:hAnsi="Arial"/>
          <w:sz w:val="18"/>
          <w:szCs w:val="18"/>
          <w:i w:val="1"/>
          <w:iCs w:val="1"/>
          <w:color w:val="auto"/>
        </w:rPr>
        <w:t>TT&amp;C Agreement – Master Transaction Agreement</w:t>
      </w:r>
      <w:r>
        <w:rPr>
          <w:rFonts w:ascii="Arial" w:cs="Arial" w:eastAsia="Arial" w:hAnsi="Arial"/>
          <w:sz w:val="18"/>
          <w:szCs w:val="18"/>
          <w:color w:val="auto"/>
        </w:rPr>
        <w:t>. In September 2019, we entered into an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provide TT&amp;C services to EchoStar for a period ending in September 2021, with the option for EchoStar to renew for a one-year period upon written notice at least 90 days prior to the initial expiration (the “MTA TT&amp;C Agreement”). The fees for services provided under the MTA TT&amp;C Agreement are calculated at either: (i) a fixed fee or (ii) cost plus a fixed margin, which will vary depending on the nature of the services provided. Either party is able to terminate the MTA TT&amp;C Agreement for any reason upon 12 months’ notice. In September 2021, we amended the MTA TT&amp;C Agreement to extend the term until September 2022 and added the option for EchoStar to renew for three one-year renewal terms. In August 2022, EchoStar exercised its first renewal option for a period ending in September 2023. In September 2023, EchoStar exercised its second renewal option for a period ending in September 2024. In September 2024, EchoStar exercised its third renewal option for a period ending in September 2025.</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“Equipment sales and other revenue”</w:t>
      </w:r>
    </w:p>
    <w:p>
      <w:pPr>
        <w:spacing w:after="0" w:line="196" w:lineRule="exact"/>
        <w:rPr>
          <w:sz w:val="20"/>
          <w:szCs w:val="20"/>
          <w:color w:val="auto"/>
        </w:rPr>
      </w:pPr>
    </w:p>
    <w:p>
      <w:pPr>
        <w:ind w:left="200" w:right="219"/>
        <w:spacing w:after="0" w:line="247" w:lineRule="auto"/>
        <w:rPr>
          <w:sz w:val="20"/>
          <w:szCs w:val="20"/>
          <w:color w:val="auto"/>
        </w:rPr>
      </w:pPr>
      <w:r>
        <w:rPr>
          <w:rFonts w:ascii="Arial" w:cs="Arial" w:eastAsia="Arial" w:hAnsi="Arial"/>
          <w:sz w:val="18"/>
          <w:szCs w:val="18"/>
          <w:color w:val="auto"/>
        </w:rPr>
        <w:t>During the years ended December 31, 2024, 2023 and 2022, we received $ 4 million, $3 million and $2 million, respectively, for services provided to EchoStar. These amounts are recorded in “Equipment sales and other revenue” on our Consolidated Statements of Operations and Comprehensive Income (Loss). The primary agreements pertaining to these revenues are discussed below.</w:t>
      </w:r>
    </w:p>
    <w:p>
      <w:pPr>
        <w:spacing w:after="0" w:line="160" w:lineRule="exact"/>
        <w:rPr>
          <w:sz w:val="20"/>
          <w:szCs w:val="20"/>
          <w:color w:val="auto"/>
        </w:rPr>
      </w:pPr>
    </w:p>
    <w:p>
      <w:pPr>
        <w:ind w:left="200" w:right="299"/>
        <w:spacing w:after="0" w:line="244"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We have entered into lease agreements pursuant to which we lease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real estate to EchoStar. The rent on a per square foot basis for each of the leases is comparable to per square foot rental rates of similar commercial property in the same geographic areas, and EchoStar is responsible for its portion of the taxes, insurance, utilities and maintenance of the premises. The term of each lease is set forth below:</w:t>
      </w:r>
    </w:p>
    <w:p>
      <w:pPr>
        <w:spacing w:after="0" w:line="163" w:lineRule="exact"/>
        <w:rPr>
          <w:sz w:val="20"/>
          <w:szCs w:val="20"/>
          <w:color w:val="auto"/>
        </w:rPr>
      </w:pPr>
    </w:p>
    <w:p>
      <w:pPr>
        <w:ind w:left="880" w:right="299" w:hanging="320"/>
        <w:spacing w:after="0" w:line="246" w:lineRule="auto"/>
        <w:tabs>
          <w:tab w:leader="none" w:pos="88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El Paso Lease Agreement. </w:t>
      </w:r>
      <w:r>
        <w:rPr>
          <w:rFonts w:ascii="Arial" w:cs="Arial" w:eastAsia="Arial" w:hAnsi="Arial"/>
          <w:sz w:val="18"/>
          <w:szCs w:val="18"/>
          <w:color w:val="auto"/>
        </w:rPr>
        <w:t>During 2012, we began leasing certain space at 1285 Joe Battle Blvd.,</w:t>
      </w:r>
      <w:r>
        <w:rPr>
          <w:rFonts w:ascii="Arial" w:cs="Arial" w:eastAsia="Arial" w:hAnsi="Arial"/>
          <w:sz w:val="18"/>
          <w:szCs w:val="18"/>
          <w:i w:val="1"/>
          <w:iCs w:val="1"/>
          <w:color w:val="auto"/>
        </w:rPr>
        <w:t xml:space="preserve"> </w:t>
      </w:r>
      <w:r>
        <w:rPr>
          <w:rFonts w:ascii="Arial" w:cs="Arial" w:eastAsia="Arial" w:hAnsi="Arial"/>
          <w:sz w:val="18"/>
          <w:szCs w:val="18"/>
          <w:color w:val="auto"/>
        </w:rPr>
        <w:t>El Paso, Texas to EchoStar for an initial period ending on August 1, 2015, which also provides EchoStar with renewal options for four consecutive three-year terms. EchoStar exercised its renewal option for a period ending in July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9" w:name="page170"/>
    <w:bookmarkEnd w:id="16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jc w:val="both"/>
        <w:ind w:left="880" w:right="359" w:hanging="320"/>
        <w:spacing w:after="0" w:line="252" w:lineRule="auto"/>
        <w:tabs>
          <w:tab w:leader="none" w:pos="88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90 Inverness Lease Agreement</w:t>
      </w:r>
      <w:r>
        <w:rPr>
          <w:rFonts w:ascii="Arial" w:cs="Arial" w:eastAsia="Arial" w:hAnsi="Arial"/>
          <w:sz w:val="18"/>
          <w:szCs w:val="18"/>
          <w:color w:val="auto"/>
        </w:rPr>
        <w:t>. Effective March 1, 2017, EchoStar leases certain space from us</w:t>
      </w:r>
      <w:r>
        <w:rPr>
          <w:rFonts w:ascii="Arial" w:cs="Arial" w:eastAsia="Arial" w:hAnsi="Arial"/>
          <w:sz w:val="18"/>
          <w:szCs w:val="18"/>
          <w:i w:val="1"/>
          <w:iCs w:val="1"/>
          <w:color w:val="auto"/>
        </w:rPr>
        <w:t xml:space="preserve"> </w:t>
      </w:r>
      <w:r>
        <w:rPr>
          <w:rFonts w:ascii="Arial" w:cs="Arial" w:eastAsia="Arial" w:hAnsi="Arial"/>
          <w:sz w:val="18"/>
          <w:szCs w:val="18"/>
          <w:color w:val="auto"/>
        </w:rPr>
        <w:t>at 90 Inverness Circle East, Englewood, Colorado with an initial term that ended in February 2022 and renewal options for four consecutive three-year terms ending in February 2034.</w:t>
      </w:r>
    </w:p>
    <w:p>
      <w:pPr>
        <w:spacing w:after="0" w:line="157" w:lineRule="exact"/>
        <w:rPr>
          <w:rFonts w:ascii="Times New Roman" w:cs="Times New Roman" w:eastAsia="Times New Roman" w:hAnsi="Times New Roman"/>
          <w:sz w:val="18"/>
          <w:szCs w:val="18"/>
          <w:color w:val="auto"/>
        </w:rPr>
      </w:pPr>
    </w:p>
    <w:p>
      <w:pPr>
        <w:ind w:left="880" w:right="259" w:hanging="320"/>
        <w:spacing w:after="0" w:line="239" w:lineRule="auto"/>
        <w:tabs>
          <w:tab w:leader="none" w:pos="88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Cheyenne Lease Agreement</w:t>
      </w:r>
      <w:r>
        <w:rPr>
          <w:rFonts w:ascii="Arial" w:cs="Arial" w:eastAsia="Arial" w:hAnsi="Arial"/>
          <w:sz w:val="18"/>
          <w:szCs w:val="18"/>
          <w:color w:val="auto"/>
        </w:rPr>
        <w:t>. Effective March 1, 2017, EchoStar began leasing certain space from</w:t>
      </w:r>
      <w:r>
        <w:rPr>
          <w:rFonts w:ascii="Arial" w:cs="Arial" w:eastAsia="Arial" w:hAnsi="Arial"/>
          <w:sz w:val="18"/>
          <w:szCs w:val="18"/>
          <w:i w:val="1"/>
          <w:iCs w:val="1"/>
          <w:color w:val="auto"/>
        </w:rPr>
        <w:t xml:space="preserve"> </w:t>
      </w:r>
      <w:r>
        <w:rPr>
          <w:rFonts w:ascii="Arial" w:cs="Arial" w:eastAsia="Arial" w:hAnsi="Arial"/>
          <w:sz w:val="18"/>
          <w:szCs w:val="18"/>
          <w:color w:val="auto"/>
        </w:rPr>
        <w:t>us at 530 EchoStar Drive, Cheyenne, Wyoming for a period ending in February 2019. In August 2018, EchoStar exercised its option to renew this lease for a one-year period ending in February 2020. EchoStar has the option to renew this lease for 12 one-year periods. During September 2019, we and EchoStar amended this lease to provide EchoStar with certain space for a period ending in September 2023, with the option for EchoStar to renew for a one-year period upon 180 days’ written notice prior to the end of the term. This lease was not renewed and terminated in September 2023.</w:t>
      </w:r>
    </w:p>
    <w:p>
      <w:pPr>
        <w:spacing w:after="0" w:line="173" w:lineRule="exact"/>
        <w:rPr>
          <w:sz w:val="20"/>
          <w:szCs w:val="20"/>
          <w:color w:val="auto"/>
        </w:rPr>
      </w:pPr>
    </w:p>
    <w:p>
      <w:pPr>
        <w:ind w:left="200" w:right="539"/>
        <w:spacing w:after="0" w:line="244" w:lineRule="auto"/>
        <w:rPr>
          <w:sz w:val="20"/>
          <w:szCs w:val="20"/>
          <w:color w:val="auto"/>
        </w:rPr>
      </w:pPr>
      <w:r>
        <w:rPr>
          <w:rFonts w:ascii="Arial" w:cs="Arial" w:eastAsia="Arial" w:hAnsi="Arial"/>
          <w:sz w:val="18"/>
          <w:szCs w:val="18"/>
          <w:i w:val="1"/>
          <w:iCs w:val="1"/>
          <w:color w:val="auto"/>
        </w:rPr>
        <w:t xml:space="preserve">Whidbey Island 5G Network Test Bed Subcontract. </w:t>
      </w:r>
      <w:r>
        <w:rPr>
          <w:rFonts w:ascii="Arial" w:cs="Arial" w:eastAsia="Arial" w:hAnsi="Arial"/>
          <w:sz w:val="18"/>
          <w:szCs w:val="18"/>
          <w:color w:val="auto"/>
        </w:rPr>
        <w:t>In June 2022, we entered into certain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provide EchoStar access and use of a lab, technical support and integration, and testing support for the 5G network test bed to be delivered by HNS to its customer. In addition, EchoStar leases certain wireless spectrum, construction and related services. EchoStar may terminate this agreement at any time by providing written notice to us.</w:t>
      </w:r>
    </w:p>
    <w:p>
      <w:pPr>
        <w:spacing w:after="0" w:line="163" w:lineRule="exact"/>
        <w:rPr>
          <w:sz w:val="20"/>
          <w:szCs w:val="20"/>
          <w:color w:val="auto"/>
        </w:rPr>
      </w:pPr>
    </w:p>
    <w:p>
      <w:pPr>
        <w:ind w:left="200" w:right="299"/>
        <w:spacing w:after="0" w:line="236" w:lineRule="auto"/>
        <w:rPr>
          <w:sz w:val="20"/>
          <w:szCs w:val="20"/>
          <w:color w:val="auto"/>
        </w:rPr>
      </w:pPr>
      <w:r>
        <w:rPr>
          <w:rFonts w:ascii="Arial" w:cs="Arial" w:eastAsia="Arial" w:hAnsi="Arial"/>
          <w:sz w:val="18"/>
          <w:szCs w:val="18"/>
          <w:i w:val="1"/>
          <w:iCs w:val="1"/>
          <w:color w:val="auto"/>
        </w:rPr>
        <w:t>Collocation and Antenna Space Agreements</w:t>
      </w:r>
      <w:r>
        <w:rPr>
          <w:rFonts w:ascii="Arial" w:cs="Arial" w:eastAsia="Arial" w:hAnsi="Arial"/>
          <w:sz w:val="18"/>
          <w:szCs w:val="18"/>
          <w:color w:val="auto"/>
        </w:rPr>
        <w:t>. Effective March 1, 2017, we entered into certain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provide certain collocation and antenna space to HNS with an initial term that ended in February 2022 and renewal options for four consecutive three-year terms ending in February 2034 at the following locations: Cheyenne, Wyoming; Gilbert, Arizona; Monee, Illinois; Englewood, Colorado; and Spokane, Washington. During August 2017, we entered into certain other agreements pursuant to which we provide certain collocation and antenna space to HNS through August 2022 at the following locations: Monee, Illinois and Spokane, Washington. In May 2022, HNS exercised its renewal option for a period ending in August 2025. In January 2022, we entered into an agreement pursuant to which we provide additional collocation and antenna space to HNS in Englewood, Colorado through December 2026. In March 2024, HNS provided a termination notice for the Spokane, Washington agreement, effective</w:t>
      </w:r>
    </w:p>
    <w:p>
      <w:pPr>
        <w:spacing w:after="0" w:line="8"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April 2024. Generally, HNS has the option to renew each of these agreements for three-year periods. HNS may terminate certain of these agreements with 180 days’ prior written notice to us. The fees for the services provided under these agreements depend, among other things, on the number of racks leased and/or antennas present at the location.</w:t>
      </w:r>
    </w:p>
    <w:p>
      <w:pPr>
        <w:spacing w:after="0" w:line="167" w:lineRule="exact"/>
        <w:rPr>
          <w:sz w:val="20"/>
          <w:szCs w:val="20"/>
          <w:color w:val="auto"/>
        </w:rPr>
      </w:pPr>
    </w:p>
    <w:p>
      <w:pPr>
        <w:ind w:left="200" w:right="239"/>
        <w:spacing w:after="0" w:line="247" w:lineRule="auto"/>
        <w:rPr>
          <w:sz w:val="20"/>
          <w:szCs w:val="20"/>
          <w:color w:val="auto"/>
        </w:rPr>
      </w:pPr>
      <w:r>
        <w:rPr>
          <w:rFonts w:ascii="Arial" w:cs="Arial" w:eastAsia="Arial" w:hAnsi="Arial"/>
          <w:sz w:val="18"/>
          <w:szCs w:val="18"/>
          <w:color w:val="auto"/>
        </w:rPr>
        <w:t>Also in September 2019, we entered into an agreement pursuant to which we provide HNS with antenna space and power in Cheyenne, Wyoming for a period of five years commencing no later than October 2020, with four three-year renewal terms, with prior written notice no more than 120 days but no less than 90 days prior to the end of the then-current term.</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6" w:lineRule="exact"/>
        <w:rPr>
          <w:sz w:val="20"/>
          <w:szCs w:val="20"/>
          <w:color w:val="auto"/>
        </w:rPr>
      </w:pPr>
    </w:p>
    <w:p>
      <w:pPr>
        <w:ind w:left="200" w:right="239"/>
        <w:spacing w:after="0" w:line="247" w:lineRule="auto"/>
        <w:rPr>
          <w:sz w:val="20"/>
          <w:szCs w:val="20"/>
          <w:color w:val="auto"/>
        </w:rPr>
      </w:pPr>
      <w:r>
        <w:rPr>
          <w:rFonts w:ascii="Arial" w:cs="Arial" w:eastAsia="Arial" w:hAnsi="Arial"/>
          <w:sz w:val="18"/>
          <w:szCs w:val="18"/>
          <w:color w:val="auto"/>
        </w:rPr>
        <w:t>During the years ended December 31, 2024, 2023 and 2022, we incurred $4 million, $ 8 million and $12 million, respectively, of costs for services provided to us by EchoStar. These amounts are recorded in “Cost of services” on our Consolidated Statements of Operations and Comprehensive Income (Loss). The primary agreements pertaining to these expenses are discussed below.</w:t>
      </w:r>
    </w:p>
    <w:p>
      <w:pPr>
        <w:spacing w:after="0" w:line="160" w:lineRule="exact"/>
        <w:rPr>
          <w:sz w:val="20"/>
          <w:szCs w:val="20"/>
          <w:color w:val="auto"/>
        </w:rPr>
      </w:pPr>
    </w:p>
    <w:p>
      <w:pPr>
        <w:ind w:left="200" w:right="239"/>
        <w:spacing w:after="0" w:line="239" w:lineRule="auto"/>
        <w:rPr>
          <w:sz w:val="20"/>
          <w:szCs w:val="20"/>
          <w:color w:val="auto"/>
        </w:rPr>
      </w:pPr>
      <w:r>
        <w:rPr>
          <w:rFonts w:ascii="Arial" w:cs="Arial" w:eastAsia="Arial" w:hAnsi="Arial"/>
          <w:sz w:val="18"/>
          <w:szCs w:val="18"/>
          <w:i w:val="1"/>
          <w:iCs w:val="1"/>
          <w:color w:val="auto"/>
        </w:rPr>
        <w:t>Spectrum Manager Lease Agreement</w:t>
      </w:r>
      <w:r>
        <w:rPr>
          <w:rFonts w:ascii="Arial" w:cs="Arial" w:eastAsia="Arial" w:hAnsi="Arial"/>
          <w:sz w:val="18"/>
          <w:szCs w:val="18"/>
          <w:color w:val="auto"/>
        </w:rPr>
        <w:t>. Effective January 10, 2024, we and EchoStar, on behalf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wholly-owned subsidiaries, entered into the Spectrum Manager Lease Agreement pursuant to which we have the right to lease the wireless spectrum licenses AWS-4, H-Block, CBRS (3550-3650 MHz), C-Band– Cheyenne (3.7-3.98 GHz), 12GHz (MVDDS), LMDS, 24 GHz, 28 GHz, 37GHz, 39GHz and 47GHz, and 700 MHz for a nominal fee. Under the applicable accounting guidance in Accounting Standards Codification 842, </w:t>
      </w:r>
      <w:r>
        <w:rPr>
          <w:rFonts w:ascii="Arial" w:cs="Arial" w:eastAsia="Arial" w:hAnsi="Arial"/>
          <w:sz w:val="18"/>
          <w:szCs w:val="18"/>
          <w:i w:val="1"/>
          <w:iCs w:val="1"/>
          <w:color w:val="auto"/>
        </w:rPr>
        <w:t>Leases (“ASC 842”)</w:t>
      </w:r>
      <w:r>
        <w:rPr>
          <w:rFonts w:ascii="Arial" w:cs="Arial" w:eastAsia="Arial" w:hAnsi="Arial"/>
          <w:sz w:val="18"/>
          <w:szCs w:val="18"/>
          <w:color w:val="auto"/>
        </w:rPr>
        <w:t>, these wireless spectrum licenses are intangible assets, and therefore excluded from the scope of ASC 842 and are not reflected on our Consolidated Balance Sheets as right-of-use assets and lease liabilities. We have the right to use the wireless spectrum licenses for as long as EchoStar holds the licenses, subject to certain termination provisions.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70" w:name="page171"/>
    <w:bookmarkEnd w:id="17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5" w:lineRule="exact"/>
        <w:rPr>
          <w:sz w:val="20"/>
          <w:szCs w:val="20"/>
          <w:color w:val="auto"/>
        </w:rPr>
      </w:pPr>
    </w:p>
    <w:p>
      <w:pPr>
        <w:ind w:left="200" w:right="259"/>
        <w:spacing w:after="0" w:line="237" w:lineRule="auto"/>
        <w:rPr>
          <w:sz w:val="20"/>
          <w:szCs w:val="20"/>
          <w:color w:val="auto"/>
        </w:rPr>
      </w:pPr>
      <w:r>
        <w:rPr>
          <w:rFonts w:ascii="Arial" w:cs="Arial" w:eastAsia="Arial" w:hAnsi="Arial"/>
          <w:sz w:val="18"/>
          <w:szCs w:val="18"/>
          <w:i w:val="1"/>
          <w:iCs w:val="1"/>
          <w:color w:val="auto"/>
        </w:rPr>
        <w:t>Hughes Broadband Distribution Agreement</w:t>
      </w:r>
      <w:r>
        <w:rPr>
          <w:rFonts w:ascii="Arial" w:cs="Arial" w:eastAsia="Arial" w:hAnsi="Arial"/>
          <w:sz w:val="18"/>
          <w:szCs w:val="18"/>
          <w:color w:val="auto"/>
        </w:rPr>
        <w:t>. Effective October 1, 2012, dishNET Satellite Broadband L.L.C.</w:t>
      </w:r>
      <w:r>
        <w:rPr>
          <w:rFonts w:ascii="Arial" w:cs="Arial" w:eastAsia="Arial" w:hAnsi="Arial"/>
          <w:sz w:val="18"/>
          <w:szCs w:val="18"/>
          <w:i w:val="1"/>
          <w:iCs w:val="1"/>
          <w:color w:val="auto"/>
        </w:rPr>
        <w:t xml:space="preserve"> </w:t>
      </w:r>
      <w:r>
        <w:rPr>
          <w:rFonts w:ascii="Arial" w:cs="Arial" w:eastAsia="Arial" w:hAnsi="Arial"/>
          <w:sz w:val="18"/>
          <w:szCs w:val="18"/>
          <w:color w:val="auto"/>
        </w:rPr>
        <w:t>(“dishNET Satellite Broadband”), our indirect wholly-owned subsidiary, and HNS entered into a Distribution</w:t>
      </w:r>
    </w:p>
    <w:p>
      <w:pPr>
        <w:ind w:left="200"/>
        <w:spacing w:after="0" w:line="235" w:lineRule="auto"/>
        <w:rPr>
          <w:sz w:val="20"/>
          <w:szCs w:val="20"/>
          <w:color w:val="auto"/>
        </w:rPr>
      </w:pPr>
      <w:r>
        <w:rPr>
          <w:rFonts w:ascii="Arial" w:cs="Arial" w:eastAsia="Arial" w:hAnsi="Arial"/>
          <w:sz w:val="18"/>
          <w:szCs w:val="18"/>
          <w:color w:val="auto"/>
        </w:rPr>
        <w:t>Agreement (the “Distribution Agreement”) pursuant to which dishNET Satellite Broadband has the right, but</w:t>
      </w:r>
    </w:p>
    <w:p>
      <w:pPr>
        <w:spacing w:after="0" w:line="1" w:lineRule="exact"/>
        <w:rPr>
          <w:sz w:val="20"/>
          <w:szCs w:val="20"/>
          <w:color w:val="auto"/>
        </w:rPr>
      </w:pPr>
    </w:p>
    <w:p>
      <w:pPr>
        <w:ind w:left="200" w:right="379"/>
        <w:spacing w:after="0" w:line="226" w:lineRule="auto"/>
        <w:rPr>
          <w:sz w:val="20"/>
          <w:szCs w:val="20"/>
          <w:color w:val="auto"/>
        </w:rPr>
      </w:pPr>
      <w:r>
        <w:rPr>
          <w:rFonts w:ascii="Arial" w:cs="Arial" w:eastAsia="Arial" w:hAnsi="Arial"/>
          <w:sz w:val="18"/>
          <w:szCs w:val="18"/>
          <w:color w:val="auto"/>
        </w:rPr>
        <w:t>not the obligation, to market, sell and distribute the HNS satellite Internet service (the “Service”). dishNET Satellite Broadband pays HNS a monthly per subscriber wholesale service fee for the Service based upon</w:t>
      </w:r>
    </w:p>
    <w:p>
      <w:pPr>
        <w:ind w:left="200"/>
        <w:spacing w:after="0" w:line="236" w:lineRule="auto"/>
        <w:rPr>
          <w:sz w:val="20"/>
          <w:szCs w:val="20"/>
          <w:color w:val="auto"/>
        </w:rPr>
      </w:pPr>
      <w:r>
        <w:rPr>
          <w:rFonts w:ascii="Arial" w:cs="Arial" w:eastAsia="Arial" w:hAnsi="Arial"/>
          <w:sz w:val="18"/>
          <w:szCs w:val="18"/>
          <w:color w:val="auto"/>
        </w:rPr>
        <w:t>the subscriber’s service level, and, beginning January 1, 2014, certain volume subscription thresholds. The</w:t>
      </w:r>
    </w:p>
    <w:p>
      <w:pPr>
        <w:spacing w:after="0" w:line="1" w:lineRule="exact"/>
        <w:rPr>
          <w:sz w:val="20"/>
          <w:szCs w:val="20"/>
          <w:color w:val="auto"/>
        </w:rPr>
      </w:pPr>
    </w:p>
    <w:p>
      <w:pPr>
        <w:jc w:val="both"/>
        <w:ind w:left="200" w:right="299"/>
        <w:spacing w:after="0" w:line="226" w:lineRule="auto"/>
        <w:rPr>
          <w:sz w:val="20"/>
          <w:szCs w:val="20"/>
          <w:color w:val="auto"/>
        </w:rPr>
      </w:pPr>
      <w:r>
        <w:rPr>
          <w:rFonts w:ascii="Arial" w:cs="Arial" w:eastAsia="Arial" w:hAnsi="Arial"/>
          <w:sz w:val="18"/>
          <w:szCs w:val="18"/>
          <w:color w:val="auto"/>
        </w:rPr>
        <w:t>Distribution Agreement also provides that dishNET Satellite Broadband has the right, but not the obligation, to purchase certain broadband equipment from HNS to support the sale of the Service. On February 20,</w:t>
      </w:r>
    </w:p>
    <w:p>
      <w:pPr>
        <w:spacing w:after="0" w:line="2" w:lineRule="exact"/>
        <w:rPr>
          <w:sz w:val="20"/>
          <w:szCs w:val="20"/>
          <w:color w:val="auto"/>
        </w:rPr>
      </w:pPr>
    </w:p>
    <w:p>
      <w:pPr>
        <w:ind w:left="200" w:right="619"/>
        <w:spacing w:after="0" w:line="250" w:lineRule="auto"/>
        <w:rPr>
          <w:sz w:val="20"/>
          <w:szCs w:val="20"/>
          <w:color w:val="auto"/>
        </w:rPr>
      </w:pPr>
      <w:r>
        <w:rPr>
          <w:rFonts w:ascii="Arial" w:cs="Arial" w:eastAsia="Arial" w:hAnsi="Arial"/>
          <w:sz w:val="18"/>
          <w:szCs w:val="18"/>
          <w:color w:val="auto"/>
        </w:rPr>
        <w:t>2014, dishNET Satellite Broadband and HNS amended the Distribution Agreement which, among other things, extended the initial term of the Distribution Agreement through March 1, 2024.</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Thereafter, the Distribution Agreement automatically renews for successive one year terms unless either</w:t>
      </w:r>
    </w:p>
    <w:p>
      <w:pPr>
        <w:spacing w:after="0" w:line="14" w:lineRule="exact"/>
        <w:rPr>
          <w:sz w:val="20"/>
          <w:szCs w:val="20"/>
          <w:color w:val="auto"/>
        </w:rPr>
      </w:pPr>
    </w:p>
    <w:p>
      <w:pPr>
        <w:ind w:left="200" w:right="359"/>
        <w:spacing w:after="0" w:line="226" w:lineRule="auto"/>
        <w:rPr>
          <w:sz w:val="20"/>
          <w:szCs w:val="20"/>
          <w:color w:val="auto"/>
        </w:rPr>
      </w:pPr>
      <w:r>
        <w:rPr>
          <w:rFonts w:ascii="Arial" w:cs="Arial" w:eastAsia="Arial" w:hAnsi="Arial"/>
          <w:sz w:val="18"/>
          <w:szCs w:val="18"/>
          <w:color w:val="auto"/>
        </w:rPr>
        <w:t>party gives written notice of its intent not to renew to the other party at least 180 days before the expiration of the then-current term. Upon expiration or termination of the Distribution Agreement, the parties will</w:t>
      </w:r>
    </w:p>
    <w:p>
      <w:pPr>
        <w:spacing w:after="0" w:line="2" w:lineRule="exact"/>
        <w:rPr>
          <w:sz w:val="20"/>
          <w:szCs w:val="20"/>
          <w:color w:val="auto"/>
        </w:rPr>
      </w:pPr>
    </w:p>
    <w:p>
      <w:pPr>
        <w:ind w:left="200" w:right="1019"/>
        <w:spacing w:after="0" w:line="250" w:lineRule="auto"/>
        <w:rPr>
          <w:sz w:val="20"/>
          <w:szCs w:val="20"/>
          <w:color w:val="auto"/>
        </w:rPr>
      </w:pPr>
      <w:r>
        <w:rPr>
          <w:rFonts w:ascii="Arial" w:cs="Arial" w:eastAsia="Arial" w:hAnsi="Arial"/>
          <w:sz w:val="18"/>
          <w:szCs w:val="18"/>
          <w:color w:val="auto"/>
        </w:rPr>
        <w:t>continue to provide the Service to the then-current dishNET subscribers pursuant to the terms and conditions of the Distribution Agreement.</w:t>
      </w:r>
    </w:p>
    <w:p>
      <w:pPr>
        <w:spacing w:after="0" w:line="158" w:lineRule="exact"/>
        <w:rPr>
          <w:sz w:val="20"/>
          <w:szCs w:val="20"/>
          <w:color w:val="auto"/>
        </w:rPr>
      </w:pPr>
    </w:p>
    <w:p>
      <w:pPr>
        <w:jc w:val="both"/>
        <w:ind w:left="200" w:right="279"/>
        <w:spacing w:after="0" w:line="253" w:lineRule="auto"/>
        <w:rPr>
          <w:sz w:val="20"/>
          <w:szCs w:val="20"/>
          <w:color w:val="auto"/>
        </w:rPr>
      </w:pPr>
      <w:r>
        <w:rPr>
          <w:rFonts w:ascii="Arial" w:cs="Arial" w:eastAsia="Arial" w:hAnsi="Arial"/>
          <w:sz w:val="18"/>
          <w:szCs w:val="18"/>
          <w:i w:val="1"/>
          <w:iCs w:val="1"/>
          <w:color w:val="auto"/>
        </w:rPr>
        <w:t xml:space="preserve">EchoStar IX. </w:t>
      </w:r>
      <w:r>
        <w:rPr>
          <w:rFonts w:ascii="Arial" w:cs="Arial" w:eastAsia="Arial" w:hAnsi="Arial"/>
          <w:sz w:val="18"/>
          <w:szCs w:val="18"/>
          <w:color w:val="auto"/>
        </w:rPr>
        <w:t>We leased certain satellite capacity from EchoStar on EchoStar IX. Subject to availability,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had the right to continue to lease satellite capacity from EchoStar on EchoStar IX on a month-to-month basis. This lease expired on December 31, 2022.</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 – equipment and other”</w:t>
      </w:r>
    </w:p>
    <w:p>
      <w:pPr>
        <w:spacing w:after="0" w:line="196" w:lineRule="exact"/>
        <w:rPr>
          <w:sz w:val="20"/>
          <w:szCs w:val="20"/>
          <w:color w:val="auto"/>
        </w:rPr>
      </w:pPr>
    </w:p>
    <w:p>
      <w:pPr>
        <w:ind w:left="200" w:right="279"/>
        <w:spacing w:after="0" w:line="244" w:lineRule="auto"/>
        <w:rPr>
          <w:sz w:val="20"/>
          <w:szCs w:val="20"/>
          <w:color w:val="auto"/>
        </w:rPr>
      </w:pPr>
      <w:r>
        <w:rPr>
          <w:rFonts w:ascii="Arial" w:cs="Arial" w:eastAsia="Arial" w:hAnsi="Arial"/>
          <w:sz w:val="18"/>
          <w:szCs w:val="18"/>
          <w:color w:val="auto"/>
        </w:rPr>
        <w:t>During the years ended December 31, 2024, 2023 and 2022, we incurred zero, $5 million and $5 million, respectively, for satellite hosting, operations and maintenance services as well as transmission of certain data. These amounts are recorded in “Cost of sales – equipment and other” on our Consolidated Statements of Operations and Comprehensive Income (Loss). The primary agreements pertaining to these expenses are discussed below.</w:t>
      </w:r>
    </w:p>
    <w:p>
      <w:pPr>
        <w:spacing w:after="0" w:line="163" w:lineRule="exact"/>
        <w:rPr>
          <w:sz w:val="20"/>
          <w:szCs w:val="20"/>
          <w:color w:val="auto"/>
        </w:rPr>
      </w:pPr>
    </w:p>
    <w:p>
      <w:pPr>
        <w:ind w:left="200" w:right="379"/>
        <w:spacing w:after="0"/>
        <w:rPr>
          <w:sz w:val="20"/>
          <w:szCs w:val="20"/>
          <w:color w:val="auto"/>
        </w:rPr>
      </w:pPr>
      <w:r>
        <w:rPr>
          <w:rFonts w:ascii="Arial" w:cs="Arial" w:eastAsia="Arial" w:hAnsi="Arial"/>
          <w:sz w:val="18"/>
          <w:szCs w:val="18"/>
          <w:i w:val="1"/>
          <w:iCs w:val="1"/>
          <w:color w:val="auto"/>
        </w:rPr>
        <w:t xml:space="preserve">DBSD North America Agreement. </w:t>
      </w:r>
      <w:r>
        <w:rPr>
          <w:rFonts w:ascii="Arial" w:cs="Arial" w:eastAsia="Arial" w:hAnsi="Arial"/>
          <w:sz w:val="18"/>
          <w:szCs w:val="18"/>
          <w:color w:val="auto"/>
        </w:rPr>
        <w:t>On March 9, 2012, we completed the DBSD Transaction.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2011, EchoStar acquired Hughes. Prior to our acquisition of DBSD North America and EchoStar’s acquisition of Hughes, DBSD North America and HNS entered into an agreement pursuant to which HNS provides, among other things, hosting, operations and maintenance services for DBSD North America’s satellite gateway and associated ground infrastructure. This agreement generally may be terminated by us at any time for convenience. DBSD North America was included in the Sale and Transfer of Assets to EchoStar and no longer owned by us. See Note 1 for further information.</w:t>
      </w:r>
    </w:p>
    <w:p>
      <w:pPr>
        <w:spacing w:after="0" w:line="171" w:lineRule="exact"/>
        <w:rPr>
          <w:sz w:val="20"/>
          <w:szCs w:val="20"/>
          <w:color w:val="auto"/>
        </w:rPr>
      </w:pPr>
    </w:p>
    <w:p>
      <w:pPr>
        <w:ind w:left="200" w:right="239"/>
        <w:spacing w:after="0" w:line="242" w:lineRule="auto"/>
        <w:rPr>
          <w:sz w:val="20"/>
          <w:szCs w:val="20"/>
          <w:color w:val="auto"/>
        </w:rPr>
      </w:pPr>
      <w:r>
        <w:rPr>
          <w:rFonts w:ascii="Arial" w:cs="Arial" w:eastAsia="Arial" w:hAnsi="Arial"/>
          <w:sz w:val="18"/>
          <w:szCs w:val="18"/>
          <w:i w:val="1"/>
          <w:iCs w:val="1"/>
          <w:color w:val="auto"/>
        </w:rPr>
        <w:t>TerreStar Agreements</w:t>
      </w:r>
      <w:r>
        <w:rPr>
          <w:rFonts w:ascii="Arial" w:cs="Arial" w:eastAsia="Arial" w:hAnsi="Arial"/>
          <w:sz w:val="18"/>
          <w:szCs w:val="18"/>
          <w:color w:val="auto"/>
        </w:rPr>
        <w:t>. On March 9, 2012, we completed the TerreStar Transaction. Prior to our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substantially all the assets of TerreStar and EchoStar’s acquisition of Hughes, TerreStar and HNS entered into various agreements pursuant to which HNS provides, among other things, hosting, operations and maintenance services for TerreStar’s satellite gateway and associated ground infrastructure. These agreements generally may be terminated by us at any time for convenience. TerreStar was included in the Sale and Transfer of Assets to EchoStar and no longer owned by us. See Note 1 for further information.</w:t>
      </w:r>
    </w:p>
    <w:p>
      <w:pPr>
        <w:spacing w:after="0" w:line="165"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18"/>
          <w:szCs w:val="18"/>
          <w:i w:val="1"/>
          <w:iCs w:val="1"/>
          <w:color w:val="auto"/>
        </w:rPr>
        <w:t xml:space="preserve">Hughes Equipment and Services Agreement. </w:t>
      </w:r>
      <w:r>
        <w:rPr>
          <w:rFonts w:ascii="Arial" w:cs="Arial" w:eastAsia="Arial" w:hAnsi="Arial"/>
          <w:sz w:val="18"/>
          <w:szCs w:val="18"/>
          <w:color w:val="auto"/>
        </w:rPr>
        <w:t>In February 2019, we and HNS entered into an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HNS will provide us with HughesNet Service and HughesNet equipment for the transmission of certain data related to our 5G Network Deployment. This agreement has an initial term of five years with automatic renewal for successive one-year terms unless terminated by DISH Network with at least 180 days’ written notice to HNS or by HNS with at least 365 days’ written notice to DISH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1" w:name="page172"/>
    <w:bookmarkEnd w:id="17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6" w:lineRule="exact"/>
        <w:rPr>
          <w:sz w:val="20"/>
          <w:szCs w:val="20"/>
          <w:color w:val="auto"/>
        </w:rPr>
      </w:pPr>
    </w:p>
    <w:p>
      <w:pPr>
        <w:ind w:left="200" w:right="399"/>
        <w:spacing w:after="0" w:line="244" w:lineRule="auto"/>
        <w:rPr>
          <w:sz w:val="20"/>
          <w:szCs w:val="20"/>
          <w:color w:val="auto"/>
        </w:rPr>
      </w:pPr>
      <w:r>
        <w:rPr>
          <w:rFonts w:ascii="Arial" w:cs="Arial" w:eastAsia="Arial" w:hAnsi="Arial"/>
          <w:sz w:val="18"/>
          <w:szCs w:val="18"/>
          <w:color w:val="auto"/>
        </w:rPr>
        <w:t>During the years ended December 31, 2024, 2023 and 2022, we incurred $21 million, $12 million and $14 million, respectively, for selling, general and administrative expenses for services provided to us by EchoStar. These amounts are recorded in “Selling, general and administrative expenses” on our Consolidated Statements of Operations and Comprehensive Income (Loss). The primary agreements pertaining to these expenses are discussed below.</w:t>
      </w:r>
    </w:p>
    <w:p>
      <w:pPr>
        <w:spacing w:after="0" w:line="163" w:lineRule="exact"/>
        <w:rPr>
          <w:sz w:val="20"/>
          <w:szCs w:val="20"/>
          <w:color w:val="auto"/>
        </w:rPr>
      </w:pPr>
    </w:p>
    <w:p>
      <w:pPr>
        <w:ind w:left="200" w:right="299"/>
        <w:spacing w:after="0" w:line="244"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We have entered into lease agreements pursuant to which we lease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real estate from EchoStar. The rent on a per square foot basis for each of the leases is comparable to per square foot rental rates of similar commercial property in the same geographic area, and we are responsible for our portion of the taxes, insurance, utilities and maintenance of the premises. The term of each lease is set forth below:</w:t>
      </w:r>
    </w:p>
    <w:p>
      <w:pPr>
        <w:spacing w:after="0" w:line="163" w:lineRule="exact"/>
        <w:rPr>
          <w:sz w:val="20"/>
          <w:szCs w:val="20"/>
          <w:color w:val="auto"/>
        </w:rPr>
      </w:pPr>
    </w:p>
    <w:p>
      <w:pPr>
        <w:ind w:left="880" w:right="259" w:hanging="320"/>
        <w:spacing w:after="0" w:line="252" w:lineRule="auto"/>
        <w:tabs>
          <w:tab w:leader="none" w:pos="88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Meridian Lease Agreement. </w:t>
      </w:r>
      <w:r>
        <w:rPr>
          <w:rFonts w:ascii="Arial" w:cs="Arial" w:eastAsia="Arial" w:hAnsi="Arial"/>
          <w:sz w:val="18"/>
          <w:szCs w:val="18"/>
          <w:color w:val="auto"/>
        </w:rPr>
        <w:t>We lease all of 9601 S. Meridian Blvd. in Englewood, Colorado. This</w:t>
      </w:r>
      <w:r>
        <w:rPr>
          <w:rFonts w:ascii="Arial" w:cs="Arial" w:eastAsia="Arial" w:hAnsi="Arial"/>
          <w:sz w:val="18"/>
          <w:szCs w:val="18"/>
          <w:i w:val="1"/>
          <w:iCs w:val="1"/>
          <w:color w:val="auto"/>
        </w:rPr>
        <w:t xml:space="preserve"> </w:t>
      </w:r>
      <w:r>
        <w:rPr>
          <w:rFonts w:ascii="Arial" w:cs="Arial" w:eastAsia="Arial" w:hAnsi="Arial"/>
          <w:sz w:val="18"/>
          <w:szCs w:val="18"/>
          <w:color w:val="auto"/>
        </w:rPr>
        <w:t>lease automatically renews on a month-to-month basis unless either party gives written notice of its intent not to renew to the other party.</w:t>
      </w:r>
    </w:p>
    <w:p>
      <w:pPr>
        <w:spacing w:after="0" w:line="157" w:lineRule="exact"/>
        <w:rPr>
          <w:rFonts w:ascii="Times New Roman" w:cs="Times New Roman" w:eastAsia="Times New Roman" w:hAnsi="Times New Roman"/>
          <w:sz w:val="18"/>
          <w:szCs w:val="18"/>
          <w:color w:val="auto"/>
        </w:rPr>
      </w:pPr>
    </w:p>
    <w:p>
      <w:pPr>
        <w:ind w:left="880" w:right="259" w:hanging="320"/>
        <w:spacing w:after="0" w:line="246" w:lineRule="auto"/>
        <w:tabs>
          <w:tab w:leader="none" w:pos="88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100 Inverness Lease Agreement</w:t>
      </w:r>
      <w:r>
        <w:rPr>
          <w:rFonts w:ascii="Arial" w:cs="Arial" w:eastAsia="Arial" w:hAnsi="Arial"/>
          <w:sz w:val="18"/>
          <w:szCs w:val="18"/>
          <w:color w:val="auto"/>
        </w:rPr>
        <w:t>. Effective March 1, 2017, we leased certain space from EchoStar</w:t>
      </w:r>
      <w:r>
        <w:rPr>
          <w:rFonts w:ascii="Arial" w:cs="Arial" w:eastAsia="Arial" w:hAnsi="Arial"/>
          <w:sz w:val="18"/>
          <w:szCs w:val="18"/>
          <w:i w:val="1"/>
          <w:iCs w:val="1"/>
          <w:color w:val="auto"/>
        </w:rPr>
        <w:t xml:space="preserve"> </w:t>
      </w:r>
      <w:r>
        <w:rPr>
          <w:rFonts w:ascii="Arial" w:cs="Arial" w:eastAsia="Arial" w:hAnsi="Arial"/>
          <w:sz w:val="18"/>
          <w:szCs w:val="18"/>
          <w:color w:val="auto"/>
        </w:rPr>
        <w:t>at 100 Inverness Terrace East, Englewood, Colorado for a period ending in December 2024. This agreement may be terminated by either party upon 180 days’ prior notice. This lease was not renewed and terminated in August 2024.</w:t>
      </w:r>
    </w:p>
    <w:p>
      <w:pPr>
        <w:spacing w:after="0" w:line="163" w:lineRule="exact"/>
        <w:rPr>
          <w:sz w:val="20"/>
          <w:szCs w:val="20"/>
          <w:color w:val="auto"/>
        </w:rPr>
      </w:pPr>
    </w:p>
    <w:p>
      <w:pPr>
        <w:ind w:left="200" w:right="339"/>
        <w:spacing w:after="0" w:line="239" w:lineRule="auto"/>
        <w:rPr>
          <w:sz w:val="20"/>
          <w:szCs w:val="20"/>
          <w:color w:val="auto"/>
        </w:rPr>
      </w:pPr>
      <w:r>
        <w:rPr>
          <w:rFonts w:ascii="Arial" w:cs="Arial" w:eastAsia="Arial" w:hAnsi="Arial"/>
          <w:sz w:val="18"/>
          <w:szCs w:val="18"/>
          <w:i w:val="1"/>
          <w:iCs w:val="1"/>
          <w:color w:val="auto"/>
        </w:rPr>
        <w:t xml:space="preserve">Professional Services Agreement. </w:t>
      </w:r>
      <w:r>
        <w:rPr>
          <w:rFonts w:ascii="Arial" w:cs="Arial" w:eastAsia="Arial" w:hAnsi="Arial"/>
          <w:sz w:val="18"/>
          <w:szCs w:val="18"/>
          <w:color w:val="auto"/>
        </w:rPr>
        <w:t>Prior to 2010, we entered into various agreements with EchoStar</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Transition Services Agreement, Satellite Procurement Agreement and Services Agreement, which all expired on January 1, 2010 and were replaced by a Professional Services Agreement. During 2009, we and EchoStar agreed that EchoStar shall continue to have the right, but not the obligation, to receive the following services from us, among others, certain of which were previously provided under the Transition Services Agreement: information technology, travel and event coordination, internal audit, legal, accounting and tax, benefits administration, program acquisition services and other support services. Additionally, we and EchoStar agreed that we shall continue to have the right, but not the obligation, to engage EchoStar to manage the process of procuring new satellite capacity for us and receive logistics, procurement and quality assurance services from EchoStar and other support services.</w:t>
      </w:r>
    </w:p>
    <w:p>
      <w:pPr>
        <w:spacing w:after="0" w:line="180" w:lineRule="exact"/>
        <w:rPr>
          <w:sz w:val="20"/>
          <w:szCs w:val="20"/>
          <w:color w:val="auto"/>
        </w:rPr>
      </w:pPr>
    </w:p>
    <w:p>
      <w:pPr>
        <w:ind w:left="200" w:right="239"/>
        <w:spacing w:after="0" w:line="238" w:lineRule="auto"/>
        <w:rPr>
          <w:sz w:val="20"/>
          <w:szCs w:val="20"/>
          <w:color w:val="auto"/>
        </w:rPr>
      </w:pPr>
      <w:r>
        <w:rPr>
          <w:rFonts w:ascii="Arial" w:cs="Arial" w:eastAsia="Arial" w:hAnsi="Arial"/>
          <w:sz w:val="18"/>
          <w:szCs w:val="18"/>
          <w:color w:val="auto"/>
        </w:rPr>
        <w:t>On February 28, 2017, DISH Network and EchoStar amended the Professional Services Agreement to, among other things, provide certain transition services to each other. In addition, we and EchoStar amended the Professional Services Agreement effective September 10, 2019 to, among other things, provide certain transition services to each other and to remove certain services no longer necessary. During March 2020, we and EchoStar added a service under the Professional Services Agreement whereby we provide EchoStar with rights to use certain satellite capacity in exchange for certain credits to amounts owed by us to EchoStar under the TerreStar Agreement described above. The Professional Services Agreement renewed on January 1, 2024 for an additional one-year period until January 1, 2025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72" w:lineRule="exact"/>
        <w:rPr>
          <w:sz w:val="20"/>
          <w:szCs w:val="20"/>
          <w:color w:val="auto"/>
        </w:rPr>
      </w:pPr>
    </w:p>
    <w:p>
      <w:pPr>
        <w:jc w:val="both"/>
        <w:ind w:left="200" w:right="259"/>
        <w:spacing w:after="0" w:line="253" w:lineRule="auto"/>
        <w:rPr>
          <w:sz w:val="20"/>
          <w:szCs w:val="20"/>
          <w:color w:val="auto"/>
        </w:rPr>
      </w:pPr>
      <w:r>
        <w:rPr>
          <w:rFonts w:ascii="Arial" w:cs="Arial" w:eastAsia="Arial" w:hAnsi="Arial"/>
          <w:sz w:val="18"/>
          <w:szCs w:val="18"/>
          <w:color w:val="auto"/>
        </w:rPr>
        <w:t>Revenue for services provided by us to EchoStar under the Professional Services Agreement is recorded in “Service revenue” and “Equipment sales and other revenue” on our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2" w:name="page173"/>
    <w:bookmarkEnd w:id="17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Agreements - EchoStar</w:t>
      </w:r>
    </w:p>
    <w:p>
      <w:pPr>
        <w:spacing w:after="0" w:line="196" w:lineRule="exact"/>
        <w:rPr>
          <w:sz w:val="20"/>
          <w:szCs w:val="20"/>
          <w:color w:val="auto"/>
        </w:rPr>
      </w:pPr>
    </w:p>
    <w:p>
      <w:pPr>
        <w:ind w:left="200" w:right="279"/>
        <w:spacing w:after="0" w:line="237" w:lineRule="auto"/>
        <w:rPr>
          <w:sz w:val="20"/>
          <w:szCs w:val="20"/>
          <w:color w:val="auto"/>
        </w:rPr>
      </w:pPr>
      <w:r>
        <w:rPr>
          <w:rFonts w:ascii="Arial" w:cs="Arial" w:eastAsia="Arial" w:hAnsi="Arial"/>
          <w:sz w:val="18"/>
          <w:szCs w:val="18"/>
          <w:i w:val="1"/>
          <w:iCs w:val="1"/>
          <w:color w:val="auto"/>
        </w:rPr>
        <w:t xml:space="preserve">Tax Sharing Agreement. </w:t>
      </w:r>
      <w:r>
        <w:rPr>
          <w:rFonts w:ascii="Arial" w:cs="Arial" w:eastAsia="Arial" w:hAnsi="Arial"/>
          <w:sz w:val="18"/>
          <w:szCs w:val="18"/>
          <w:color w:val="auto"/>
        </w:rPr>
        <w:t>We entered into a tax sharing agreement (the “Tax Sharing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which governs our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us, and we will indemnify EchoStar for such taxes. However, we are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EchoStar’s stock, stock options or assets; (ii) any action that EchoStar takes or fails to take; or (iii) any action that EchoStar takes that is inconsistent with the information and representations furnished to the Internal Revenue Service (“IRS”) in connection with the request for the private letter ruling, or to counsel in connection with any opinion being delivered by counsel with respect to the Spin-off or certain related transactions. In such case, EchoStar is solely liable for, and will indemnify us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72"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In light of the Tax Sharing Agreement, among other things, and in connection with our consolidated federal income tax returns for certain tax years prior to and for the year of the Spin-off, during 2013, we and EchoStar agreed upon a supplemental allocation of the tax benefits arising from certain tax items resolved in the course of the IRS’ examination of these consolidated tax returns. As a result, we agreed to pay EchoStar $82 million of the tax benefit we received or will receive. Any payment to EchoStar, including accrued interest, will be made at such time as EchoStar would have otherwise been able to realize such tax benefit. As of December 31, 2024, we have paid $13 million of the tax benefit received, leaving $69 million remaining to be paid.</w:t>
      </w:r>
    </w:p>
    <w:p>
      <w:pPr>
        <w:spacing w:after="0" w:line="167" w:lineRule="exact"/>
        <w:rPr>
          <w:sz w:val="20"/>
          <w:szCs w:val="20"/>
          <w:color w:val="auto"/>
        </w:rPr>
      </w:pPr>
    </w:p>
    <w:p>
      <w:pPr>
        <w:ind w:left="200" w:right="379"/>
        <w:spacing w:after="0" w:line="244" w:lineRule="auto"/>
        <w:rPr>
          <w:sz w:val="20"/>
          <w:szCs w:val="20"/>
          <w:color w:val="auto"/>
        </w:rPr>
      </w:pPr>
      <w:r>
        <w:rPr>
          <w:rFonts w:ascii="Arial" w:cs="Arial" w:eastAsia="Arial" w:hAnsi="Arial"/>
          <w:sz w:val="18"/>
          <w:szCs w:val="18"/>
          <w:color w:val="auto"/>
        </w:rPr>
        <w:t>In addition, during 2013, we and EchoStar agreed upon a tax sharing arrangement for filing certain combined state income tax returns and a method of allocating the respective tax liabilities between us and EchoStar for such combined returns, through the taxable period ending on December 31, 2017 (the “State Tax Arrangement”). During the third quarter of 2018, we and EchoStar amended the Tax Sharing Agreement and the 2013 agreements (the “Amendment”).</w:t>
      </w:r>
    </w:p>
    <w:p>
      <w:pPr>
        <w:spacing w:after="0" w:line="163" w:lineRule="exact"/>
        <w:rPr>
          <w:sz w:val="20"/>
          <w:szCs w:val="20"/>
          <w:color w:val="auto"/>
        </w:rPr>
      </w:pPr>
    </w:p>
    <w:p>
      <w:pPr>
        <w:ind w:left="200" w:right="519"/>
        <w:spacing w:after="0" w:line="247" w:lineRule="auto"/>
        <w:rPr>
          <w:sz w:val="20"/>
          <w:szCs w:val="20"/>
          <w:color w:val="auto"/>
        </w:rPr>
      </w:pPr>
      <w:r>
        <w:rPr>
          <w:rFonts w:ascii="Arial" w:cs="Arial" w:eastAsia="Arial" w:hAnsi="Arial"/>
          <w:sz w:val="18"/>
          <w:szCs w:val="18"/>
          <w:color w:val="auto"/>
        </w:rPr>
        <w:t>Under the Amendment, among other things, we are entitled to apply the benefit of EchoStar’s 2009 net operating losses to our federal tax return for the year ended December 31, 2008, in exchange for paying EchoStar over time the value of the net annual federal income taxes paid by EchoStar that would have been otherwise offset by their 2009 net operating loss.</w:t>
      </w:r>
    </w:p>
    <w:p>
      <w:pPr>
        <w:spacing w:after="0" w:line="160" w:lineRule="exact"/>
        <w:rPr>
          <w:sz w:val="20"/>
          <w:szCs w:val="20"/>
          <w:color w:val="auto"/>
        </w:rPr>
      </w:pPr>
    </w:p>
    <w:p>
      <w:pPr>
        <w:jc w:val="both"/>
        <w:ind w:left="200" w:right="259"/>
        <w:spacing w:after="0" w:line="253" w:lineRule="auto"/>
        <w:rPr>
          <w:sz w:val="20"/>
          <w:szCs w:val="20"/>
          <w:color w:val="auto"/>
        </w:rPr>
      </w:pPr>
      <w:r>
        <w:rPr>
          <w:rFonts w:ascii="Arial" w:cs="Arial" w:eastAsia="Arial" w:hAnsi="Arial"/>
          <w:sz w:val="18"/>
          <w:szCs w:val="18"/>
          <w:color w:val="auto"/>
        </w:rPr>
        <w:t>The Amendment also contained provisions related to the term of the State Tax Arrangement. As discussed in prior filings, beginning in 2020, DISH Network and EchoStar no longer files a combined state tax return in any state. All requirements under the State Tax Arrangement were fulfilled in 2022.</w:t>
      </w:r>
    </w:p>
    <w:p>
      <w:pPr>
        <w:spacing w:after="0" w:line="142" w:lineRule="exact"/>
        <w:rPr>
          <w:sz w:val="20"/>
          <w:szCs w:val="20"/>
          <w:color w:val="auto"/>
        </w:rPr>
      </w:pPr>
    </w:p>
    <w:p>
      <w:pPr>
        <w:ind w:left="200" w:right="299"/>
        <w:spacing w:after="0" w:line="242" w:lineRule="auto"/>
        <w:rPr>
          <w:sz w:val="20"/>
          <w:szCs w:val="20"/>
          <w:color w:val="auto"/>
        </w:rPr>
      </w:pPr>
      <w:r>
        <w:rPr>
          <w:rFonts w:ascii="Arial" w:cs="Arial" w:eastAsia="Arial" w:hAnsi="Arial"/>
          <w:sz w:val="18"/>
          <w:szCs w:val="18"/>
          <w:i w:val="1"/>
          <w:iCs w:val="1"/>
          <w:color w:val="auto"/>
        </w:rPr>
        <w:t>Patent Cross-License Agreements</w:t>
      </w:r>
      <w:r>
        <w:rPr>
          <w:rFonts w:ascii="Arial" w:cs="Arial" w:eastAsia="Arial" w:hAnsi="Arial"/>
          <w:sz w:val="18"/>
          <w:szCs w:val="18"/>
          <w:color w:val="auto"/>
        </w:rPr>
        <w:t>. In December 2011, we and EchoStar entered into separate patent</w:t>
      </w:r>
      <w:r>
        <w:rPr>
          <w:rFonts w:ascii="Arial" w:cs="Arial" w:eastAsia="Arial" w:hAnsi="Arial"/>
          <w:sz w:val="18"/>
          <w:szCs w:val="18"/>
          <w:i w:val="1"/>
          <w:iCs w:val="1"/>
          <w:color w:val="auto"/>
        </w:rPr>
        <w:t xml:space="preserve"> </w:t>
      </w:r>
      <w:r>
        <w:rPr>
          <w:rFonts w:ascii="Arial" w:cs="Arial" w:eastAsia="Arial" w:hAnsi="Arial"/>
          <w:sz w:val="18"/>
          <w:szCs w:val="18"/>
          <w:color w:val="auto"/>
        </w:rPr>
        <w:t>cross-license agreements with the same third party whereby: (i) EchoStar and such third-party licensed their respective patents to each other subject to certain conditions; and (ii) we and such third-party licensed our respective patents to each other subject to certain conditions (each, a “Cross-License Agreement”). Each Cross License Agreement covers patents acquired by the respective party prior to January 1, 2017 and aggregate payments under both Cross-License Agreements total less than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3" w:name="page174"/>
    <w:bookmarkEnd w:id="17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200" w:right="239"/>
        <w:spacing w:after="0" w:line="303" w:lineRule="auto"/>
        <w:rPr>
          <w:sz w:val="20"/>
          <w:szCs w:val="20"/>
          <w:color w:val="auto"/>
        </w:rPr>
      </w:pPr>
      <w:r>
        <w:rPr>
          <w:rFonts w:ascii="Arial" w:cs="Arial" w:eastAsia="Arial" w:hAnsi="Arial"/>
          <w:sz w:val="18"/>
          <w:szCs w:val="18"/>
          <w:color w:val="auto"/>
        </w:rPr>
        <w:t>In December 2016, we and EchoStar independently exercised our respective options to extend each Cross-License Agreement to include patents acquired by the respective party prior to January 1, 2022.</w:t>
      </w:r>
    </w:p>
    <w:p>
      <w:pPr>
        <w:spacing w:after="0" w:line="125" w:lineRule="exact"/>
        <w:rPr>
          <w:sz w:val="20"/>
          <w:szCs w:val="20"/>
          <w:color w:val="auto"/>
        </w:rPr>
      </w:pPr>
    </w:p>
    <w:p>
      <w:pPr>
        <w:ind w:left="200" w:right="479"/>
        <w:spacing w:after="0" w:line="244" w:lineRule="auto"/>
        <w:rPr>
          <w:sz w:val="20"/>
          <w:szCs w:val="20"/>
          <w:color w:val="auto"/>
        </w:rPr>
      </w:pPr>
      <w:r>
        <w:rPr>
          <w:rFonts w:ascii="Arial" w:cs="Arial" w:eastAsia="Arial" w:hAnsi="Arial"/>
          <w:sz w:val="18"/>
          <w:szCs w:val="18"/>
          <w:i w:val="1"/>
          <w:iCs w:val="1"/>
          <w:color w:val="auto"/>
        </w:rPr>
        <w:t xml:space="preserve">Rovi License Agreement. </w:t>
      </w:r>
      <w:r>
        <w:rPr>
          <w:rFonts w:ascii="Arial" w:cs="Arial" w:eastAsia="Arial" w:hAnsi="Arial"/>
          <w:sz w:val="18"/>
          <w:szCs w:val="18"/>
          <w:color w:val="auto"/>
        </w:rPr>
        <w:t>On August 19, 2016, we entered into a ten-year patent license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“Rovi License Agreement”) with Rovi Corporation (“Rovi”) and, for certain limited purposes, EchoStar. EchoStar is a party to the Rovi License Agreement solely with respect to certain provisions relating to the prior patent license agreement between EchoStar and Rovi. There are no payments between us and EchoStar under the Rovi License Agreement.</w:t>
      </w:r>
    </w:p>
    <w:p>
      <w:pPr>
        <w:spacing w:after="0" w:line="163"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i w:val="1"/>
          <w:iCs w:val="1"/>
          <w:color w:val="auto"/>
        </w:rPr>
        <w:t xml:space="preserve">Hughes Broadband Master Services Agreement. </w:t>
      </w:r>
      <w:r>
        <w:rPr>
          <w:rFonts w:ascii="Arial" w:cs="Arial" w:eastAsia="Arial" w:hAnsi="Arial"/>
          <w:sz w:val="18"/>
          <w:szCs w:val="18"/>
          <w:color w:val="auto"/>
        </w:rPr>
        <w:t>In March 2017, DISH Network L.L.C. (“DNLLC”) and HNS</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the MSA pursuant to which DNLLC, among other things: (i) has the right, but not the obligation, to market, promote and solicit orders for the Hughes broadband satellite service and related equipment; and (ii) installs Hughes service equipment with respect to activations generated by DNLLC. Under the MSA, HNS will make certain payments to DNLLC for each Hughes service activation generated, and installation and other services performed, by DNLLC. Payments from HNS for services provided are recorded in “Service revenue” on our Consolidated Statements of Operations and Comprehensive Income (Loss). For the years ended December 31, 2024, 2023 and 2022, these payments were $6 million, $ 2 million and $8 million, respectively. The MSA has an initial term of five years with automatic renewal for successive one year terms. After the first anniversary of the MSA, either party has the ability to terminate the MSA, in whole or in part, for any reason upon at least 90 days’ notice to the other party. Upon expiration or termination of the MSA, HNS will continue to provide the Hughes service to subscribers and make certain payments to DNLLC pursuant to the terms and conditions of the MSA. For the years ended December 31, 2024, 2023 and 2022, we purchased broadband equipment from HNS of less than $1 million, zero and $7 million, respectively, under the MSA.</w:t>
      </w:r>
    </w:p>
    <w:p>
      <w:pPr>
        <w:spacing w:after="0" w:line="134" w:lineRule="exact"/>
        <w:rPr>
          <w:sz w:val="20"/>
          <w:szCs w:val="20"/>
          <w:color w:val="auto"/>
        </w:rPr>
      </w:pPr>
    </w:p>
    <w:p>
      <w:pPr>
        <w:ind w:left="200" w:right="219"/>
        <w:spacing w:after="0" w:line="239" w:lineRule="auto"/>
        <w:rPr>
          <w:sz w:val="20"/>
          <w:szCs w:val="20"/>
          <w:color w:val="auto"/>
        </w:rPr>
      </w:pPr>
      <w:r>
        <w:rPr>
          <w:rFonts w:ascii="Arial" w:cs="Arial" w:eastAsia="Arial" w:hAnsi="Arial"/>
          <w:sz w:val="18"/>
          <w:szCs w:val="18"/>
          <w:i w:val="1"/>
          <w:iCs w:val="1"/>
          <w:color w:val="auto"/>
        </w:rPr>
        <w:t>Intellectual Property and Technology License Agreement – Share Exchange</w:t>
      </w:r>
      <w:r>
        <w:rPr>
          <w:rFonts w:ascii="Arial" w:cs="Arial" w:eastAsia="Arial" w:hAnsi="Arial"/>
          <w:sz w:val="18"/>
          <w:szCs w:val="18"/>
          <w:color w:val="auto"/>
        </w:rPr>
        <w:t>. Effective March 1, 2017, we</w:t>
      </w:r>
      <w:r>
        <w:rPr>
          <w:rFonts w:ascii="Arial" w:cs="Arial" w:eastAsia="Arial" w:hAnsi="Arial"/>
          <w:sz w:val="18"/>
          <w:szCs w:val="18"/>
          <w:i w:val="1"/>
          <w:iCs w:val="1"/>
          <w:color w:val="auto"/>
        </w:rPr>
        <w:t xml:space="preserve"> </w:t>
      </w:r>
      <w:r>
        <w:rPr>
          <w:rFonts w:ascii="Arial" w:cs="Arial" w:eastAsia="Arial" w:hAnsi="Arial"/>
          <w:sz w:val="18"/>
          <w:szCs w:val="18"/>
          <w:color w:val="auto"/>
        </w:rPr>
        <w:t>and EchoStar entered into an Intellectual Property and Technology License Agreement (“IPTLA”), pursuant to which we and EchoStar license to each other certain intellectual property and technology. The IPTLA will continue in perpetuity, unless mutually terminated by the parties. Pursuant to the IPTLA, EchoStar granted to us a license to its intellectual property and technology for use by us, among other things, in connection with our continued operation of the Transferred Businesses acquired pursuant to the Share Exchange Agreement, including a limited license to use the “ECHOSTAR” trademark during a transition period. EchoStar retains full ownership of the “ECHOSTAR” trademark. In addition, we granted a license back to EchoStar, among other things, for the continued use of all intellectual property and technology transferred to us pursuant to the Share Exchange Agreement that is used in EchoStar’s retained businesses.</w:t>
      </w:r>
    </w:p>
    <w:p>
      <w:pPr>
        <w:spacing w:after="0" w:line="180" w:lineRule="exact"/>
        <w:rPr>
          <w:sz w:val="20"/>
          <w:szCs w:val="20"/>
          <w:color w:val="auto"/>
        </w:rPr>
      </w:pPr>
    </w:p>
    <w:p>
      <w:pPr>
        <w:ind w:left="200" w:right="219"/>
        <w:spacing w:after="0" w:line="238" w:lineRule="auto"/>
        <w:rPr>
          <w:sz w:val="20"/>
          <w:szCs w:val="20"/>
          <w:color w:val="auto"/>
        </w:rPr>
      </w:pPr>
      <w:r>
        <w:rPr>
          <w:rFonts w:ascii="Arial" w:cs="Arial" w:eastAsia="Arial" w:hAnsi="Arial"/>
          <w:sz w:val="18"/>
          <w:szCs w:val="18"/>
          <w:i w:val="1"/>
          <w:iCs w:val="1"/>
          <w:color w:val="auto"/>
        </w:rPr>
        <w:t xml:space="preserve">Intellectual Property and Technology License Agreement – Master Transaction Agreement. </w:t>
      </w:r>
      <w:r>
        <w:rPr>
          <w:rFonts w:ascii="Arial" w:cs="Arial" w:eastAsia="Arial" w:hAnsi="Arial"/>
          <w:sz w:val="18"/>
          <w:szCs w:val="18"/>
          <w:color w:val="auto"/>
        </w:rPr>
        <w: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10, 2019, we and EchoStar entered into an IPTLA (the “MTA IPTLA”), pursuant to which we and EchoStar license to each other certain intellectual property and technology. The MTA IPTLA will continue in perpetuity, unless mutually terminated by the parties. Pursuant to the MTA IPTLA, EchoStar granted to us a license to its intellectual property and technology for use by us, among other things, in connection with our continued operation of the BSS Business acquired pursuant to the Master Transaction Agreement, including a limited license to use the “ESS” and “ECHOSTAR SATELLITE SERVICES” trademarks during a transition period. EchoStar retains full ownership of the “ESS” and “ECHOSTAR SATELLITE SERVICES” trademarks. In addition, we granted a license back to EchoStar, among other things, for the continued use of all intellectual property and technology transferred to us pursuant to the Master Transaction Agreement that is used in EchoStar’s retained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4" w:name="page175"/>
    <w:bookmarkEnd w:id="17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NETWORK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 with CONX Corp.</w:t>
      </w:r>
    </w:p>
    <w:p>
      <w:pPr>
        <w:spacing w:after="0" w:line="198" w:lineRule="exact"/>
        <w:rPr>
          <w:sz w:val="20"/>
          <w:szCs w:val="20"/>
          <w:color w:val="auto"/>
        </w:rPr>
      </w:pPr>
    </w:p>
    <w:p>
      <w:pPr>
        <w:ind w:left="220" w:right="239" w:hanging="12"/>
        <w:spacing w:after="0" w:line="244" w:lineRule="auto"/>
        <w:rPr>
          <w:sz w:val="20"/>
          <w:szCs w:val="20"/>
          <w:color w:val="auto"/>
        </w:rPr>
      </w:pPr>
      <w:r>
        <w:rPr>
          <w:rFonts w:ascii="Arial" w:cs="Arial" w:eastAsia="Arial" w:hAnsi="Arial"/>
          <w:sz w:val="18"/>
          <w:szCs w:val="18"/>
          <w:color w:val="auto"/>
        </w:rPr>
        <w:t>CONX Corp. (“CONX”) is an entity partially owned by Charles W. Ergen, our Chairman (“CONX”). On May 1, 2024, we entered into an agreement to lease a commercial real estate property in Littleton, Colorado, comprising the corporate headquarters of DISH Wireless, from CONX for an initial 10 year term. During the year ended December 31, 2024, we recorded $2 million for this lease in “Selling, general and administrative expenses” on our Consolidated Statements of Operations and Comprehensive Income (Loss).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 with NagraStar L.L.C.</w:t>
      </w:r>
    </w:p>
    <w:p>
      <w:pPr>
        <w:spacing w:after="0" w:line="158" w:lineRule="exact"/>
        <w:rPr>
          <w:sz w:val="20"/>
          <w:szCs w:val="20"/>
          <w:color w:val="auto"/>
        </w:rPr>
      </w:pPr>
    </w:p>
    <w:p>
      <w:pPr>
        <w:ind w:left="200" w:right="319"/>
        <w:spacing w:after="0" w:line="239" w:lineRule="auto"/>
        <w:rPr>
          <w:sz w:val="20"/>
          <w:szCs w:val="20"/>
          <w:color w:val="auto"/>
        </w:rPr>
      </w:pPr>
      <w:r>
        <w:rPr>
          <w:rFonts w:ascii="Arial" w:cs="Arial" w:eastAsia="Arial" w:hAnsi="Arial"/>
          <w:sz w:val="18"/>
          <w:szCs w:val="18"/>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Consolidated Statements of Operations and Comprehensive Income (Loss). In addition, certain other payments are initially included in “Inventory” and are subsequently capitalized as “Property and equipment, net” on our Consolidated Balance Sheets or expensed as “Selling, general and administrative expenses” or “Cost of services” on our Consolidated Statements of Operations and Comprehensive Income (Loss) when the equipment is deployed. We record all payables in “Trade accounts payable” or “Other accrued expenses and liabilities” on our Consolidated Balance Sheets. Our investment in NagraStar is accounted for using the equity method.</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rPr>
              <w:t>For the Years Ended December 31,</w:t>
            </w:r>
          </w:p>
        </w:tc>
      </w:tr>
      <w:tr>
        <w:trPr>
          <w:trHeight w:val="189"/>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59"/>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Purchases (including fees):</w:t>
            </w: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Purchases from NagraStar</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32,508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37,068</w:t>
            </w:r>
          </w:p>
        </w:tc>
        <w:tc>
          <w:tcPr>
            <w:tcW w:w="20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43,416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20" w:type="dxa"/>
            <w:vAlign w:val="bottom"/>
            <w:gridSpan w:val="6"/>
          </w:tcPr>
          <w:p>
            <w:pPr>
              <w:ind w:left="600"/>
              <w:spacing w:after="0"/>
              <w:rPr>
                <w:sz w:val="20"/>
                <w:szCs w:val="20"/>
                <w:color w:val="auto"/>
              </w:rPr>
            </w:pPr>
            <w:r>
              <w:rPr>
                <w:rFonts w:ascii="Arial" w:cs="Arial" w:eastAsia="Arial" w:hAnsi="Arial"/>
                <w:sz w:val="16"/>
                <w:szCs w:val="16"/>
                <w:b w:val="1"/>
                <w:bCs w:val="1"/>
                <w:color w:val="auto"/>
              </w:rPr>
              <w:t>As of December 31,</w:t>
            </w:r>
          </w:p>
        </w:tc>
      </w:tr>
      <w:tr>
        <w:trPr>
          <w:trHeight w:val="189"/>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gridSpan w:val="3"/>
          </w:tcPr>
          <w:p>
            <w:pPr>
              <w:jc w:val="right"/>
              <w:spacing w:after="0" w:line="169" w:lineRule="exact"/>
              <w:rPr>
                <w:sz w:val="20"/>
                <w:szCs w:val="20"/>
                <w:color w:val="auto"/>
              </w:rPr>
            </w:pPr>
            <w:r>
              <w:rPr>
                <w:rFonts w:ascii="Arial" w:cs="Arial" w:eastAsia="Arial" w:hAnsi="Arial"/>
                <w:sz w:val="16"/>
                <w:szCs w:val="16"/>
                <w:color w:val="auto"/>
                <w:w w:val="99"/>
              </w:rPr>
              <w:t>(In thousands)</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Amounts Payable and Commitments:</w:t>
            </w:r>
          </w:p>
        </w:tc>
        <w:tc>
          <w:tcPr>
            <w:tcW w:w="1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Amounts payable to NagraStar</w:t>
            </w:r>
          </w:p>
        </w:tc>
        <w:tc>
          <w:tcPr>
            <w:tcW w:w="2320" w:type="dxa"/>
            <w:vAlign w:val="bottom"/>
            <w:gridSpan w:val="2"/>
          </w:tcPr>
          <w:p>
            <w:pPr>
              <w:jc w:val="right"/>
              <w:ind w:right="63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5,569</w:t>
            </w:r>
          </w:p>
        </w:tc>
        <w:tc>
          <w:tcPr>
            <w:tcW w:w="600" w:type="dxa"/>
            <w:vAlign w:val="bottom"/>
            <w:gridSpan w:val="2"/>
          </w:tcPr>
          <w:p>
            <w:pPr>
              <w:jc w:val="right"/>
              <w:ind w:right="24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9,821</w:t>
            </w:r>
          </w:p>
        </w:tc>
        <w:tc>
          <w:tcPr>
            <w:tcW w:w="20" w:type="dxa"/>
            <w:vAlign w:val="bottom"/>
          </w:tcPr>
          <w:p>
            <w:pPr>
              <w:spacing w:after="0"/>
              <w:rPr>
                <w:sz w:val="19"/>
                <w:szCs w:val="19"/>
                <w:color w:val="auto"/>
              </w:rPr>
            </w:pPr>
          </w:p>
        </w:tc>
      </w:tr>
      <w:tr>
        <w:trPr>
          <w:trHeight w:val="170"/>
        </w:trPr>
        <w:tc>
          <w:tcPr>
            <w:tcW w:w="20" w:type="dxa"/>
            <w:vAlign w:val="bottom"/>
          </w:tcPr>
          <w:p>
            <w:pPr>
              <w:spacing w:after="0"/>
              <w:rPr>
                <w:sz w:val="14"/>
                <w:szCs w:val="14"/>
                <w:color w:val="auto"/>
              </w:rPr>
            </w:pPr>
          </w:p>
        </w:tc>
        <w:tc>
          <w:tcPr>
            <w:tcW w:w="43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Commitments to NagraStar</w:t>
            </w:r>
          </w:p>
        </w:tc>
        <w:tc>
          <w:tcPr>
            <w:tcW w:w="150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ind w:right="639"/>
              <w:spacing w:after="0" w:line="170" w:lineRule="exact"/>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883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44"/>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1,727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5" w:name="page176"/>
    <w:bookmarkEnd w:id="17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DISH NETWORK CORPORATION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LIST OF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of December 31, 2024</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State or</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Name Doing Business As</w:t>
            </w:r>
          </w:p>
        </w:tc>
      </w:tr>
      <w:tr>
        <w:trPr>
          <w:trHeight w:val="202"/>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DISH DBS Corporation</w:t>
            </w: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Colorado</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DDBS</w:t>
            </w:r>
          </w:p>
        </w:tc>
      </w:tr>
      <w:tr>
        <w:trPr>
          <w:trHeight w:val="203"/>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DISH Network L.L.C.</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Colorado</w:t>
            </w:r>
          </w:p>
        </w:tc>
        <w:tc>
          <w:tcPr>
            <w:tcW w:w="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DNLLC</w:t>
            </w:r>
          </w:p>
        </w:tc>
      </w:tr>
      <w:tr>
        <w:trPr>
          <w:trHeight w:val="20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DISH Wireless Holding L.L.C.</w:t>
            </w:r>
          </w:p>
        </w:tc>
        <w:tc>
          <w:tcPr>
            <w:tcW w:w="12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Colorado</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DISH Wireless</w:t>
            </w:r>
          </w:p>
        </w:tc>
      </w:tr>
      <w:tr>
        <w:trPr>
          <w:trHeight w:val="210"/>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DISH Wireless L.L.C.</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Colorado</w:t>
            </w:r>
          </w:p>
        </w:tc>
        <w:tc>
          <w:tcPr>
            <w:tcW w:w="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DISH Wireless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200660</wp:posOffset>
            </wp:positionV>
            <wp:extent cx="14141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86" w:lineRule="exact"/>
        <w:rPr>
          <w:sz w:val="20"/>
          <w:szCs w:val="20"/>
          <w:color w:val="auto"/>
        </w:rPr>
      </w:pPr>
    </w:p>
    <w:p>
      <w:pPr>
        <w:ind w:left="700" w:hanging="332"/>
        <w:spacing w:after="0"/>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subsidiary of DISH DBS Corporation</w:t>
      </w:r>
    </w:p>
    <w:p>
      <w:pPr>
        <w:spacing w:after="0" w:line="27"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subsidiary of DISH Wireless Holding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6" w:name="page177"/>
    <w:bookmarkEnd w:id="17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Hamid Akhavan, certify that:</w:t>
      </w:r>
    </w:p>
    <w:p>
      <w:pPr>
        <w:spacing w:after="0" w:line="225" w:lineRule="exact"/>
        <w:rPr>
          <w:sz w:val="20"/>
          <w:szCs w:val="20"/>
          <w:color w:val="auto"/>
        </w:rPr>
      </w:pPr>
    </w:p>
    <w:p>
      <w:pPr>
        <w:ind w:left="360" w:hanging="316"/>
        <w:spacing w:after="0"/>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DISH Network Corporation;</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66" w:lineRule="auto"/>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60" w:right="359" w:hanging="316"/>
        <w:spacing w:after="0" w:line="266" w:lineRule="auto"/>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60" w:right="119" w:hanging="316"/>
        <w:spacing w:after="0" w:line="266" w:lineRule="auto"/>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66" w:lineRule="auto"/>
        <w:tabs>
          <w:tab w:leader="none" w:pos="7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32"/>
        <w:spacing w:after="0" w:line="282" w:lineRule="auto"/>
        <w:tabs>
          <w:tab w:leader="none" w:pos="7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18415</wp:posOffset>
            </wp:positionV>
            <wp:extent cx="28289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7" w:name="page178"/>
    <w:bookmarkEnd w:id="17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Paul W. Orban, certify that:</w:t>
      </w:r>
    </w:p>
    <w:p>
      <w:pPr>
        <w:spacing w:after="0" w:line="225" w:lineRule="exact"/>
        <w:rPr>
          <w:sz w:val="20"/>
          <w:szCs w:val="20"/>
          <w:color w:val="auto"/>
        </w:rPr>
      </w:pPr>
    </w:p>
    <w:p>
      <w:pPr>
        <w:ind w:left="360" w:hanging="316"/>
        <w:spacing w:after="0"/>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DISH Network Corporation;</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66" w:lineRule="auto"/>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60" w:right="359" w:hanging="316"/>
        <w:spacing w:after="0" w:line="266" w:lineRule="auto"/>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60" w:right="119" w:hanging="316"/>
        <w:spacing w:after="0" w:line="266" w:lineRule="auto"/>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66" w:lineRule="auto"/>
        <w:tabs>
          <w:tab w:leader="none" w:pos="7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32"/>
        <w:spacing w:after="0" w:line="282" w:lineRule="auto"/>
        <w:tabs>
          <w:tab w:leader="none" w:pos="7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18415</wp:posOffset>
            </wp:positionV>
            <wp:extent cx="28289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8" w:name="page179"/>
    <w:bookmarkEnd w:id="17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07"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DISH Network Corporation (the “Company”) hereby certifies that to the best of his knowledge the Company’s Annual Report on Form 10-K for the year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Dated: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17145</wp:posOffset>
            </wp:positionV>
            <wp:extent cx="25203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r>
        <w:rPr>
          <w:rFonts w:ascii="Times New Roman" w:cs="Times New Roman" w:eastAsia="Times New Roman" w:hAnsi="Times New Roman"/>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18415</wp:posOffset>
            </wp:positionV>
            <wp:extent cx="25203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25"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6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339725</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79" w:name="page180"/>
    <w:bookmarkEnd w:id="17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07"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DISH Network Corporation (the “Company”) hereby certifies that to the best of his knowledge the Company’s Annual Report on Form 10-K for the year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Dated: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17145</wp:posOffset>
            </wp:positionV>
            <wp:extent cx="25203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r>
        <w:rPr>
          <w:rFonts w:ascii="Times New Roman" w:cs="Times New Roman" w:eastAsia="Times New Roman" w:hAnsi="Times New Roman"/>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18415</wp:posOffset>
            </wp:positionV>
            <wp:extent cx="25203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DISH</w:t>
      </w:r>
    </w:p>
    <w:p>
      <w:pPr>
        <w:spacing w:after="0" w:line="234"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6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1)"/>
      <w:numFmt w:val="decimal"/>
      <w:start w:val="2"/>
    </w:lvl>
  </w:abstractNum>
  <w:abstractNum w:abstractNumId="13">
    <w:nsid w:val="520EEDD1"/>
    <w:multiLevelType w:val="hybridMultilevel"/>
    <w:lvl w:ilvl="0">
      <w:lvlJc w:val="left"/>
      <w:lvlText w:val="%1)"/>
      <w:numFmt w:val="upperLetter"/>
      <w:start w:val="7"/>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lvl w:ilvl="1">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1)"/>
      <w:numFmt w:val="lowerRoman"/>
      <w:start w:val="4"/>
    </w:lvl>
  </w:abstractNum>
  <w:abstractNum w:abstractNumId="25">
    <w:nsid w:val="15B5AF5C"/>
    <w:multiLevelType w:val="hybridMultilevel"/>
    <w:lvl w:ilvl="0">
      <w:lvlJc w:val="left"/>
      <w:lvlText w:val="(%1)"/>
      <w:numFmt w:val="decimal"/>
      <w:start w:val="1"/>
    </w:lvl>
  </w:abstractNum>
  <w:abstractNum w:abstractNumId="26">
    <w:nsid w:val="741226BB"/>
    <w:multiLevelType w:val="hybridMultilevel"/>
    <w:lvl w:ilvl="0">
      <w:lvlJc w:val="left"/>
      <w:lvlText w:val="(%1)"/>
      <w:numFmt w:val="lowerRoman"/>
      <w:start w:val="3"/>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1)"/>
      <w:numFmt w:val="decimal"/>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1)"/>
      <w:numFmt w:val="lowerRoman"/>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decimal"/>
      <w:start w:val="2"/>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decimal"/>
      <w:start w:val="2"/>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3"/>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1."/>
      <w:numFmt w:val="decimal"/>
      <w:start w:val="4"/>
    </w:lvl>
  </w:abstractNum>
  <w:abstractNum w:abstractNumId="54">
    <w:nsid w:val="5DC79EA8"/>
    <w:multiLevelType w:val="hybridMultilevel"/>
    <w:lvl w:ilvl="0">
      <w:lvlJc w:val="left"/>
      <w:lvlText w:val="%1."/>
      <w:numFmt w:val="decimal"/>
      <w:start w:val="5"/>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decimal"/>
      <w:start w:val="7"/>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1)"/>
      <w:numFmt w:val="decimal"/>
      <w:start w:val="1"/>
    </w:lvl>
  </w:abstractNum>
  <w:abstractNum w:abstractNumId="59">
    <w:nsid w:val="BF72B14"/>
    <w:multiLevelType w:val="hybridMultilevel"/>
    <w:lvl w:ilvl="0">
      <w:lvlJc w:val="left"/>
      <w:lvlText w:val="%1."/>
      <w:numFmt w:val="decimal"/>
      <w:start w:val="8"/>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1."/>
      <w:numFmt w:val="decimal"/>
      <w:start w:val="9"/>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1)"/>
      <w:numFmt w:val="decimal"/>
      <w:start w:val="9"/>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10"/>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decimal"/>
      <w:start w:val="11"/>
    </w:lvl>
  </w:abstractNum>
  <w:abstractNum w:abstractNumId="76">
    <w:nsid w:val="6EB5BD4"/>
    <w:multiLevelType w:val="hybridMultilevel"/>
    <w:lvl w:ilvl="0">
      <w:lvlJc w:val="left"/>
      <w:lvlText w:val="%1."/>
      <w:numFmt w:val="decimal"/>
      <w:start w:val="12"/>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1."/>
      <w:numFmt w:val="decimal"/>
      <w:start w:val="13"/>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1)"/>
      <w:numFmt w:val="decimal"/>
      <w:start w:val="1"/>
    </w:lvl>
  </w:abstractNum>
  <w:abstractNum w:abstractNumId="81">
    <w:nsid w:val="4C04A8AF"/>
    <w:multiLevelType w:val="hybridMultilevel"/>
    <w:lvl w:ilvl="0">
      <w:lvlJc w:val="left"/>
      <w:lvlText w:val="(%1)"/>
      <w:numFmt w:val="decimal"/>
      <w:start w:val="5"/>
    </w:lvl>
  </w:abstractNum>
  <w:abstractNum w:abstractNumId="82">
    <w:nsid w:val="1716703B"/>
    <w:multiLevelType w:val="hybridMultilevel"/>
    <w:lvl w:ilvl="0">
      <w:lvlJc w:val="left"/>
      <w:lvlText w:val="(%1)"/>
      <w:numFmt w:val="decimal"/>
      <w:start w:val="11"/>
    </w:lvl>
  </w:abstractNum>
  <w:abstractNum w:abstractNumId="83">
    <w:nsid w:val="14E17E33"/>
    <w:multiLevelType w:val="hybridMultilevel"/>
    <w:lvl w:ilvl="0">
      <w:lvlJc w:val="left"/>
      <w:lvlText w:val="%1."/>
      <w:numFmt w:val="decimal"/>
      <w:start w:val="14"/>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15"/>
    </w:lvl>
  </w:abstractNum>
  <w:abstractNum w:abstractNumId="86">
    <w:nsid w:val="68EBC550"/>
    <w:multiLevelType w:val="hybridMultilevel"/>
    <w:lvl w:ilvl="0">
      <w:lvlJc w:val="left"/>
      <w:lvlText w:val="%1."/>
      <w:numFmt w:val="decimal"/>
      <w:start w:val="16"/>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decimal"/>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8" Type="http://schemas.openxmlformats.org/officeDocument/2006/relationships/image" Target="media/image83.png"/><Relationship Id="rId109" Type="http://schemas.openxmlformats.org/officeDocument/2006/relationships/image" Target="media/image84.png"/><Relationship Id="rId122" Type="http://schemas.openxmlformats.org/officeDocument/2006/relationships/image" Target="media/image85.png"/><Relationship Id="rId135" Type="http://schemas.openxmlformats.org/officeDocument/2006/relationships/image" Target="media/image86.png"/><Relationship Id="rId137" Type="http://schemas.openxmlformats.org/officeDocument/2006/relationships/image" Target="media/image87.png"/><Relationship Id="rId138" Type="http://schemas.openxmlformats.org/officeDocument/2006/relationships/image" Target="media/image88.png"/><Relationship Id="rId139"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90" Type="http://schemas.openxmlformats.org/officeDocument/2006/relationships/hyperlink" Target="https://www.sec.gov/Archives/edgar/data/1001082/000155837019006461/dish-20190630ex220782796.htm" TargetMode="External"/><Relationship Id="rId91" Type="http://schemas.openxmlformats.org/officeDocument/2006/relationships/hyperlink" Target="https://www.sec.gov/Archives/edgar/data/1001082/000100108220000027/dish-20200617ex9914595c9.htm" TargetMode="External"/><Relationship Id="rId92" Type="http://schemas.openxmlformats.org/officeDocument/2006/relationships/hyperlink" Target="https://www.sec.gov/Archives/edgar/data/1415404/000110465923106152/tm2326297d1_ex2-1.htm" TargetMode="External"/><Relationship Id="rId93" Type="http://schemas.openxmlformats.org/officeDocument/2006/relationships/hyperlink" Target="https://www.sec.gov/Archives/edgar/data/1001082/000110465924000088/tm2333859d17_ex3-1.htm" TargetMode="External"/><Relationship Id="rId94" Type="http://schemas.openxmlformats.org/officeDocument/2006/relationships/hyperlink" Target="https://www.sec.gov/Archives/edgar/data/1001082/000110465924000088/tm2333859d17_ex3-2.htm" TargetMode="External"/><Relationship Id="rId95" Type="http://schemas.openxmlformats.org/officeDocument/2006/relationships/hyperlink" Target="https://www.sec.gov/Archives/edgar/data/1001082/000110465916126862/a16-13226_1ex4d1.htm" TargetMode="External"/><Relationship Id="rId96" Type="http://schemas.openxmlformats.org/officeDocument/2006/relationships/hyperlink" Target="https://www.sec.gov/Archives/edgar/data/1001082/000110465916137968/a16-16336_1ex4d1.htm" TargetMode="External"/><Relationship Id="rId97" Type="http://schemas.openxmlformats.org/officeDocument/2006/relationships/hyperlink" Target="https://www.sec.gov/Archives/edgar/data/1042642/000155837018002595/ddbs-20171231ex416308073.htm" TargetMode="External"/><Relationship Id="rId99" Type="http://schemas.openxmlformats.org/officeDocument/2006/relationships/hyperlink" Target="https://www.sec.gov/Archives/edgar/data/1001082/000110465920079790/tm2023759d1_ex4-1.htm" TargetMode="External"/><Relationship Id="rId100" Type="http://schemas.openxmlformats.org/officeDocument/2006/relationships/hyperlink" Target="https://www.sec.gov/Archives/edgar/data/1001082/000110465920138382/tm2039047d1_ex4-1.htm" TargetMode="External"/><Relationship Id="rId101" Type="http://schemas.openxmlformats.org/officeDocument/2006/relationships/hyperlink" Target="https://www.sec.gov/Archives/edgar/data/1415404/000110465924000089/tm2333745d3_ex4-2.htm" TargetMode="External"/><Relationship Id="rId102" Type="http://schemas.openxmlformats.org/officeDocument/2006/relationships/hyperlink" Target="https://www.sec.gov/Archives/edgar/data/1415404/000110465924000089/tm2333745d3_ex4-6.htm" TargetMode="External"/><Relationship Id="rId103" Type="http://schemas.openxmlformats.org/officeDocument/2006/relationships/hyperlink" Target="https://www.sec.gov/Archives/edgar/data/1001082/000110465921071173/tm2117189d1_ex4-1.htm" TargetMode="External"/><Relationship Id="rId104" Type="http://schemas.openxmlformats.org/officeDocument/2006/relationships/hyperlink" Target="https://www.sec.gov/Archives/edgar/data/1001082/000110465921143897/tm2133750d1_ex4-1.htm" TargetMode="External"/><Relationship Id="rId105" Type="http://schemas.openxmlformats.org/officeDocument/2006/relationships/hyperlink" Target="https://www.sec.gov/Archives/edgar/data/1001082/000110465921143897/tm2133750d1_ex4-2.htm" TargetMode="External"/><Relationship Id="rId106" Type="http://schemas.openxmlformats.org/officeDocument/2006/relationships/hyperlink" Target="https://www.sec.gov/Archives/edgar/data/1001082/000110465921143897/tm2133750d1_ex4-3.htm" TargetMode="External"/><Relationship Id="rId107" Type="http://schemas.openxmlformats.org/officeDocument/2006/relationships/hyperlink" Target="https://www.sec.gov/Archives/edgar/data/1001082/000110465923007047/tm233537d3_ex4-1.htm" TargetMode="External"/><Relationship Id="rId108" Type="http://schemas.openxmlformats.org/officeDocument/2006/relationships/hyperlink" Target="https://www.sec.gov/Archives/edgar/data/1001082/000110465922119157/tm2229374d3_ex4-2.htm" TargetMode="External"/><Relationship Id="rId110" Type="http://schemas.openxmlformats.org/officeDocument/2006/relationships/hyperlink" Target="https://www.sec.gov/Archives/edgar/data/1001082/000110465924117961/tm2428023d1_ex4-1.htm" TargetMode="External"/><Relationship Id="rId111" Type="http://schemas.openxmlformats.org/officeDocument/2006/relationships/hyperlink" Target="https://www.sec.gov/Archives/edgar/data/1001082/000110465924117961/tm2428023d1_ex4-2.htm" TargetMode="External"/><Relationship Id="rId112" Type="http://schemas.openxmlformats.org/officeDocument/2006/relationships/hyperlink" Target="https://www.sec.gov/Archives/edgar/data/1001082/000095013402003359/d95798ddef14a.txt" TargetMode="External"/><Relationship Id="rId113" Type="http://schemas.openxmlformats.org/officeDocument/2006/relationships/hyperlink" Target="https://www.sec.gov/Archives/edgar/data/1001082/000103570405000342/d26860exv99w6.htm" TargetMode="External"/><Relationship Id="rId114" Type="http://schemas.openxmlformats.org/officeDocument/2006/relationships/hyperlink" Target="https://www.sec.gov/Archives/edgar/data/1001082/000110465914067158/a14-20516_2def14a.htm" TargetMode="External"/><Relationship Id="rId115" Type="http://schemas.openxmlformats.org/officeDocument/2006/relationships/hyperlink" Target="https://www.sec.gov/Archives/edgar/data/1001082/000103570409000018/d67042def14a.htm" TargetMode="External"/><Relationship Id="rId116" Type="http://schemas.openxmlformats.org/officeDocument/2006/relationships/hyperlink" Target="https://www.sec.gov/Archives/edgar/data/1001082/000110465915068740/a15-20572_1ex10d2.htm" TargetMode="External"/><Relationship Id="rId117" Type="http://schemas.openxmlformats.org/officeDocument/2006/relationships/hyperlink" Target="https://www.sec.gov/Archives/edgar/data/1001082/000110465915068740/a15-20572_1ex10d4.htm" TargetMode="External"/><Relationship Id="rId118" Type="http://schemas.openxmlformats.org/officeDocument/2006/relationships/hyperlink" Target="https://www.sec.gov/Archives/edgar/data/1001082/000110465916137968/a16-16336_1ex10d1.htm" TargetMode="External"/><Relationship Id="rId119" Type="http://schemas.openxmlformats.org/officeDocument/2006/relationships/hyperlink" Target="https://www.sec.gov/Archives/edgar/data/1001082/000110465916137968/a16-16336_1ex10d2.htm" TargetMode="External"/><Relationship Id="rId120" Type="http://schemas.openxmlformats.org/officeDocument/2006/relationships/hyperlink" Target="https://www.sec.gov/Archives/edgar/data/1001082/000110465916161284/a16-22870_18k.htm" TargetMode="External"/><Relationship Id="rId121" Type="http://schemas.openxmlformats.org/officeDocument/2006/relationships/hyperlink" Target="https://www.sec.gov/Archives/edgar/data/1001082/000100108218000015/dish-20180823x8k.htm" TargetMode="External"/><Relationship Id="rId123" Type="http://schemas.openxmlformats.org/officeDocument/2006/relationships/hyperlink" Target="https://www.sec.gov/Archives/edgar/data/1001082/000155837020013008/dish-20200930xex10d1.htm" TargetMode="External"/><Relationship Id="rId124" Type="http://schemas.openxmlformats.org/officeDocument/2006/relationships/hyperlink" Target="https://www.sec.gov/Archives/edgar/data/1001082/000155837020013008/dish-20200930xex10d2.htm" TargetMode="External"/><Relationship Id="rId125" Type="http://schemas.openxmlformats.org/officeDocument/2006/relationships/hyperlink" Target="https://www.sec.gov/Archives/edgar/data/1001082/000155837020013008/dish-20200930xex10d3.htm" TargetMode="External"/><Relationship Id="rId126" Type="http://schemas.openxmlformats.org/officeDocument/2006/relationships/hyperlink" Target="https://www.sec.gov/Archives/edgar/data/1001082/000155837020013008/dish-20200930xex10d4.htm" TargetMode="External"/><Relationship Id="rId127" Type="http://schemas.openxmlformats.org/officeDocument/2006/relationships/hyperlink" Target="https://www.sec.gov/Archives/edgar/data/1001082/000155837020013008/dish-20200930xex10d5.htm" TargetMode="External"/><Relationship Id="rId128" Type="http://schemas.openxmlformats.org/officeDocument/2006/relationships/hyperlink" Target="https://www.sec.gov/Archives/edgar/data/1001082/000155837021014419/dish-20210930xex10d1.htm" TargetMode="External"/><Relationship Id="rId129" Type="http://schemas.openxmlformats.org/officeDocument/2006/relationships/hyperlink" Target="https://www.sec.gov/Archives/edgar/data/1415404/000110465923106157/tm2327406-1_s4.htm#tANXB" TargetMode="External"/><Relationship Id="rId130" Type="http://schemas.openxmlformats.org/officeDocument/2006/relationships/hyperlink" Target="https://www.sec.gov/Archives/edgar/data/1415404/000110465924000089/tm2333745d3_ex4-8.htm" TargetMode="External"/><Relationship Id="rId131" Type="http://schemas.openxmlformats.org/officeDocument/2006/relationships/hyperlink" Target="https://www.sec.gov/Archives/edgar/data/1415404/000110465924000089/tm2333745d3_ex4-9.htm" TargetMode="External"/><Relationship Id="rId132" Type="http://schemas.openxmlformats.org/officeDocument/2006/relationships/hyperlink" Target="https://www.sec.gov/Archives/edgar/data/1415404/000110465924000089/tm2333745d3_ex4-11.htm" TargetMode="External"/><Relationship Id="rId133" Type="http://schemas.openxmlformats.org/officeDocument/2006/relationships/hyperlink" Target="https://www.sec.gov/Archives/edgar/data/1415404/000110465924103932/tm2425160d1_ex10-1.htm" TargetMode="External"/><Relationship Id="rId134" Type="http://schemas.openxmlformats.org/officeDocument/2006/relationships/hyperlink" Target="https://www.sec.gov/Archives/edgar/data/1415404/000155837025001663/tmb-20241231xex19.htm" TargetMode="External"/><Relationship Id="rId136" Type="http://schemas.openxmlformats.org/officeDocument/2006/relationships/hyperlink" Target="https://www.sec.gov/Archives/edgar/data/1001082/000155837021010868/dish-20210630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2025-03-12T16:15:16Z</dcterms:created>
  <dcterms:modified xsi:type="dcterms:W3CDTF">2025-03-12T16:15:16Z</dcterms:modified>
</cp:coreProperties>
</file>