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dish-20250930x10q.htm"/>
        <w:bookmarkStart w:id="1" w:name="ksdish2025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lineRule="atLeast" w:line="142" w:before="0" w:after="0"/>
        <w:ind w:left="0" w:right="0" w:hanging="0"/>
        <w:jc w:val="left"/>
        <w:rPr>
          <w:shd w:fill="00FF00" w:val="clear"/>
        </w:rPr>
      </w:pPr>
      <w:r>
        <w:rPr>
          <w:shd w:fill="00FF00" w:val="clear"/>
        </w:rPr>
        <w:t>​</w:t>
      </w:r>
    </w:p>
    <w:p>
      <w:pPr>
        <w:pStyle w:val="TextBody"/>
        <w:pBdr/>
        <w:bidi w:val="0"/>
        <w:spacing w:lineRule="atLeast" w:line="142" w:before="0" w:after="0"/>
        <w:ind w:left="0" w:right="0" w:hanging="0"/>
        <w:jc w:val="left"/>
        <w:rPr>
          <w:shd w:fill="00FF00" w:val="clear"/>
        </w:rPr>
      </w:pPr>
      <w:r>
        <w:rPr>
          <w:shd w:fill="00FF00" w:val="clear"/>
        </w:rPr>
        <w:t>​</w:t>
      </w:r>
    </w:p>
    <w:p>
      <w:pPr>
        <w:pStyle w:val="TextBody"/>
        <w:pBdr/>
        <w:bidi w:val="0"/>
        <w:spacing w:lineRule="atLeast" w:line="142" w:before="0" w:after="0"/>
        <w:ind w:left="0" w:right="0" w:hanging="0"/>
        <w:jc w:val="left"/>
        <w:rPr>
          <w:shd w:fill="00FF00" w:val="clear"/>
        </w:rPr>
      </w:pPr>
      <w:r>
        <w:rPr>
          <w:shd w:fill="00FF00" w:val="clear"/>
        </w:rPr>
        <w:t>​</w:t>
      </w:r>
    </w:p>
    <w:p>
      <w:pPr>
        <w:pStyle w:val="TextBody"/>
        <w:pBdr>
          <w:bottom w:val="single" w:sz="8" w:space="1" w:color="000000"/>
        </w:pBdr>
        <w:bidi w:val="0"/>
        <w:spacing w:lineRule="atLeast" w:line="142" w:before="0" w:after="0"/>
        <w:ind w:left="0" w:right="0" w:hanging="0"/>
        <w:jc w:val="left"/>
        <w:rPr>
          <w:shd w:fill="00FF00" w:val="clear"/>
        </w:rPr>
      </w:pPr>
      <w:r>
        <w:rPr>
          <w:shd w:fill="00FF00" w:val="clear"/>
        </w:rPr>
        <w:t>​</w:t>
      </w:r>
    </w:p>
    <w:p>
      <w:pPr>
        <w:pStyle w:val="TextBody"/>
        <w:bidi w:val="0"/>
        <w:spacing w:before="0" w:after="0"/>
        <w:ind w:left="0" w:right="0" w:hanging="0"/>
        <w:jc w:val="both"/>
        <w:rPr>
          <w:spacing w:val="-2"/>
          <w:shd w:fill="00FF00" w:val="clear"/>
        </w:rPr>
      </w:pPr>
      <w:r>
        <w:rPr>
          <w:spacing w:val="-2"/>
          <w:shd w:fill="00FF00" w:val="clear"/>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28"/>
        </w:rPr>
      </w:pPr>
      <w:bookmarkStart w:id="2" w:name="_b33cf8fd_375a_4fc8_85a4_74d121defdf9"/>
      <w:bookmarkEnd w:id="2"/>
      <w:r>
        <w:rPr>
          <w:rFonts w:ascii="Arial;Helvetica;sans-serif" w:hAnsi="Arial;Helvetica;sans-serif"/>
          <w:b/>
          <w:spacing w:val="-2"/>
          <w:sz w:val="28"/>
        </w:rPr>
        <w:t>UNITED STATES</w:t>
      </w:r>
    </w:p>
    <w:p>
      <w:pPr>
        <w:pStyle w:val="TextBody"/>
        <w:bidi w:val="0"/>
        <w:spacing w:before="0" w:after="0"/>
        <w:ind w:left="0" w:right="0" w:hanging="0"/>
        <w:jc w:val="center"/>
        <w:rPr>
          <w:rFonts w:ascii="Arial;Helvetica;sans-serif" w:hAnsi="Arial;Helvetica;sans-serif"/>
          <w:b/>
          <w:spacing w:val="-2"/>
          <w:sz w:val="28"/>
        </w:rPr>
      </w:pPr>
      <w:r>
        <w:rPr>
          <w:rFonts w:ascii="Arial;Helvetica;sans-serif" w:hAnsi="Arial;Helvetica;sans-serif"/>
          <w:b/>
          <w:spacing w:val="-2"/>
          <w:sz w:val="28"/>
        </w:rPr>
        <w:t>SECURITIES AND EXCHANGE COMMISSION</w:t>
      </w:r>
    </w:p>
    <w:p>
      <w:pPr>
        <w:pStyle w:val="TextBody"/>
        <w:bidi w:val="0"/>
        <w:spacing w:before="0" w:after="0"/>
        <w:ind w:left="0" w:right="0" w:hanging="0"/>
        <w:jc w:val="center"/>
        <w:rPr>
          <w:rFonts w:ascii="Arial;Helvetica;sans-serif" w:hAnsi="Arial;Helvetica;sans-serif"/>
          <w:b/>
          <w:spacing w:val="-2"/>
          <w:sz w:val="18"/>
        </w:rPr>
      </w:pPr>
      <w:r>
        <w:rPr>
          <w:rFonts w:ascii="Arial;Helvetica;sans-serif" w:hAnsi="Arial;Helvetica;sans-serif"/>
          <w:b/>
          <w:spacing w:val="-2"/>
          <w:sz w:val="18"/>
        </w:rPr>
        <w:t>Washington, D.C. 20549</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32"/>
        </w:rPr>
      </w:pPr>
      <w:r>
        <w:rPr>
          <w:rFonts w:ascii="Arial;Helvetica;sans-serif" w:hAnsi="Arial;Helvetica;sans-serif"/>
          <w:b/>
          <w:spacing w:val="-2"/>
          <w:sz w:val="32"/>
        </w:rPr>
        <w:t>Form 10-Q</w:t>
      </w:r>
    </w:p>
    <w:p>
      <w:pPr>
        <w:pStyle w:val="TextBody"/>
        <w:bidi w:val="0"/>
        <w:spacing w:before="0" w:after="0"/>
        <w:ind w:left="0" w:right="0" w:hanging="0"/>
        <w:jc w:val="both"/>
        <w:rPr>
          <w:rFonts w:ascii="Arial;Helvetica;sans-serif" w:hAnsi="Arial;Helvetica;sans-serif"/>
          <w:b/>
          <w:spacing w:val="-2"/>
          <w:sz w:val="18"/>
        </w:rPr>
      </w:pPr>
      <w:r>
        <w:rPr>
          <w:rFonts w:ascii="Arial;Helvetica;sans-serif" w:hAnsi="Arial;Helvetica;sans-serif"/>
          <w:b/>
          <w:spacing w:val="-2"/>
          <w:sz w:val="18"/>
        </w:rPr>
        <w:t>(Mark One)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 xml:space="preserve">☒ </w:t>
      </w:r>
      <w:r>
        <w:rPr>
          <w:rFonts w:ascii="Arial;Helvetica;sans-serif" w:hAnsi="Arial;Helvetica;sans-serif"/>
          <w:b/>
          <w:spacing w:val="-2"/>
          <w:sz w:val="18"/>
        </w:rPr>
        <w:t>QUARTERLY REPORT PURSUANT TO SECTION 13 OR 15(d) OF THE SECURITIES EXCHANGE ACT OF 1934</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8"/>
        </w:rPr>
      </w:pPr>
      <w:r>
        <w:rPr>
          <w:rFonts w:ascii="Arial;Helvetica;sans-serif" w:hAnsi="Arial;Helvetica;sans-serif"/>
          <w:b/>
          <w:spacing w:val="-2"/>
          <w:sz w:val="18"/>
        </w:rPr>
        <w:t>FOR THE QUARTERLY PERIOD ENDED SEPTEMBER 30, 2025.</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OR</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  </w:t>
      </w:r>
      <w:r>
        <w:rPr>
          <w:rFonts w:ascii="Arial;Helvetica;sans-serif" w:hAnsi="Arial;Helvetica;sans-serif"/>
          <w:b/>
          <w:spacing w:val="-2"/>
          <w:sz w:val="18"/>
        </w:rPr>
        <w:t>TRANSITION REPORT PURSUANT TO SECTION 13 OR 15(d) OF THE SECURITIES EXCHANGE ACT OF 1934</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8"/>
        </w:rPr>
      </w:pPr>
      <w:r>
        <w:rPr>
          <w:rFonts w:ascii="Arial;Helvetica;sans-serif" w:hAnsi="Arial;Helvetica;sans-serif"/>
          <w:b/>
          <w:spacing w:val="-2"/>
          <w:sz w:val="18"/>
        </w:rPr>
        <w:t>FOR THE TRANSITION PERIOD FROM                               TO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Commission File Number: 001-39144</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28"/>
        </w:rPr>
      </w:pPr>
      <w:r>
        <w:rPr>
          <w:rFonts w:ascii="Arial;Helvetica;sans-serif" w:hAnsi="Arial;Helvetica;sans-serif"/>
          <w:b/>
          <w:spacing w:val="-2"/>
          <w:sz w:val="28"/>
        </w:rPr>
        <w:t>DISH Network Corporation</w:t>
      </w:r>
    </w:p>
    <w:p>
      <w:pPr>
        <w:pStyle w:val="TextBody"/>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(Exact name of registrant as specified in its charter)</w:t>
      </w:r>
    </w:p>
    <w:p>
      <w:pPr>
        <w:pStyle w:val="TextBody"/>
        <w:bidi w:val="0"/>
        <w:spacing w:before="0" w:after="0"/>
        <w:ind w:left="0" w:right="0" w:hanging="0"/>
        <w:jc w:val="center"/>
        <w:rPr>
          <w:spacing w:val="-2"/>
        </w:rPr>
      </w:pPr>
      <w:r>
        <w:rPr>
          <w:spacing w:val="-2"/>
        </w:rPr>
        <w:t>​</w:t>
      </w:r>
    </w:p>
    <w:p>
      <w:pPr>
        <w:pStyle w:val="Normal"/>
        <w:bidi w:val="0"/>
        <w:spacing w:before="0" w:after="0"/>
        <w:jc w:val="left"/>
        <w:rPr>
          <w:sz w:val="4"/>
          <w:szCs w:val="4"/>
        </w:rPr>
      </w:pPr>
      <w:r>
        <w:rPr>
          <w:sz w:val="4"/>
          <w:szCs w:val="4"/>
        </w:rPr>
      </w:r>
      <w:bookmarkStart w:id="3" w:name="Tc_7k6IwU_Bc0eJJrrx9fldUg_6_2"/>
      <w:bookmarkStart w:id="4" w:name="Tc_tTyiXx5hl06IeN3RSvhJJw_6_0"/>
      <w:bookmarkStart w:id="5" w:name="Tc_wn2VMLOmXEeXot4_3mx6jA_5_0"/>
      <w:bookmarkStart w:id="6" w:name="Tc_BFxkjuo-EUCw-4yihHmvyw_2_2"/>
      <w:bookmarkStart w:id="7" w:name="Tc_gTEeIYi31kum_O20iAQLTw_2_0"/>
      <w:bookmarkStart w:id="8" w:name="_29c2fb5b_6211_4530_99aa_9a4b2565e077"/>
      <w:bookmarkStart w:id="9" w:name="Tc_7k6IwU_Bc0eJJrrx9fldUg_6_2"/>
      <w:bookmarkStart w:id="10" w:name="Tc_tTyiXx5hl06IeN3RSvhJJw_6_0"/>
      <w:bookmarkStart w:id="11" w:name="Tc_wn2VMLOmXEeXot4_3mx6jA_5_0"/>
      <w:bookmarkStart w:id="12" w:name="Tc_BFxkjuo-EUCw-4yihHmvyw_2_2"/>
      <w:bookmarkStart w:id="13" w:name="Tc_gTEeIYi31kum_O20iAQLTw_2_0"/>
      <w:bookmarkStart w:id="14" w:name="_29c2fb5b_6211_4530_99aa_9a4b2565e077"/>
      <w:bookmarkEnd w:id="9"/>
      <w:bookmarkEnd w:id="10"/>
      <w:bookmarkEnd w:id="11"/>
      <w:bookmarkEnd w:id="12"/>
      <w:bookmarkEnd w:id="13"/>
      <w:bookmarkEnd w:id="14"/>
    </w:p>
    <w:tbl>
      <w:tblPr>
        <w:tblW w:w="6953" w:type="dxa"/>
        <w:jc w:val="left"/>
        <w:tblInd w:w="0" w:type="dxa"/>
        <w:tblLayout w:type="fixed"/>
        <w:tblCellMar>
          <w:top w:w="0" w:type="dxa"/>
          <w:left w:w="0" w:type="dxa"/>
          <w:bottom w:w="0" w:type="dxa"/>
          <w:right w:w="0" w:type="dxa"/>
        </w:tblCellMar>
      </w:tblPr>
      <w:tblGrid>
        <w:gridCol w:w="4244"/>
        <w:gridCol w:w="109"/>
        <w:gridCol w:w="2600"/>
      </w:tblGrid>
      <w:tr>
        <w:trPr/>
        <w:tc>
          <w:tcPr>
            <w:tcW w:w="4244" w:type="dxa"/>
            <w:tcBorders/>
            <w:vAlign w:val="center"/>
          </w:tcPr>
          <w:p>
            <w:pPr>
              <w:pStyle w:val="TableContents"/>
              <w:bidi w:val="0"/>
              <w:spacing w:before="0" w:after="0"/>
              <w:ind w:left="0" w:right="0" w:hanging="0"/>
              <w:jc w:val="center"/>
              <w:rPr>
                <w:spacing w:val="-2"/>
              </w:rPr>
            </w:pPr>
            <w:r>
              <w:rPr>
                <w:spacing w:val="-2"/>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spacing w:val="-2"/>
                                    </w:rPr>
                                  </w:pPr>
                                  <w:r>
                                    <w:rPr>
                                      <w:spacing w:val="-2"/>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spacing w:val="-2"/>
                              </w:rPr>
                            </w:pPr>
                            <w:r>
                              <w:rPr>
                                <w:spacing w:val="-2"/>
                              </w:rPr>
                              <w:t>​</w:t>
                            </w:r>
                          </w:p>
                        </w:txbxContent>
                      </v:textbox>
                      <w10:wrap type="none"/>
                    </v:rect>
                  </w:pict>
                </mc:Fallback>
              </mc:AlternateContent>
            </w:r>
          </w:p>
        </w:tc>
        <w:tc>
          <w:tcPr>
            <w:tcW w:w="2600" w:type="dxa"/>
            <w:tcBorders/>
            <w:vAlign w:val="center"/>
          </w:tcPr>
          <w:p>
            <w:pPr>
              <w:pStyle w:val="TableContents"/>
              <w:bidi w:val="0"/>
              <w:spacing w:before="0" w:after="0"/>
              <w:ind w:left="0" w:right="0" w:hanging="0"/>
              <w:jc w:val="center"/>
              <w:rPr>
                <w:spacing w:val="-2"/>
              </w:rPr>
            </w:pPr>
            <w:r>
              <w:rPr>
                <w:spacing w:val="-2"/>
              </w:rPr>
              <w:t>​</w:t>
            </w:r>
          </w:p>
        </w:tc>
      </w:tr>
      <w:tr>
        <w:trPr/>
        <w:tc>
          <w:tcPr>
            <w:tcW w:w="4244" w:type="dxa"/>
            <w:tcBorders/>
            <w:vAlign w:val="center"/>
          </w:tcPr>
          <w:p>
            <w:pPr>
              <w:pStyle w:val="TableContents"/>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Nevada</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600" w:type="dxa"/>
            <w:tcBorders/>
            <w:vAlign w:val="center"/>
          </w:tcPr>
          <w:p>
            <w:pPr>
              <w:pStyle w:val="TableContents"/>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88-0336997</w:t>
            </w:r>
          </w:p>
        </w:tc>
      </w:tr>
      <w:tr>
        <w:trPr/>
        <w:tc>
          <w:tcPr>
            <w:tcW w:w="4244" w:type="dxa"/>
            <w:tcBorders/>
            <w:vAlign w:val="center"/>
          </w:tcPr>
          <w:p>
            <w:pPr>
              <w:pStyle w:val="TableContents"/>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(State or other jurisdiction of incorporation or organization)</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600" w:type="dxa"/>
            <w:tcBorders/>
            <w:vAlign w:val="center"/>
          </w:tcPr>
          <w:p>
            <w:pPr>
              <w:pStyle w:val="TableContents"/>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(I.R.S. Employer Identification No.)</w:t>
            </w:r>
          </w:p>
        </w:tc>
      </w:tr>
      <w:tr>
        <w:trPr/>
        <w:tc>
          <w:tcPr>
            <w:tcW w:w="4244" w:type="dxa"/>
            <w:tcBorders/>
            <w:vAlign w:val="center"/>
          </w:tcPr>
          <w:p>
            <w:pPr>
              <w:pStyle w:val="TableContents"/>
              <w:bidi w:val="0"/>
              <w:spacing w:before="0" w:after="0"/>
              <w:ind w:left="0" w:right="0" w:hanging="0"/>
              <w:jc w:val="center"/>
              <w:rPr>
                <w:spacing w:val="-2"/>
              </w:rPr>
            </w:pPr>
            <w:r>
              <w:rPr>
                <w:spacing w:val="-2"/>
              </w:rPr>
              <w:t>​</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600" w:type="dxa"/>
            <w:tcBorders/>
            <w:vAlign w:val="center"/>
          </w:tcPr>
          <w:p>
            <w:pPr>
              <w:pStyle w:val="TableContents"/>
              <w:bidi w:val="0"/>
              <w:spacing w:before="0" w:after="0"/>
              <w:ind w:left="0" w:right="0" w:hanging="0"/>
              <w:jc w:val="center"/>
              <w:rPr>
                <w:spacing w:val="-2"/>
              </w:rPr>
            </w:pPr>
            <w:r>
              <w:rPr>
                <w:spacing w:val="-2"/>
              </w:rPr>
              <w:t>​</w:t>
            </w:r>
          </w:p>
        </w:tc>
      </w:tr>
      <w:tr>
        <w:trPr/>
        <w:tc>
          <w:tcPr>
            <w:tcW w:w="4244" w:type="dxa"/>
            <w:tcBorders/>
            <w:vAlign w:val="center"/>
          </w:tcPr>
          <w:p>
            <w:pPr>
              <w:pStyle w:val="TableContents"/>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9601 South Meridian Boulevard</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600" w:type="dxa"/>
            <w:tcBorders/>
            <w:vAlign w:val="center"/>
          </w:tcPr>
          <w:p>
            <w:pPr>
              <w:pStyle w:val="TableContents"/>
              <w:bidi w:val="0"/>
              <w:spacing w:before="0" w:after="0"/>
              <w:ind w:left="0" w:right="0" w:hanging="0"/>
              <w:jc w:val="center"/>
              <w:rPr>
                <w:spacing w:val="-2"/>
              </w:rPr>
            </w:pPr>
            <w:r>
              <w:rPr>
                <w:spacing w:val="-2"/>
              </w:rPr>
              <w:t>​</w:t>
            </w:r>
          </w:p>
        </w:tc>
      </w:tr>
      <w:tr>
        <w:trPr/>
        <w:tc>
          <w:tcPr>
            <w:tcW w:w="4244" w:type="dxa"/>
            <w:tcBorders/>
            <w:vAlign w:val="center"/>
          </w:tcPr>
          <w:p>
            <w:pPr>
              <w:pStyle w:val="TableContents"/>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Englewood, Colorado</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600" w:type="dxa"/>
            <w:tcBorders/>
            <w:vAlign w:val="center"/>
          </w:tcPr>
          <w:p>
            <w:pPr>
              <w:pStyle w:val="TableContents"/>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80112</w:t>
            </w:r>
          </w:p>
        </w:tc>
      </w:tr>
      <w:tr>
        <w:trPr/>
        <w:tc>
          <w:tcPr>
            <w:tcW w:w="4244" w:type="dxa"/>
            <w:tcBorders/>
            <w:vAlign w:val="center"/>
          </w:tcPr>
          <w:p>
            <w:pPr>
              <w:pStyle w:val="TableContents"/>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(Address of principal executive offices)</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600" w:type="dxa"/>
            <w:tcBorders/>
            <w:vAlign w:val="center"/>
          </w:tcPr>
          <w:p>
            <w:pPr>
              <w:pStyle w:val="TableContents"/>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(Zip code)</w:t>
            </w:r>
          </w:p>
        </w:tc>
      </w:tr>
    </w:tbl>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(303) 723-1000</w:t>
      </w:r>
    </w:p>
    <w:p>
      <w:pPr>
        <w:pStyle w:val="TextBody"/>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(Registrant’s telephone number, including area code)</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6"/>
        </w:rPr>
      </w:pPr>
      <w:r>
        <w:rPr>
          <w:rFonts w:ascii="Arial;Helvetica;sans-serif" w:hAnsi="Arial;Helvetica;sans-serif"/>
          <w:b/>
          <w:spacing w:val="-2"/>
          <w:sz w:val="16"/>
        </w:rPr>
        <w:t>Not Applicable</w:t>
      </w:r>
    </w:p>
    <w:p>
      <w:pPr>
        <w:pStyle w:val="TextBody"/>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(Former name, former address and former fiscal year, if changed since last report)</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spacing w:val="-2"/>
          <w:sz w:val="16"/>
        </w:rPr>
      </w:pPr>
      <w:r>
        <w:rPr>
          <w:rFonts w:ascii="Arial;Helvetica;sans-serif" w:hAnsi="Arial;Helvetica;sans-serif"/>
          <w:spacing w:val="-2"/>
          <w:sz w:val="16"/>
        </w:rPr>
        <w:t>Securities registered pursuant to Section 12(b) of the Act: None</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(Note:  The registrant is a voluntary filer of reports under Section 13 or 15(d) of the Securities Exchange Act of 1934.)</w:t>
      </w:r>
      <w:r>
        <w:rPr>
          <w:rFonts w:ascii="Times New Roman;Times;serif" w:hAnsi="Times New Roman;Times;serif"/>
          <w:spacing w:val="-2"/>
          <w:sz w:val="18"/>
        </w:rPr>
        <w:t xml:space="preserve"> </w:t>
      </w:r>
      <w:r>
        <w:rPr>
          <w:rFonts w:ascii="Arial;Helvetica;sans-serif" w:hAnsi="Arial;Helvetica;sans-serif"/>
          <w:spacing w:val="-2"/>
          <w:sz w:val="16"/>
        </w:rPr>
        <w:t>Yes</w:t>
      </w:r>
      <w:r>
        <w:rPr>
          <w:rFonts w:ascii="Times New Roman;Times;serif" w:hAnsi="Times New Roman;Times;serif"/>
          <w:spacing w:val="-2"/>
          <w:sz w:val="18"/>
        </w:rPr>
        <w:t xml:space="preserve"> ⌧  </w:t>
      </w:r>
      <w:r>
        <w:rPr>
          <w:rFonts w:ascii="Arial;Helvetica;sans-serif" w:hAnsi="Arial;Helvetica;sans-serif"/>
          <w:spacing w:val="-2"/>
          <w:sz w:val="16"/>
        </w:rPr>
        <w:t>No  </w:t>
      </w:r>
      <w:r>
        <w:rPr>
          <w:rFonts w:ascii="Times New Roman;Times;serif" w:hAnsi="Times New Roman;Times;serif"/>
          <w:spacing w:val="-2"/>
          <w:sz w:val="18"/>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pacing w:val="-2"/>
          <w:sz w:val="18"/>
        </w:rPr>
        <w:t xml:space="preserve"> ⌧   </w:t>
      </w:r>
      <w:r>
        <w:rPr>
          <w:rFonts w:ascii="Arial;Helvetica;sans-serif" w:hAnsi="Arial;Helvetica;sans-serif"/>
          <w:spacing w:val="-2"/>
          <w:sz w:val="16"/>
        </w:rPr>
        <w:t>No  </w:t>
      </w:r>
      <w:r>
        <w:rPr>
          <w:rFonts w:ascii="Times New Roman;Times;serif" w:hAnsi="Times New Roman;Times;serif"/>
          <w:spacing w:val="-2"/>
          <w:sz w:val="18"/>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16"/>
        </w:rPr>
      </w:pPr>
      <w:r>
        <w:rPr>
          <w:rFonts w:ascii="Arial;Helvetica;sans-serif" w:hAnsi="Arial;Helvetica;sans-serif"/>
          <w:spacing w:val="-2"/>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center"/>
        <w:rPr>
          <w:spacing w:val="-2"/>
        </w:rPr>
      </w:pPr>
      <w:r>
        <w:rPr>
          <w:spacing w:val="-2"/>
        </w:rPr>
        <w:t>​</w:t>
      </w:r>
    </w:p>
    <w:tbl>
      <w:tblPr>
        <w:tblW w:w="4284" w:type="dxa"/>
        <w:jc w:val="left"/>
        <w:tblInd w:w="0" w:type="dxa"/>
        <w:tblLayout w:type="fixed"/>
        <w:tblCellMar>
          <w:top w:w="0" w:type="dxa"/>
          <w:left w:w="0" w:type="dxa"/>
          <w:bottom w:w="0" w:type="dxa"/>
          <w:right w:w="0" w:type="dxa"/>
        </w:tblCellMar>
      </w:tblPr>
      <w:tblGrid>
        <w:gridCol w:w="1900"/>
        <w:gridCol w:w="109"/>
        <w:gridCol w:w="2275"/>
      </w:tblGrid>
      <w:tr>
        <w:trPr/>
        <w:tc>
          <w:tcPr>
            <w:tcW w:w="1900" w:type="dxa"/>
            <w:tcBorders/>
            <w:vAlign w:val="center"/>
          </w:tcPr>
          <w:p>
            <w:pPr>
              <w:pStyle w:val="TableContents"/>
              <w:bidi w:val="0"/>
              <w:spacing w:before="0" w:after="0"/>
              <w:ind w:left="0" w:right="0" w:hanging="0"/>
              <w:jc w:val="center"/>
              <w:rPr>
                <w:spacing w:val="-2"/>
              </w:rPr>
            </w:pPr>
            <w:r>
              <w:rPr>
                <w:spacing w:val="-2"/>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center"/>
                                    <w:rPr>
                                      <w:spacing w:val="-2"/>
                                    </w:rPr>
                                  </w:pPr>
                                  <w:r>
                                    <w:rPr>
                                      <w:spacing w:val="-2"/>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spacing w:val="-2"/>
                              </w:rPr>
                            </w:pPr>
                            <w:r>
                              <w:rPr>
                                <w:spacing w:val="-2"/>
                              </w:rPr>
                              <w:t>​</w:t>
                            </w:r>
                          </w:p>
                        </w:txbxContent>
                      </v:textbox>
                      <w10:wrap type="none"/>
                    </v:rect>
                  </w:pict>
                </mc:Fallback>
              </mc:AlternateContent>
            </w:r>
          </w:p>
        </w:tc>
        <w:tc>
          <w:tcPr>
            <w:tcW w:w="2275" w:type="dxa"/>
            <w:tcBorders/>
            <w:vAlign w:val="center"/>
          </w:tcPr>
          <w:p>
            <w:pPr>
              <w:pStyle w:val="TableContents"/>
              <w:bidi w:val="0"/>
              <w:spacing w:before="0" w:after="0"/>
              <w:ind w:left="0" w:right="0" w:hanging="0"/>
              <w:jc w:val="center"/>
              <w:rPr>
                <w:spacing w:val="-2"/>
              </w:rPr>
            </w:pPr>
            <w:r>
              <w:rPr>
                <w:spacing w:val="-2"/>
              </w:rPr>
              <w:t>​</w:t>
            </w:r>
          </w:p>
        </w:tc>
      </w:tr>
      <w:tr>
        <w:trPr/>
        <w:tc>
          <w:tcPr>
            <w:tcW w:w="1900" w:type="dxa"/>
            <w:tcBorders/>
            <w:vAlign w:val="center"/>
          </w:tcPr>
          <w:p>
            <w:pPr>
              <w:pStyle w:val="TableContents"/>
              <w:bidi w:val="0"/>
              <w:spacing w:before="0" w:after="0"/>
              <w:ind w:left="0" w:right="0" w:hanging="0"/>
              <w:jc w:val="center"/>
              <w:rPr>
                <w:rFonts w:ascii="Times New Roman;Times;serif" w:hAnsi="Times New Roman;Times;serif"/>
                <w:spacing w:val="-2"/>
                <w:sz w:val="16"/>
              </w:rPr>
            </w:pPr>
            <w:r>
              <w:rPr>
                <w:rFonts w:ascii="Arial;Helvetica;sans-serif" w:hAnsi="Arial;Helvetica;sans-serif"/>
                <w:spacing w:val="-2"/>
                <w:sz w:val="16"/>
              </w:rPr>
              <w:t xml:space="preserve">Large accelerated filer </w:t>
            </w:r>
            <w:r>
              <w:rPr>
                <w:rFonts w:ascii="Times New Roman;Times;serif" w:hAnsi="Times New Roman;Times;serif"/>
                <w:spacing w:val="-2"/>
                <w:sz w:val="16"/>
              </w:rPr>
              <w:t>☐</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275" w:type="dxa"/>
            <w:tcBorders/>
            <w:vAlign w:val="center"/>
          </w:tcPr>
          <w:p>
            <w:pPr>
              <w:pStyle w:val="TableContents"/>
              <w:bidi w:val="0"/>
              <w:spacing w:before="0" w:after="0"/>
              <w:ind w:left="0" w:right="0" w:hanging="0"/>
              <w:jc w:val="center"/>
              <w:rPr>
                <w:rFonts w:ascii="Times New Roman;Times;serif" w:hAnsi="Times New Roman;Times;serif"/>
                <w:spacing w:val="-2"/>
                <w:sz w:val="16"/>
              </w:rPr>
            </w:pPr>
            <w:r>
              <w:rPr>
                <w:rFonts w:ascii="Arial;Helvetica;sans-serif" w:hAnsi="Arial;Helvetica;sans-serif"/>
                <w:spacing w:val="-2"/>
                <w:sz w:val="16"/>
              </w:rPr>
              <w:t xml:space="preserve">Accelerated filer </w:t>
            </w:r>
            <w:r>
              <w:rPr>
                <w:rFonts w:ascii="Times New Roman;Times;serif" w:hAnsi="Times New Roman;Times;serif"/>
                <w:spacing w:val="-2"/>
                <w:sz w:val="16"/>
              </w:rPr>
              <w:t>☐</w:t>
            </w:r>
          </w:p>
        </w:tc>
      </w:tr>
      <w:tr>
        <w:trPr/>
        <w:tc>
          <w:tcPr>
            <w:tcW w:w="1900" w:type="dxa"/>
            <w:tcBorders/>
            <w:vAlign w:val="center"/>
          </w:tcPr>
          <w:p>
            <w:pPr>
              <w:pStyle w:val="TableContents"/>
              <w:bidi w:val="0"/>
              <w:spacing w:before="0" w:after="0"/>
              <w:ind w:left="0" w:right="0" w:hanging="0"/>
              <w:jc w:val="center"/>
              <w:rPr>
                <w:spacing w:val="-2"/>
              </w:rPr>
            </w:pPr>
            <w:r>
              <w:rPr>
                <w:spacing w:val="-2"/>
              </w:rPr>
              <w:t>​</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275" w:type="dxa"/>
            <w:tcBorders/>
            <w:vAlign w:val="center"/>
          </w:tcPr>
          <w:p>
            <w:pPr>
              <w:pStyle w:val="TableContents"/>
              <w:bidi w:val="0"/>
              <w:spacing w:before="0" w:after="0"/>
              <w:ind w:left="0" w:right="0" w:hanging="0"/>
              <w:jc w:val="center"/>
              <w:rPr>
                <w:spacing w:val="-2"/>
              </w:rPr>
            </w:pPr>
            <w:r>
              <w:rPr>
                <w:spacing w:val="-2"/>
              </w:rPr>
              <w:t>​</w:t>
            </w:r>
          </w:p>
        </w:tc>
      </w:tr>
      <w:tr>
        <w:trPr/>
        <w:tc>
          <w:tcPr>
            <w:tcW w:w="1900" w:type="dxa"/>
            <w:tcBorders/>
            <w:vAlign w:val="center"/>
          </w:tcPr>
          <w:p>
            <w:pPr>
              <w:pStyle w:val="TableContents"/>
              <w:bidi w:val="0"/>
              <w:spacing w:before="0" w:after="0"/>
              <w:ind w:left="0" w:right="0" w:hanging="0"/>
              <w:jc w:val="center"/>
              <w:rPr>
                <w:rFonts w:ascii="Times New Roman;Times;serif" w:hAnsi="Times New Roman;Times;serif"/>
                <w:spacing w:val="-2"/>
                <w:sz w:val="18"/>
              </w:rPr>
            </w:pPr>
            <w:r>
              <w:rPr>
                <w:rFonts w:ascii="Arial;Helvetica;sans-serif" w:hAnsi="Arial;Helvetica;sans-serif"/>
                <w:spacing w:val="-2"/>
                <w:sz w:val="16"/>
              </w:rPr>
              <w:t>Non-accelerated filer</w:t>
            </w:r>
            <w:r>
              <w:rPr>
                <w:rFonts w:ascii="Times New Roman;Times;serif" w:hAnsi="Times New Roman;Times;serif"/>
                <w:spacing w:val="-2"/>
                <w:sz w:val="18"/>
              </w:rPr>
              <w:t xml:space="preserve"> ☒</w:t>
            </w:r>
            <w:r>
              <w:rPr>
                <w:rFonts w:ascii="Arial;Helvetica;sans-serif" w:hAnsi="Arial;Helvetica;sans-serif"/>
                <w:spacing w:val="-2"/>
                <w:sz w:val="16"/>
              </w:rPr>
              <w:br/>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center"/>
              <w:rPr>
                <w:spacing w:val="-2"/>
              </w:rPr>
            </w:pPr>
            <w:r>
              <w:rPr>
                <w:spacing w:val="-2"/>
              </w:rPr>
              <w:t>​</w:t>
            </w:r>
          </w:p>
        </w:tc>
        <w:tc>
          <w:tcPr>
            <w:tcW w:w="2275" w:type="dxa"/>
            <w:tcBorders/>
            <w:vAlign w:val="center"/>
          </w:tcPr>
          <w:p>
            <w:pPr>
              <w:pStyle w:val="TableContents"/>
              <w:bidi w:val="0"/>
              <w:spacing w:before="0" w:after="0"/>
              <w:ind w:left="0" w:right="0" w:hanging="0"/>
              <w:jc w:val="center"/>
              <w:rPr>
                <w:rFonts w:ascii="Times New Roman;Times;serif" w:hAnsi="Times New Roman;Times;serif"/>
                <w:spacing w:val="-2"/>
                <w:sz w:val="18"/>
              </w:rPr>
            </w:pPr>
            <w:r>
              <w:rPr>
                <w:rFonts w:ascii="Arial;Helvetica;sans-serif" w:hAnsi="Arial;Helvetica;sans-serif"/>
                <w:spacing w:val="-2"/>
                <w:sz w:val="16"/>
              </w:rPr>
              <w:t xml:space="preserve">Smaller reporting company </w:t>
            </w:r>
            <w:r>
              <w:rPr>
                <w:rFonts w:ascii="Times New Roman;Times;serif" w:hAnsi="Times New Roman;Times;serif"/>
                <w:spacing w:val="-2"/>
                <w:sz w:val="18"/>
              </w:rPr>
              <w:t>☐</w:t>
            </w:r>
          </w:p>
          <w:p>
            <w:pPr>
              <w:pStyle w:val="TableContents"/>
              <w:bidi w:val="0"/>
              <w:spacing w:before="0" w:after="0"/>
              <w:ind w:left="0" w:right="0" w:hanging="0"/>
              <w:jc w:val="center"/>
              <w:rPr>
                <w:spacing w:val="-2"/>
              </w:rPr>
            </w:pPr>
            <w:r>
              <w:rPr>
                <w:spacing w:val="-2"/>
              </w:rPr>
              <w:t>​</w:t>
            </w:r>
          </w:p>
          <w:p>
            <w:pPr>
              <w:pStyle w:val="TableContents"/>
              <w:bidi w:val="0"/>
              <w:spacing w:before="0" w:after="0"/>
              <w:ind w:left="0" w:right="0" w:hanging="0"/>
              <w:jc w:val="center"/>
              <w:rPr>
                <w:rFonts w:ascii="Times New Roman;Times;serif" w:hAnsi="Times New Roman;Times;serif"/>
                <w:spacing w:val="-2"/>
                <w:sz w:val="18"/>
              </w:rPr>
            </w:pPr>
            <w:r>
              <w:rPr>
                <w:rFonts w:ascii="Arial;Helvetica;sans-serif" w:hAnsi="Arial;Helvetica;sans-serif"/>
                <w:spacing w:val="-2"/>
                <w:sz w:val="16"/>
              </w:rPr>
              <w:t xml:space="preserve">Emerging growth company </w:t>
            </w:r>
            <w:r>
              <w:rPr>
                <w:rFonts w:ascii="Times New Roman;Times;serif" w:hAnsi="Times New Roman;Times;serif"/>
                <w:spacing w:val="-2"/>
                <w:sz w:val="18"/>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6"/>
        </w:rPr>
      </w:pPr>
      <w:r>
        <w:rPr>
          <w:rFonts w:ascii="Arial;Helvetica;sans-serif" w:hAnsi="Arial;Helvetica;sans-serif"/>
          <w:spacing w:val="-2"/>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pacing w:val="-2"/>
          <w:sz w:val="16"/>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16"/>
        </w:rPr>
        <w:t xml:space="preserve">Indicate by check mark whether the registrant is a shell company (as defined in Rule 12b-2 of the Exchange Act).  Yes </w:t>
      </w:r>
      <w:r>
        <w:rPr>
          <w:rFonts w:ascii="Times New Roman;Times;serif" w:hAnsi="Times New Roman;Times;serif"/>
          <w:spacing w:val="-2"/>
          <w:sz w:val="18"/>
        </w:rPr>
        <w:t xml:space="preserve">☐ </w:t>
      </w:r>
      <w:r>
        <w:rPr>
          <w:rFonts w:ascii="Arial;Helvetica;sans-serif" w:hAnsi="Arial;Helvetica;sans-serif"/>
          <w:spacing w:val="-2"/>
          <w:sz w:val="16"/>
        </w:rPr>
        <w:t>No  </w:t>
      </w:r>
      <w:r>
        <w:rPr>
          <w:rFonts w:ascii="Times New Roman;Times;serif" w:hAnsi="Times New Roman;Times;serif"/>
          <w:spacing w:val="-2"/>
          <w:sz w:val="18"/>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6"/>
        </w:rPr>
      </w:pPr>
      <w:r>
        <w:rPr>
          <w:rFonts w:ascii="Arial;Helvetica;sans-serif" w:hAnsi="Arial;Helvetica;sans-serif"/>
          <w:spacing w:val="-2"/>
          <w:sz w:val="16"/>
        </w:rPr>
        <w:t>As of November 1, 2025, the registrant’s outstanding common stock consisted of 1,000</w:t>
      </w:r>
      <w:r>
        <w:rPr>
          <w:rFonts w:ascii="Times New Roman;Times;serif" w:hAnsi="Times New Roman;Times;serif"/>
          <w:spacing w:val="-2"/>
          <w:sz w:val="16"/>
        </w:rPr>
        <w:t xml:space="preserve"> </w:t>
      </w:r>
      <w:r>
        <w:rPr>
          <w:rFonts w:ascii="Arial;Helvetica;sans-serif" w:hAnsi="Arial;Helvetica;sans-serif"/>
          <w:spacing w:val="-2"/>
          <w:sz w:val="16"/>
        </w:rPr>
        <w:t>shares of common stock, $0 par value per share.</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16"/>
        </w:rPr>
      </w:pPr>
      <w:r>
        <w:rPr>
          <w:rFonts w:ascii="Arial;Helvetica;sans-serif" w:hAnsi="Arial;Helvetica;sans-serif"/>
          <w:spacing w:val="-2"/>
          <w:sz w:val="16"/>
        </w:rPr>
        <w:t>The registrant meets the conditions set forth in General Instructions (H)(1)(a) and (b) of Form 10-Q and is therefore filing this Form 10-Q with the reduced disclosure format.</w:t>
      </w:r>
    </w:p>
    <w:p>
      <w:pPr>
        <w:pStyle w:val="TextBody"/>
        <w:bidi w:val="0"/>
        <w:spacing w:before="0" w:after="0"/>
        <w:ind w:left="0" w:right="0" w:hanging="0"/>
        <w:jc w:val="both"/>
        <w:rPr>
          <w:spacing w:val="-2"/>
        </w:rPr>
      </w:pPr>
      <w:r>
        <w:rPr>
          <w:spacing w:val="-2"/>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spacing w:val="-2"/>
        </w:rPr>
      </w:pPr>
      <w:r>
        <w:rPr>
          <w:spacing w:val="-2"/>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pacing w:val="-2"/>
          <w:sz w:val="20"/>
        </w:rPr>
      </w:pPr>
      <w:bookmarkStart w:id="15" w:name="_5ca0e70f_88e9_4cf8_a4b3_edb6bf9ef477"/>
      <w:bookmarkStart w:id="16" w:name="TOC"/>
      <w:bookmarkEnd w:id="15"/>
      <w:bookmarkEnd w:id="16"/>
      <w:r>
        <w:rPr>
          <w:rFonts w:ascii="Arial;Helvetica;sans-serif" w:hAnsi="Arial;Helvetica;sans-serif"/>
          <w:b/>
          <w:spacing w:val="-2"/>
          <w:sz w:val="20"/>
        </w:rPr>
        <w:t>TABLE OF CONTENTS</w:t>
      </w:r>
    </w:p>
    <w:p>
      <w:pPr>
        <w:pStyle w:val="TextBody"/>
        <w:bidi w:val="0"/>
        <w:spacing w:before="0" w:after="0"/>
        <w:ind w:left="0" w:right="0" w:hanging="0"/>
        <w:jc w:val="center"/>
        <w:rPr>
          <w:spacing w:val="-2"/>
        </w:rPr>
      </w:pPr>
      <w:r>
        <w:rPr>
          <w:spacing w:val="-2"/>
        </w:rPr>
        <w:t>​</w:t>
      </w:r>
    </w:p>
    <w:tbl>
      <w:tblPr>
        <w:tblW w:w="9030" w:type="dxa"/>
        <w:jc w:val="left"/>
        <w:tblInd w:w="0" w:type="dxa"/>
        <w:tblLayout w:type="fixed"/>
        <w:tblCellMar>
          <w:top w:w="0" w:type="dxa"/>
          <w:left w:w="0" w:type="dxa"/>
          <w:bottom w:w="0" w:type="dxa"/>
          <w:right w:w="0" w:type="dxa"/>
        </w:tblCellMar>
      </w:tblPr>
      <w:tblGrid>
        <w:gridCol w:w="861"/>
        <w:gridCol w:w="7574"/>
        <w:gridCol w:w="595"/>
      </w:tblGrid>
      <w:tr>
        <w:trPr/>
        <w:tc>
          <w:tcPr>
            <w:tcW w:w="9030" w:type="dxa"/>
            <w:gridSpan w:val="3"/>
            <w:tcBorders/>
            <w:vAlign w:val="center"/>
          </w:tcPr>
          <w:p>
            <w:pPr>
              <w:pStyle w:val="TableContents"/>
              <w:bidi w:val="0"/>
              <w:spacing w:before="0" w:after="0"/>
              <w:ind w:left="0" w:right="0" w:hanging="0"/>
              <w:jc w:val="center"/>
              <w:rPr/>
            </w:pPr>
            <w:hyperlink w:anchor="PARTIFINANCIALINFORMATION_929424">
              <w:r>
                <w:rPr>
                  <w:rStyle w:val="InternetLink"/>
                  <w:rFonts w:ascii="Arial;Helvetica;sans-serif" w:hAnsi="Arial;Helvetica;sans-serif"/>
                  <w:b/>
                  <w:i w:val="false"/>
                  <w:caps w:val="false"/>
                  <w:smallCaps w:val="false"/>
                  <w:spacing w:val="-2"/>
                  <w:sz w:val="20"/>
                </w:rPr>
                <w:t>PART I — FINANCIAL INFORMATION</w:t>
              </w:r>
            </w:hyperlink>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both"/>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DISCLOSUREREGARDINGFORWARDLOOKINGSTATEME">
              <w:r>
                <w:rPr>
                  <w:rStyle w:val="InternetLink"/>
                  <w:rFonts w:ascii="Arial;Helvetica;sans-serif" w:hAnsi="Arial;Helvetica;sans-serif"/>
                  <w:b w:val="false"/>
                  <w:i w:val="false"/>
                  <w:caps w:val="false"/>
                  <w:smallCaps w:val="false"/>
                  <w:spacing w:val="-2"/>
                  <w:sz w:val="20"/>
                </w:rPr>
                <w:t>Disclosure Regarding Forward-Looking Statements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i</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pPr>
            <w:hyperlink w:anchor="Item1FINANCIALSTATEMENTS_615269">
              <w:r>
                <w:rPr>
                  <w:rStyle w:val="InternetLink"/>
                  <w:rFonts w:ascii="Arial;Helvetica;sans-serif" w:hAnsi="Arial;Helvetica;sans-serif"/>
                  <w:b w:val="false"/>
                  <w:i w:val="false"/>
                  <w:caps w:val="false"/>
                  <w:smallCaps w:val="false"/>
                  <w:spacing w:val="-2"/>
                  <w:sz w:val="20"/>
                </w:rPr>
                <w:t>Item 1.</w:t>
              </w:r>
            </w:hyperlink>
          </w:p>
        </w:tc>
        <w:tc>
          <w:tcPr>
            <w:tcW w:w="7574" w:type="dxa"/>
            <w:tcBorders/>
            <w:vAlign w:val="center"/>
          </w:tcPr>
          <w:p>
            <w:pPr>
              <w:pStyle w:val="TableContents"/>
              <w:bidi w:val="0"/>
              <w:spacing w:before="0" w:after="0"/>
              <w:ind w:left="0" w:right="0" w:hanging="0"/>
              <w:jc w:val="both"/>
              <w:rPr/>
            </w:pPr>
            <w:hyperlink w:anchor="Item1FINANCIALSTATEMENTS_615269">
              <w:r>
                <w:rPr>
                  <w:rStyle w:val="InternetLink"/>
                  <w:rFonts w:ascii="Arial;Helvetica;sans-serif" w:hAnsi="Arial;Helvetica;sans-serif"/>
                  <w:b w:val="false"/>
                  <w:i w:val="false"/>
                  <w:caps w:val="false"/>
                  <w:smallCaps w:val="false"/>
                  <w:spacing w:val="-2"/>
                  <w:sz w:val="20"/>
                </w:rPr>
                <w:t>Financial Statements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Balancesheets">
              <w:r>
                <w:rPr>
                  <w:rStyle w:val="InternetLink"/>
                  <w:rFonts w:ascii="Arial;Helvetica;sans-serif" w:hAnsi="Arial;Helvetica;sans-serif"/>
                  <w:b w:val="false"/>
                  <w:i w:val="false"/>
                  <w:caps w:val="false"/>
                  <w:smallCaps w:val="false"/>
                  <w:spacing w:val="-2"/>
                  <w:sz w:val="20"/>
                </w:rPr>
                <w:t>Condensed Consolidated Balance Sheets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OPERATIONSANDCOMPREHENSIVEINCOMELOSS_799">
              <w:r>
                <w:rPr>
                  <w:rStyle w:val="InternetLink"/>
                  <w:rFonts w:ascii="Arial;Helvetica;sans-serif" w:hAnsi="Arial;Helvetica;sans-serif"/>
                  <w:b w:val="false"/>
                  <w:i w:val="false"/>
                  <w:caps w:val="false"/>
                  <w:smallCaps w:val="false"/>
                  <w:spacing w:val="-2"/>
                  <w:sz w:val="20"/>
                </w:rPr>
                <w:t>Condensed Consolidated Statements of Operations and Comprehensive Income (Loss)</w:t>
              </w:r>
            </w:hyperlink>
            <w:r>
              <w:rPr>
                <w:rFonts w:ascii="Times New Roman;Times;serif" w:hAnsi="Times New Roman;Times;serif"/>
                <w:spacing w:val="-2"/>
                <w:sz w:val="18"/>
              </w:rPr>
              <w:t xml:space="preserve"> </w:t>
            </w:r>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2</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CHANGESINSTOCKHOLDERSEQUITY">
              <w:r>
                <w:rPr>
                  <w:rStyle w:val="InternetLink"/>
                  <w:rFonts w:ascii="Arial;Helvetica;sans-serif" w:hAnsi="Arial;Helvetica;sans-serif"/>
                  <w:b w:val="false"/>
                  <w:i w:val="false"/>
                  <w:caps w:val="false"/>
                  <w:smallCaps w:val="false"/>
                  <w:spacing w:val="-2"/>
                  <w:sz w:val="20"/>
                </w:rPr>
                <w:t xml:space="preserve">Condensed Consolidated Statements of Changes in Stockholder’s Equity (Deficit) </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3</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CASHFLOWS_284276">
              <w:r>
                <w:rPr>
                  <w:rStyle w:val="InternetLink"/>
                  <w:rFonts w:ascii="Arial;Helvetica;sans-serif" w:hAnsi="Arial;Helvetica;sans-serif"/>
                  <w:b w:val="false"/>
                  <w:i w:val="false"/>
                  <w:caps w:val="false"/>
                  <w:smallCaps w:val="false"/>
                  <w:spacing w:val="-2"/>
                  <w:sz w:val="20"/>
                </w:rPr>
                <w:t xml:space="preserve">Condensed Consolidated Statements of Cash Flows </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4</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a1OrganizationandBusinessActivities_8590">
              <w:r>
                <w:rPr>
                  <w:rStyle w:val="InternetLink"/>
                  <w:rFonts w:ascii="Arial;Helvetica;sans-serif" w:hAnsi="Arial;Helvetica;sans-serif"/>
                  <w:b w:val="false"/>
                  <w:i w:val="false"/>
                  <w:caps w:val="false"/>
                  <w:smallCaps w:val="false"/>
                  <w:spacing w:val="-2"/>
                  <w:sz w:val="20"/>
                </w:rPr>
                <w:t xml:space="preserve">Notes to Condensed Consolidated Financial Statements </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5</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pPr>
            <w:hyperlink w:anchor="Item2MANAGEMENTSNARRATIVEANALYSISOFRESUL">
              <w:r>
                <w:rPr>
                  <w:rStyle w:val="InternetLink"/>
                  <w:rFonts w:ascii="Arial;Helvetica;sans-serif" w:hAnsi="Arial;Helvetica;sans-serif"/>
                  <w:b w:val="false"/>
                  <w:i w:val="false"/>
                  <w:caps w:val="false"/>
                  <w:smallCaps w:val="false"/>
                  <w:spacing w:val="-2"/>
                  <w:sz w:val="20"/>
                </w:rPr>
                <w:t>Item 2.</w:t>
              </w:r>
            </w:hyperlink>
          </w:p>
        </w:tc>
        <w:tc>
          <w:tcPr>
            <w:tcW w:w="7574" w:type="dxa"/>
            <w:tcBorders/>
            <w:vAlign w:val="center"/>
          </w:tcPr>
          <w:p>
            <w:pPr>
              <w:pStyle w:val="TableContents"/>
              <w:bidi w:val="0"/>
              <w:spacing w:before="0" w:after="0"/>
              <w:ind w:left="0" w:right="0" w:hanging="0"/>
              <w:jc w:val="both"/>
              <w:rPr/>
            </w:pPr>
            <w:hyperlink w:anchor="Item2MANAGEMENTSNARRATIVEANALYSISOFRESUL">
              <w:r>
                <w:rPr>
                  <w:rStyle w:val="InternetLink"/>
                  <w:rFonts w:ascii="Arial;Helvetica;sans-serif" w:hAnsi="Arial;Helvetica;sans-serif"/>
                  <w:b w:val="false"/>
                  <w:i w:val="false"/>
                  <w:caps w:val="false"/>
                  <w:smallCaps w:val="false"/>
                  <w:spacing w:val="-2"/>
                  <w:sz w:val="20"/>
                </w:rPr>
                <w:t>Management’s Narrative Analysis of Results of Operations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78</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Item 3.</w:t>
            </w:r>
          </w:p>
        </w:tc>
        <w:tc>
          <w:tcPr>
            <w:tcW w:w="7574"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Quantitative and Qualitative Disclosures About Market Risk</w:t>
            </w:r>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pPr>
            <w:hyperlink w:anchor="Item4CONTROLSANDPROCEDURES_29410">
              <w:r>
                <w:rPr>
                  <w:rStyle w:val="InternetLink"/>
                  <w:rFonts w:ascii="Arial;Helvetica;sans-serif" w:hAnsi="Arial;Helvetica;sans-serif"/>
                  <w:b w:val="false"/>
                  <w:i w:val="false"/>
                  <w:caps w:val="false"/>
                  <w:smallCaps w:val="false"/>
                  <w:spacing w:val="-2"/>
                  <w:sz w:val="20"/>
                </w:rPr>
                <w:t>Item 4.</w:t>
              </w:r>
            </w:hyperlink>
          </w:p>
        </w:tc>
        <w:tc>
          <w:tcPr>
            <w:tcW w:w="7574" w:type="dxa"/>
            <w:tcBorders/>
            <w:vAlign w:val="center"/>
          </w:tcPr>
          <w:p>
            <w:pPr>
              <w:pStyle w:val="TableContents"/>
              <w:bidi w:val="0"/>
              <w:spacing w:before="0" w:after="0"/>
              <w:ind w:left="0" w:right="0" w:hanging="0"/>
              <w:jc w:val="both"/>
              <w:rPr/>
            </w:pPr>
            <w:hyperlink w:anchor="Item4CONTROLSANDPROCEDURES_29410">
              <w:r>
                <w:rPr>
                  <w:rStyle w:val="InternetLink"/>
                  <w:rFonts w:ascii="Arial;Helvetica;sans-serif" w:hAnsi="Arial;Helvetica;sans-serif"/>
                  <w:b w:val="false"/>
                  <w:i w:val="false"/>
                  <w:caps w:val="false"/>
                  <w:smallCaps w:val="false"/>
                  <w:spacing w:val="-2"/>
                  <w:sz w:val="20"/>
                </w:rPr>
                <w:t>Controls and Procedures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115</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9030" w:type="dxa"/>
            <w:gridSpan w:val="3"/>
            <w:tcBorders/>
            <w:vAlign w:val="center"/>
          </w:tcPr>
          <w:p>
            <w:pPr>
              <w:pStyle w:val="TableContents"/>
              <w:bidi w:val="0"/>
              <w:spacing w:before="0" w:after="0"/>
              <w:ind w:left="0" w:right="0" w:hanging="0"/>
              <w:jc w:val="center"/>
              <w:rPr/>
            </w:pPr>
            <w:hyperlink w:anchor="PARTIIOTHERINFORMATION_280159">
              <w:r>
                <w:rPr>
                  <w:rStyle w:val="InternetLink"/>
                  <w:rFonts w:ascii="Arial;Helvetica;sans-serif" w:hAnsi="Arial;Helvetica;sans-serif"/>
                  <w:b/>
                  <w:i w:val="false"/>
                  <w:caps w:val="false"/>
                  <w:smallCaps w:val="false"/>
                  <w:spacing w:val="-2"/>
                  <w:sz w:val="20"/>
                </w:rPr>
                <w:t>PART II — OTHER INFORMATION</w:t>
              </w:r>
            </w:hyperlink>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pPr>
            <w:hyperlink w:anchor="Item1LEGALPROCEEDINGS_657581">
              <w:r>
                <w:rPr>
                  <w:rStyle w:val="InternetLink"/>
                  <w:rFonts w:ascii="Arial;Helvetica;sans-serif" w:hAnsi="Arial;Helvetica;sans-serif"/>
                  <w:b w:val="false"/>
                  <w:i w:val="false"/>
                  <w:caps w:val="false"/>
                  <w:smallCaps w:val="false"/>
                  <w:spacing w:val="-2"/>
                  <w:sz w:val="20"/>
                </w:rPr>
                <w:t>Item 1.</w:t>
              </w:r>
            </w:hyperlink>
          </w:p>
        </w:tc>
        <w:tc>
          <w:tcPr>
            <w:tcW w:w="7574" w:type="dxa"/>
            <w:tcBorders/>
            <w:vAlign w:val="center"/>
          </w:tcPr>
          <w:p>
            <w:pPr>
              <w:pStyle w:val="TableContents"/>
              <w:bidi w:val="0"/>
              <w:spacing w:before="0" w:after="0"/>
              <w:ind w:left="0" w:right="0" w:hanging="0"/>
              <w:jc w:val="both"/>
              <w:rPr/>
            </w:pPr>
            <w:hyperlink w:anchor="Item1LEGALPROCEEDINGS_657581">
              <w:r>
                <w:rPr>
                  <w:rStyle w:val="InternetLink"/>
                  <w:rFonts w:ascii="Arial;Helvetica;sans-serif" w:hAnsi="Arial;Helvetica;sans-serif"/>
                  <w:b w:val="false"/>
                  <w:i w:val="false"/>
                  <w:caps w:val="false"/>
                  <w:smallCaps w:val="false"/>
                  <w:spacing w:val="-2"/>
                  <w:sz w:val="20"/>
                </w:rPr>
                <w:t>Legal Proceedings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115</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pPr>
            <w:hyperlink w:anchor="Item1ARISKFACTORS_407501">
              <w:r>
                <w:rPr>
                  <w:rStyle w:val="InternetLink"/>
                  <w:rFonts w:ascii="Arial;Helvetica;sans-serif" w:hAnsi="Arial;Helvetica;sans-serif"/>
                  <w:b w:val="false"/>
                  <w:i w:val="false"/>
                  <w:caps w:val="false"/>
                  <w:smallCaps w:val="false"/>
                  <w:spacing w:val="-2"/>
                  <w:sz w:val="20"/>
                </w:rPr>
                <w:t>Item 1A.</w:t>
              </w:r>
            </w:hyperlink>
          </w:p>
        </w:tc>
        <w:tc>
          <w:tcPr>
            <w:tcW w:w="7574" w:type="dxa"/>
            <w:tcBorders/>
            <w:vAlign w:val="center"/>
          </w:tcPr>
          <w:p>
            <w:pPr>
              <w:pStyle w:val="TableContents"/>
              <w:bidi w:val="0"/>
              <w:spacing w:before="0" w:after="0"/>
              <w:ind w:left="0" w:right="0" w:hanging="0"/>
              <w:jc w:val="both"/>
              <w:rPr/>
            </w:pPr>
            <w:hyperlink w:anchor="Item1ARISKFACTORS_407501">
              <w:r>
                <w:rPr>
                  <w:rStyle w:val="InternetLink"/>
                  <w:rFonts w:ascii="Arial;Helvetica;sans-serif" w:hAnsi="Arial;Helvetica;sans-serif"/>
                  <w:b w:val="false"/>
                  <w:i w:val="false"/>
                  <w:caps w:val="false"/>
                  <w:smallCaps w:val="false"/>
                  <w:spacing w:val="-2"/>
                  <w:sz w:val="20"/>
                </w:rPr>
                <w:t>Risk Factors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115</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Item 2.</w:t>
            </w:r>
          </w:p>
        </w:tc>
        <w:tc>
          <w:tcPr>
            <w:tcW w:w="7574"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Unregistered Sales of Equity Securities and Use of Proceeds</w:t>
            </w:r>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Item 3.</w:t>
            </w:r>
          </w:p>
        </w:tc>
        <w:tc>
          <w:tcPr>
            <w:tcW w:w="7574"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Defaults Upon Senior Securities</w:t>
            </w:r>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Item 4.</w:t>
            </w:r>
          </w:p>
        </w:tc>
        <w:tc>
          <w:tcPr>
            <w:tcW w:w="7574"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Mine Safety Disclosures</w:t>
            </w:r>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None</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Item 5.</w:t>
            </w:r>
          </w:p>
        </w:tc>
        <w:tc>
          <w:tcPr>
            <w:tcW w:w="7574"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Other Information</w:t>
            </w:r>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None</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pPr>
            <w:hyperlink w:anchor="Item6EXHIBITS_602845">
              <w:r>
                <w:rPr>
                  <w:rStyle w:val="InternetLink"/>
                  <w:rFonts w:ascii="Arial;Helvetica;sans-serif" w:hAnsi="Arial;Helvetica;sans-serif"/>
                  <w:b w:val="false"/>
                  <w:i w:val="false"/>
                  <w:caps w:val="false"/>
                  <w:smallCaps w:val="false"/>
                  <w:spacing w:val="-2"/>
                  <w:sz w:val="20"/>
                </w:rPr>
                <w:t>Item 6.</w:t>
              </w:r>
            </w:hyperlink>
          </w:p>
        </w:tc>
        <w:tc>
          <w:tcPr>
            <w:tcW w:w="7574" w:type="dxa"/>
            <w:tcBorders/>
            <w:vAlign w:val="center"/>
          </w:tcPr>
          <w:p>
            <w:pPr>
              <w:pStyle w:val="TableContents"/>
              <w:bidi w:val="0"/>
              <w:spacing w:before="0" w:after="0"/>
              <w:ind w:left="0" w:right="0" w:hanging="0"/>
              <w:jc w:val="both"/>
              <w:rPr/>
            </w:pPr>
            <w:hyperlink w:anchor="Item6EXHIBITS_602845">
              <w:r>
                <w:rPr>
                  <w:rStyle w:val="InternetLink"/>
                  <w:rFonts w:ascii="Arial;Helvetica;sans-serif" w:hAnsi="Arial;Helvetica;sans-serif"/>
                  <w:b w:val="false"/>
                  <w:i w:val="false"/>
                  <w:caps w:val="false"/>
                  <w:smallCaps w:val="false"/>
                  <w:spacing w:val="-2"/>
                  <w:sz w:val="20"/>
                </w:rPr>
                <w:t>Exhibits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118</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spacing w:val="-2"/>
              </w:rPr>
            </w:pPr>
            <w:r>
              <w:rPr>
                <w:spacing w:val="-2"/>
              </w:rPr>
              <w:t>​</w:t>
            </w:r>
          </w:p>
        </w:tc>
        <w:tc>
          <w:tcPr>
            <w:tcW w:w="595" w:type="dxa"/>
            <w:tcBorders/>
            <w:vAlign w:val="center"/>
          </w:tcPr>
          <w:p>
            <w:pPr>
              <w:pStyle w:val="TableContents"/>
              <w:bidi w:val="0"/>
              <w:spacing w:before="0" w:after="0"/>
              <w:ind w:left="0" w:right="0" w:hanging="0"/>
              <w:jc w:val="right"/>
              <w:rPr>
                <w:spacing w:val="-2"/>
              </w:rPr>
            </w:pPr>
            <w:r>
              <w:rPr>
                <w:spacing w:val="-2"/>
              </w:rPr>
              <w:t>​</w:t>
            </w:r>
          </w:p>
        </w:tc>
      </w:tr>
      <w:tr>
        <w:trPr/>
        <w:tc>
          <w:tcPr>
            <w:tcW w:w="861" w:type="dxa"/>
            <w:tcBorders/>
            <w:vAlign w:val="center"/>
          </w:tcPr>
          <w:p>
            <w:pPr>
              <w:pStyle w:val="TableContents"/>
              <w:bidi w:val="0"/>
              <w:spacing w:before="0" w:after="0"/>
              <w:ind w:left="0" w:right="0" w:hanging="0"/>
              <w:jc w:val="both"/>
              <w:rPr>
                <w:spacing w:val="-2"/>
              </w:rPr>
            </w:pPr>
            <w:r>
              <w:rPr>
                <w:spacing w:val="-2"/>
              </w:rPr>
              <w:t>​</w:t>
            </w:r>
          </w:p>
        </w:tc>
        <w:tc>
          <w:tcPr>
            <w:tcW w:w="7574" w:type="dxa"/>
            <w:tcBorders/>
            <w:vAlign w:val="center"/>
          </w:tcPr>
          <w:p>
            <w:pPr>
              <w:pStyle w:val="TableContents"/>
              <w:bidi w:val="0"/>
              <w:spacing w:before="0" w:after="0"/>
              <w:ind w:left="0" w:right="0" w:hanging="0"/>
              <w:jc w:val="both"/>
              <w:rPr/>
            </w:pPr>
            <w:hyperlink w:anchor="SIGNATURES">
              <w:r>
                <w:rPr>
                  <w:rStyle w:val="InternetLink"/>
                  <w:rFonts w:ascii="Arial;Helvetica;sans-serif" w:hAnsi="Arial;Helvetica;sans-serif"/>
                  <w:b w:val="false"/>
                  <w:i w:val="false"/>
                  <w:caps w:val="false"/>
                  <w:smallCaps w:val="false"/>
                  <w:spacing w:val="-2"/>
                  <w:sz w:val="20"/>
                </w:rPr>
                <w:t>Signatures</w:t>
              </w:r>
            </w:hyperlink>
          </w:p>
        </w:tc>
        <w:tc>
          <w:tcPr>
            <w:tcW w:w="595" w:type="dxa"/>
            <w:tcBorders/>
            <w:vAlign w:val="center"/>
          </w:tcPr>
          <w:p>
            <w:pPr>
              <w:pStyle w:val="TableContents"/>
              <w:bidi w:val="0"/>
              <w:spacing w:before="0" w:after="0"/>
              <w:ind w:left="0" w:right="0" w:hanging="0"/>
              <w:jc w:val="right"/>
              <w:rPr>
                <w:rFonts w:ascii="Arial;Helvetica;sans-serif" w:hAnsi="Arial;Helvetica;sans-serif"/>
                <w:spacing w:val="-2"/>
                <w:sz w:val="20"/>
              </w:rPr>
            </w:pPr>
            <w:r>
              <w:rPr>
                <w:rFonts w:ascii="Arial;Helvetica;sans-serif" w:hAnsi="Arial;Helvetica;sans-serif"/>
                <w:spacing w:val="-2"/>
                <w:sz w:val="20"/>
              </w:rPr>
              <w:t>119</w:t>
            </w:r>
          </w:p>
        </w:tc>
      </w:tr>
    </w:tbl>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 This item has been omitted pursuant to the reduced disclosure format as set forth in General Instructions (H)(2) of Form 10-Q.</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pacing w:val="-2"/>
        </w:rPr>
      </w:pPr>
      <w:bookmarkStart w:id="17" w:name="_ea310ef2_69ba_480e_9a0e_5096a1a5cc41"/>
      <w:bookmarkEnd w:id="17"/>
      <w:r>
        <w:rPr>
          <w:spacing w:val="-2"/>
        </w:rPr>
        <w:t>​</w:t>
      </w:r>
    </w:p>
    <w:p>
      <w:pPr>
        <w:pStyle w:val="TextBody"/>
        <w:bidi w:val="0"/>
        <w:spacing w:before="0" w:after="0"/>
        <w:ind w:left="0" w:right="0" w:hanging="0"/>
        <w:jc w:val="center"/>
        <w:rPr>
          <w:rFonts w:ascii="Arial;Helvetica;sans-serif" w:hAnsi="Arial;Helvetica;sans-serif"/>
          <w:b/>
          <w:spacing w:val="-2"/>
          <w:sz w:val="20"/>
        </w:rPr>
      </w:pPr>
      <w:bookmarkStart w:id="18" w:name="PARTIFINANCIALINFORMATION_929424"/>
      <w:bookmarkEnd w:id="18"/>
      <w:r>
        <w:rPr>
          <w:rFonts w:ascii="Arial;Helvetica;sans-serif" w:hAnsi="Arial;Helvetica;sans-serif"/>
          <w:b/>
          <w:spacing w:val="-2"/>
          <w:sz w:val="20"/>
        </w:rPr>
        <w:t>PART I — FINANCIAL INFORMATION</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20"/>
        </w:rPr>
      </w:pPr>
      <w:bookmarkStart w:id="19" w:name="DISCLOSUREREGARDINGFORWARDLOOKINGSTATEME"/>
      <w:bookmarkEnd w:id="19"/>
      <w:r>
        <w:rPr>
          <w:rFonts w:ascii="Arial;Helvetica;sans-serif" w:hAnsi="Arial;Helvetica;sans-serif"/>
          <w:b/>
          <w:spacing w:val="-2"/>
          <w:sz w:val="20"/>
        </w:rPr>
        <w:t>DISCLOSURE REGARDING FORWARD-LOOKING STATEMENTS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Unless otherwise required by the context, in this report, the words “DISH Network,” “DISH,” the “Company,” “we,” “our” and “us” refer to DISH Network Corporation and its subsidiaries, “EchoStar” refers to EchoStar Corporation, our parent company, and its subsidiaries, including us, and “DISH DBS” and “DDBS” refers to DISH DBS Corporation, our wholly-owned, indirect subsidiary and its subsidiaries.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SUMMARY OF RISK FACTORS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Risks Relating to Pending Transactions</w:t>
      </w:r>
    </w:p>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closing of the AT&amp;T Transactions are not certain, and are subject to certain conditions, some of which we and EchoStar cannot control, which could result in the AT&amp;T Transactions not being completed or being completed later than expected, which could have a material adverse impact on our expected leverage and available cash-on-hand, as well as costs and revenues, or otherwise reducing the anticipated benefits to us of the AT&amp;T Transactions.</w:t>
            </w:r>
          </w:p>
        </w:tc>
      </w:tr>
    </w:tbl>
    <w:p>
      <w:pPr>
        <w:pStyle w:val="TextBody"/>
        <w:bidi w:val="0"/>
        <w:spacing w:before="0" w:after="0"/>
        <w:ind w:left="36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Competition and Economic Risks</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face certain risks competing in the wireless services industry and operating a facilities-based wireless services business.</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pay-TV competitors may be able to leverage their relationships with programmers to reduce their programming costs and/or offer exclusive content that will place them at a competitive advantage to us.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(each as defined below) could have a material adverse effect on our business, financial condition and results of operations.</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compete with the MNOs whose networks we partially rely on to provide wireless services to our customers, and they may seek to limit, reduce or terminate our network access to the extent that it becomes competitively advantageous to do so.</w:t>
            </w:r>
          </w:p>
        </w:tc>
      </w:tr>
    </w:tbl>
    <w:p>
      <w:pPr>
        <w:pStyle w:val="TextBody"/>
        <w:bidi w:val="0"/>
        <w:spacing w:before="0" w:after="0"/>
        <w:ind w:left="720" w:right="0" w:hanging="0"/>
        <w:jc w:val="left"/>
        <w:rPr/>
      </w:pPr>
      <w:r>
        <w:rPr/>
        <w:t>​</w:t>
      </w:r>
    </w:p>
    <w:p>
      <w:pPr>
        <w:pStyle w:val="Normal"/>
        <w:bidi w:val="0"/>
        <w:spacing w:before="0" w:after="0"/>
        <w:jc w:val="left"/>
        <w:rPr>
          <w:sz w:val="4"/>
          <w:szCs w:val="4"/>
        </w:rPr>
      </w:pPr>
      <w:r>
        <w:rPr>
          <w:sz w:val="4"/>
          <w:szCs w:val="4"/>
        </w:rPr>
      </w:r>
      <w:bookmarkStart w:id="20" w:name="_cp_change_51"/>
      <w:bookmarkStart w:id="21" w:name="_cp_change_51"/>
      <w:bookmarkEnd w:id="2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we are unable to take advantage of technological developments on a timely basis, or at all, we may experience a decline in demand for our services or face challenges in implementing or evolving our business strategy.</w:t>
            </w:r>
          </w:p>
        </w:tc>
      </w:tr>
    </w:tbl>
    <w:p>
      <w:pPr>
        <w:pStyle w:val="TextBody"/>
        <w:bidi w:val="0"/>
        <w:spacing w:before="0" w:after="0"/>
        <w:ind w:left="72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Operational and Service Delivery Risks</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deterioration in our operational performance, subscriber activations and churn rate and subscriber satisfaction could adversely affect our business, financial condition and results of operations.</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others to provide the programming that we offer to our Pay-TV subscribers and, if we fail to obtain or lose access to certain programming, our Pay-TV subscriber activations and our subscriber churn rate may be negatively impacted.</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limited satellite capacity and any failures or reduced capacity, caused by, among other things, operational and environmental risks, could adversely affect our business, financial condition and results of operations.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 </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a single vendor or a limited number of vendors to provide certain key products or services to us, and the inability of these key vendors to meet our needs could have a material adverse effect on our business.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trade policies, including, but not limited to, tariffs and other restrictions, could increase, among other things, our costs, disrupt our supply chain and negatively affect our business, operations and financial condition.</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depend on independent third parties to solicit orders for our services that represent a meaningful percentage of our total gross new subscriber activations.</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Risks Related to our Human Capital</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rely on highly skilled personnel for our business, and any inability to hire and retain key personnel or to hire qualified personnel may negatively affect our business, financial condition and results of operations.</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growth and customer retention strategies rely in part on the work of technically skilled employees.</w:t>
            </w:r>
          </w:p>
        </w:tc>
      </w:tr>
    </w:tbl>
    <w:p>
      <w:pPr>
        <w:pStyle w:val="TextBody"/>
        <w:bidi w:val="0"/>
        <w:spacing w:before="0" w:after="0"/>
        <w:ind w:left="72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Risks Related to our Products and Technology</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business depends on certain intellectual property rights and on not infringing the intellectual property rights of others.</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and may become, party to various lawsuits which, if adversely decided, could have a significant adverse impact on our business, particularly lawsuits regarding intellectual property.</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products contain defects, we could be subject to significant costs to correct such defects and our product and network service contracts could be delayed or cancelled, which could adversely affect our revenue.</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Risks Related to Cybersecurity</w:t>
      </w:r>
    </w:p>
    <w:p>
      <w:pPr>
        <w:pStyle w:val="TextBody"/>
        <w:bidi w:val="0"/>
        <w:spacing w:before="0" w:after="0"/>
        <w:ind w:left="0" w:right="0" w:hanging="0"/>
        <w:jc w:val="left"/>
        <w:rPr>
          <w:spacing w:val="-2"/>
        </w:rPr>
      </w:pPr>
      <w:r>
        <w:rPr>
          <w:spacing w:val="-2"/>
        </w:rPr>
        <w:t>​</w:t>
      </w:r>
    </w:p>
    <w:p>
      <w:pPr>
        <w:pStyle w:val="Normal"/>
        <w:bidi w:val="0"/>
        <w:spacing w:before="0" w:after="0"/>
        <w:jc w:val="left"/>
        <w:rPr>
          <w:sz w:val="4"/>
          <w:szCs w:val="4"/>
        </w:rPr>
      </w:pPr>
      <w:r>
        <w:rPr>
          <w:sz w:val="4"/>
          <w:szCs w:val="4"/>
        </w:rPr>
      </w:r>
      <w:bookmarkStart w:id="22" w:name="_cp_change_158"/>
      <w:bookmarkStart w:id="23" w:name="_cp_change_158"/>
      <w:bookmarkEnd w:id="23"/>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confidentiality, integrity, and availability of our services and products depends on the continuing operation of our information technology and other enabling systems.</w:t>
            </w:r>
          </w:p>
        </w:tc>
      </w:tr>
    </w:tbl>
    <w:p>
      <w:pPr>
        <w:pStyle w:val="TextBody"/>
        <w:bidi w:val="0"/>
        <w:spacing w:before="0" w:after="0"/>
        <w:ind w:left="72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Acquisition and Capital Structure Risks</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pacing w:val="-2"/>
                <w:sz w:val="20"/>
              </w:rPr>
            </w:pPr>
            <w:r>
              <w:rPr>
                <w:rFonts w:ascii="Arial;Helvetica;sans-serif" w:hAnsi="Arial;Helvetica;sans-serif"/>
                <w:b w:val="false"/>
                <w:i w:val="false"/>
                <w:caps w:val="false"/>
                <w:smallCaps w:val="false"/>
                <w:spacing w:val="-2"/>
                <w:sz w:val="20"/>
              </w:rPr>
              <w:t>We, and certain of our subsidiaries, currently do not have the necessary cash on hand, projected future cash flows, or committed financing to fund our obligations over the next twelve months, which raises substantial doubt about our, and certain of our subsidiaries, ability to continue as a going concern.</w:t>
            </w:r>
          </w:p>
        </w:tc>
      </w:tr>
    </w:tbl>
    <w:p>
      <w:pPr>
        <w:pStyle w:val="TextBody"/>
        <w:bidi w:val="0"/>
        <w:spacing w:before="0" w:after="0"/>
        <w:ind w:left="72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substantial debt outstanding and may incur additional debt and covenants in our Indentures could limit our ability to undertake certain types of activities and adversely affect our liquidity.</w:t>
            </w:r>
          </w:p>
        </w:tc>
      </w:tr>
    </w:tbl>
    <w:p>
      <w:pPr>
        <w:pStyle w:val="TextBody"/>
        <w:bidi w:val="0"/>
        <w:spacing w:before="0" w:after="0"/>
        <w:ind w:left="720" w:right="0" w:hanging="0"/>
        <w:jc w:val="left"/>
        <w:rPr>
          <w:spacing w:val="-2"/>
        </w:rPr>
      </w:pPr>
      <w:r>
        <w:rPr>
          <w:spacing w:val="-2"/>
        </w:rPr>
        <w:t>​</w:t>
      </w:r>
    </w:p>
    <w:p>
      <w:pPr>
        <w:pStyle w:val="Normal"/>
        <w:bidi w:val="0"/>
        <w:spacing w:before="0" w:after="0"/>
        <w:jc w:val="left"/>
        <w:rPr>
          <w:sz w:val="4"/>
          <w:szCs w:val="4"/>
        </w:rPr>
      </w:pPr>
      <w:r>
        <w:rPr>
          <w:sz w:val="4"/>
          <w:szCs w:val="4"/>
        </w:rPr>
      </w:r>
      <w:bookmarkStart w:id="24" w:name="_cp_change_258"/>
      <w:bookmarkStart w:id="25" w:name="_cp_change_255"/>
      <w:bookmarkStart w:id="26" w:name="_cp_change_253"/>
      <w:bookmarkStart w:id="27" w:name="_cp_change_251"/>
      <w:bookmarkStart w:id="28" w:name="_cp_change_258"/>
      <w:bookmarkStart w:id="29" w:name="_cp_change_255"/>
      <w:bookmarkStart w:id="30" w:name="_cp_change_253"/>
      <w:bookmarkStart w:id="31" w:name="_cp_change_251"/>
      <w:bookmarkEnd w:id="28"/>
      <w:bookmarkEnd w:id="29"/>
      <w:bookmarkEnd w:id="30"/>
      <w:bookmarkEnd w:id="3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We may pursue acquisitions, dispositions, capital expenditures, the development, acquisition and launch of new satellites</w:t>
            </w:r>
            <w:r>
              <w:rPr>
                <w:caps w:val="false"/>
                <w:smallCaps w:val="false"/>
              </w:rPr>
              <w:t xml:space="preserve"> </w:t>
            </w:r>
            <w:r>
              <w:rPr>
                <w:rFonts w:ascii="Arial;Helvetica;sans-serif" w:hAnsi="Arial;Helvetica;sans-serif"/>
                <w:b w:val="false"/>
                <w:i w:val="false"/>
                <w:caps w:val="false"/>
                <w:smallCaps w:val="false"/>
                <w:sz w:val="20"/>
              </w:rPr>
              <w:t>and other strategic</w:t>
            </w:r>
            <w:r>
              <w:rPr>
                <w:caps w:val="false"/>
                <w:smallCaps w:val="false"/>
              </w:rPr>
              <w:t xml:space="preserve"> </w:t>
            </w:r>
            <w:r>
              <w:rPr>
                <w:rFonts w:ascii="Arial;Helvetica;sans-serif" w:hAnsi="Arial;Helvetica;sans-serif"/>
                <w:b w:val="false"/>
                <w:i w:val="false"/>
                <w:caps w:val="false"/>
                <w:smallCaps w:val="false"/>
                <w:sz w:val="20"/>
              </w:rPr>
              <w:t>initiatives</w:t>
            </w:r>
            <w:r>
              <w:rPr>
                <w:caps w:val="false"/>
                <w:smallCaps w:val="false"/>
              </w:rPr>
              <w:t xml:space="preserve"> </w:t>
            </w:r>
            <w:r>
              <w:rPr>
                <w:rFonts w:ascii="Arial;Helvetica;sans-serif" w:hAnsi="Arial;Helvetica;sans-serif"/>
                <w:b w:val="false"/>
                <w:i w:val="false"/>
                <w:caps w:val="false"/>
                <w:smallCaps w:val="false"/>
                <w:sz w:val="20"/>
              </w:rPr>
              <w:t>to complement or expand our business, which</w:t>
            </w:r>
            <w:r>
              <w:rPr>
                <w:caps w:val="false"/>
                <w:smallCaps w:val="false"/>
              </w:rPr>
              <w:t xml:space="preserve"> </w:t>
            </w:r>
            <w:r>
              <w:rPr>
                <w:rFonts w:ascii="Arial;Helvetica;sans-serif" w:hAnsi="Arial;Helvetica;sans-serif"/>
                <w:b w:val="false"/>
                <w:i w:val="false"/>
                <w:caps w:val="false"/>
                <w:smallCaps w:val="false"/>
                <w:sz w:val="20"/>
              </w:rPr>
              <w:t>may not be successful and we may lose a portion or all</w:t>
            </w:r>
            <w:r>
              <w:rPr>
                <w:caps w:val="false"/>
                <w:smallCaps w:val="false"/>
              </w:rPr>
              <w:t xml:space="preserve"> </w:t>
            </w:r>
            <w:r>
              <w:rPr>
                <w:rFonts w:ascii="Arial;Helvetica;sans-serif" w:hAnsi="Arial;Helvetica;sans-serif"/>
                <w:b w:val="false"/>
                <w:i w:val="false"/>
                <w:caps w:val="false"/>
                <w:smallCaps w:val="false"/>
                <w:sz w:val="20"/>
              </w:rPr>
              <w:t>of our investment in these acquisitions and transactions.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made substantial investments to acquire certain wireless spectrum licenses and other related assets, and may be unable to realize a return on these assets.</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need additional capital, which may not be available on favorable terms or at all, to fund current obligations, to continue investing in our business and to finance acquisitions and other strategic transactions.</w:t>
            </w:r>
          </w:p>
        </w:tc>
      </w:tr>
    </w:tbl>
    <w:p>
      <w:pPr>
        <w:pStyle w:val="TextBody"/>
        <w:bidi w:val="0"/>
        <w:spacing w:before="0" w:after="0"/>
        <w:ind w:left="720" w:right="0" w:hanging="0"/>
        <w:jc w:val="left"/>
        <w:rPr/>
      </w:pPr>
      <w:r>
        <w:rPr/>
        <w:t>​</w:t>
      </w:r>
    </w:p>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parent, EchoStar, is controlled by one principal stockholder, who is also our Chairman.</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Risks Related to the Regulation of Our Business</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services depend on FCC licenses that can expire or be revoked or modified and applications for FCC licenses that may not be granted.</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(“SEC”), those discussed in “Management’s Narrative Analysis of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b/>
          <w:spacing w:val="-2"/>
          <w:sz w:val="19"/>
        </w:rPr>
      </w:pPr>
      <w:bookmarkStart w:id="32" w:name="Item1FINANCIALSTATEMENTS_615269"/>
      <w:bookmarkStart w:id="33" w:name="_8d9aacfc_4404_43b2_8cc6_2962bb8d9d85"/>
      <w:bookmarkEnd w:id="32"/>
      <w:bookmarkEnd w:id="33"/>
      <w:r>
        <w:rPr>
          <w:rFonts w:ascii="Arial;Helvetica;sans-serif" w:hAnsi="Arial;Helvetica;sans-serif"/>
          <w:b/>
          <w:spacing w:val="-2"/>
          <w:sz w:val="19"/>
        </w:rPr>
        <w:t>Item 1. FINANCIAL STATEMENTS</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9"/>
        </w:rPr>
      </w:pPr>
      <w:r>
        <w:rPr>
          <w:rFonts w:ascii="Arial;Helvetica;sans-serif" w:hAnsi="Arial;Helvetica;sans-serif"/>
          <w:b/>
          <w:spacing w:val="-2"/>
          <w:sz w:val="19"/>
        </w:rPr>
        <w:t>DISH NETWORK CORPORATION</w:t>
      </w:r>
    </w:p>
    <w:p>
      <w:pPr>
        <w:pStyle w:val="TextBody"/>
        <w:bidi w:val="0"/>
        <w:spacing w:before="0" w:after="0"/>
        <w:ind w:left="0" w:right="0" w:hanging="0"/>
        <w:jc w:val="center"/>
        <w:rPr>
          <w:rFonts w:ascii="Arial;Helvetica;sans-serif" w:hAnsi="Arial;Helvetica;sans-serif"/>
          <w:b/>
          <w:spacing w:val="-2"/>
          <w:sz w:val="19"/>
        </w:rPr>
      </w:pPr>
      <w:bookmarkStart w:id="34" w:name="Balancesheets"/>
      <w:bookmarkEnd w:id="34"/>
      <w:r>
        <w:rPr>
          <w:rFonts w:ascii="Arial;Helvetica;sans-serif" w:hAnsi="Arial;Helvetica;sans-serif"/>
          <w:b/>
          <w:spacing w:val="-2"/>
          <w:sz w:val="19"/>
        </w:rPr>
        <w:t>CONDENSED CONSOLIDATED BALANCE SHEETS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(Dollars in thousands, except share amounts)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(Unaudited)</w:t>
      </w:r>
    </w:p>
    <w:p>
      <w:pPr>
        <w:pStyle w:val="TextBody"/>
        <w:bidi w:val="0"/>
        <w:spacing w:before="0" w:after="0"/>
        <w:ind w:left="0" w:right="0" w:hanging="0"/>
        <w:jc w:val="both"/>
        <w:rPr>
          <w:spacing w:val="-2"/>
        </w:rPr>
      </w:pPr>
      <w:r>
        <w:rPr>
          <w:spacing w:val="-2"/>
        </w:rPr>
        <w:t>​</w:t>
      </w:r>
    </w:p>
    <w:p>
      <w:pPr>
        <w:pStyle w:val="Normal"/>
        <w:bidi w:val="0"/>
        <w:spacing w:before="0" w:after="0"/>
        <w:jc w:val="left"/>
        <w:rPr>
          <w:sz w:val="4"/>
          <w:szCs w:val="4"/>
        </w:rPr>
      </w:pPr>
      <w:r>
        <w:rPr>
          <w:sz w:val="4"/>
          <w:szCs w:val="4"/>
        </w:rPr>
      </w:r>
      <w:bookmarkStart w:id="35" w:name="Tc_Jr0hBM-lGUO_S2wcVOm99w_56_6"/>
      <w:bookmarkStart w:id="36" w:name="Tc_LQpoC-HrYE-vuJa05B1M_Q_56_3"/>
      <w:bookmarkStart w:id="37" w:name="Tc_7-A92eZnAE2yM5a2rtVmqw_56_0"/>
      <w:bookmarkStart w:id="38" w:name="Tc_A445bM7Pl0yWA1baP-rJjg_55_0"/>
      <w:bookmarkStart w:id="39" w:name="Tc_mNBP8TG0iUG8MFZ_qCOYXw_54_0"/>
      <w:bookmarkStart w:id="40" w:name="Tc_8PAOfG6Wm0KTJ27xKPRycQ_53_0"/>
      <w:bookmarkStart w:id="41" w:name="Tc_5AyJZAiSQkC3WHGPXQt77Q_52_0"/>
      <w:bookmarkStart w:id="42" w:name="Tc_BU7a3yiJB0m32DSZxfV-UA_51_0"/>
      <w:bookmarkStart w:id="43" w:name="Tc_dYxfxLnrn0eTmxsVjOJVkw_50_0"/>
      <w:bookmarkStart w:id="44" w:name="Tc_MZ1SYvIX3U-L5ofjPY7Dow_49_7"/>
      <w:bookmarkStart w:id="45" w:name="Tc_uvMzSpv-zUKAcSOYKioEwA_49_4"/>
      <w:bookmarkStart w:id="46" w:name="Tc_LKY0xlOVwESi_rSz5U9k3A_49_0"/>
      <w:bookmarkStart w:id="47" w:name="Tc_JUPST8Ll7UWV2itEmIAW0Q_48_0"/>
      <w:bookmarkStart w:id="48" w:name="Tc_qj-ne1H8wkiOoVhJ6flq_w_46_0"/>
      <w:bookmarkStart w:id="49" w:name="Tc_zOWLz87-V0qvGiErQEJbqg_44_0"/>
      <w:bookmarkStart w:id="50" w:name="Tc_lnHyiHLCo0O6dBVRdvcTSw_43_0"/>
      <w:bookmarkStart w:id="51" w:name="Tc_smJNGuaLPkOml7K5hcqQIQ_42_0"/>
      <w:bookmarkStart w:id="52" w:name="Tc_TbV6WszIEkOjMQZRoWFatg_41_0"/>
      <w:bookmarkStart w:id="53" w:name="Tc_oSSOem7EPU6Iql0WReRRkQ_40_0"/>
      <w:bookmarkStart w:id="54" w:name="Tc_PFLvy8ZIkkKbDbVQHwFkJg_39_0"/>
      <w:bookmarkStart w:id="55" w:name="Tc_OWYy0-LTsUqVkSdbxFiYUg_38_0"/>
      <w:bookmarkStart w:id="56" w:name="Tc_GmH0Hgf_hkiJOE6O2dL88g_37_0"/>
      <w:bookmarkStart w:id="57" w:name="Tc_5dWtNg10cUOZtLg0hAViQA_35_0"/>
      <w:bookmarkStart w:id="58" w:name="Tc_0E2pAwKVyUytgRVJzlpwvA_34_0"/>
      <w:bookmarkStart w:id="59" w:name="Tc_FOteo-0wt0Wdj95aySMD9A_33_0"/>
      <w:bookmarkStart w:id="60" w:name="Tc_f7Qt-WWL1Um_xBYhyOG9QQ_32_0"/>
      <w:bookmarkStart w:id="61" w:name="Tc_ycvcGevuXkGmZcwblwjxIQ_31_0"/>
      <w:bookmarkStart w:id="62" w:name="Tc_n8s7k6M2cUKpX1HHi-FG3Q_30_0"/>
      <w:bookmarkStart w:id="63" w:name="Tc_gq0urQkRLUmT3Zf382fEHg_29_0"/>
      <w:bookmarkStart w:id="64" w:name="Tc_IzRag0lotkuBgSHbRVZsaA_28_6"/>
      <w:bookmarkStart w:id="65" w:name="Tc_sqCtjjh9AEyVZ3800eafQA_28_3"/>
      <w:bookmarkStart w:id="66" w:name="Tc_4jSF2Ig14E-8PMNrVzSMkQ_28_0"/>
      <w:bookmarkStart w:id="67" w:name="Tc_6Ztq9U-R8EalBibq6c3q7A_27_0"/>
      <w:bookmarkStart w:id="68" w:name="Tc_CyxfgwFEz0m0JTI-lNZwFQ_26_0"/>
      <w:bookmarkStart w:id="69" w:name="Tc_TU17M0WWDESIJHQjiIvzRw_24_6"/>
      <w:bookmarkStart w:id="70" w:name="Tc_VNSIhcM93U-qyReLLTHPUQ_24_3"/>
      <w:bookmarkStart w:id="71" w:name="Tc_-akb087DIEK73LIBEkTV7g_24_0"/>
      <w:bookmarkStart w:id="72" w:name="Tc_VopdYYxzqUmBKPf9mYfjTA_23_0"/>
      <w:bookmarkStart w:id="73" w:name="Tc_BaQczNXtZEewpLr8uMsb5w_22_0"/>
      <w:bookmarkStart w:id="74" w:name="Tc_EJP-cCChCkSOSxzkfAbv8A_21_0"/>
      <w:bookmarkStart w:id="75" w:name="Tc_c3Wq1MUUwEaVHXTrqnh34A_20_0"/>
      <w:bookmarkStart w:id="76" w:name="Tc_5a9_93LWTUSvd6dp8EvdsQ_19_0"/>
      <w:bookmarkStart w:id="77" w:name="Tc_rHRAkYpPTUyC3e4YEo-6Ug_18_0"/>
      <w:bookmarkStart w:id="78" w:name="Tc_F3ObHIfhr0q_l-QiTHCTng_17_0"/>
      <w:bookmarkStart w:id="79" w:name="Tc_tNn1Bex4X0eltHAKT9w_yw_16_0"/>
      <w:bookmarkStart w:id="80" w:name="Tc__LX3nxM6ZECY36LKOJG6yw_15_0"/>
      <w:bookmarkStart w:id="81" w:name="Tc_5KELhDDTNkWAAOxIXrFHbg_13_0"/>
      <w:bookmarkStart w:id="82" w:name="Tc_-Zyirw8y3E6GnSGhDIXWCQ_12_0"/>
      <w:bookmarkStart w:id="83" w:name="Tc_p_diFL72h0eT2W1ftiDJ3Q_11_0"/>
      <w:bookmarkStart w:id="84" w:name="Tc_ev2H0ft6_0OS3mu5oW6JFw_10_0"/>
      <w:bookmarkStart w:id="85" w:name="Tc_cZSjFJVeNECj2algQR9oIw_9_0"/>
      <w:bookmarkStart w:id="86" w:name="Tc_PwYqY43AhkGo9e3c5nsYEw_8_0"/>
      <w:bookmarkStart w:id="87" w:name="Tc_wWENHIHwrE-YqQjlV8dK2A_7_0"/>
      <w:bookmarkStart w:id="88" w:name="Tc_72ZVBHsRJEm9eNXJT05R9g_6_6"/>
      <w:bookmarkStart w:id="89" w:name="Tc_-9bJmbMf606SEVOcHstbwQ_6_3"/>
      <w:bookmarkStart w:id="90" w:name="Tc_bZOriMadYUi-uLGL0My9-A_6_0"/>
      <w:bookmarkStart w:id="91" w:name="Tc_FB0XLEqYSkCr2NRST8eLlw_5_0"/>
      <w:bookmarkStart w:id="92" w:name="Tc_FMESPMOQS02_Su5Lch2z8g_4_0"/>
      <w:bookmarkStart w:id="93" w:name="Tc_2EfDOVjgy0yM3EyWtgFPdA_3_6"/>
      <w:bookmarkStart w:id="94" w:name="Tc_iAZ8kSU7dUOJa3ejtNVK5Q_3_3"/>
      <w:bookmarkStart w:id="95" w:name="Tc_vz0TK5O0PEeQawA5T9vYxg_2_6"/>
      <w:bookmarkStart w:id="96" w:name="Tc_4yskb857i0-yUOFnHdmkFQ_2_3"/>
      <w:bookmarkStart w:id="97" w:name="Tc_X8CE6Lgn_U6BUsHND7XYSQ_1_3"/>
      <w:bookmarkStart w:id="98" w:name="_4c4c1dd8_3150_4abe_bdcc_3e8c216bfac9"/>
      <w:bookmarkStart w:id="99" w:name="Tc_Jr0hBM-lGUO_S2wcVOm99w_56_6"/>
      <w:bookmarkStart w:id="100" w:name="Tc_LQpoC-HrYE-vuJa05B1M_Q_56_3"/>
      <w:bookmarkStart w:id="101" w:name="Tc_7-A92eZnAE2yM5a2rtVmqw_56_0"/>
      <w:bookmarkStart w:id="102" w:name="Tc_A445bM7Pl0yWA1baP-rJjg_55_0"/>
      <w:bookmarkStart w:id="103" w:name="Tc_mNBP8TG0iUG8MFZ_qCOYXw_54_0"/>
      <w:bookmarkStart w:id="104" w:name="Tc_8PAOfG6Wm0KTJ27xKPRycQ_53_0"/>
      <w:bookmarkStart w:id="105" w:name="Tc_5AyJZAiSQkC3WHGPXQt77Q_52_0"/>
      <w:bookmarkStart w:id="106" w:name="Tc_BU7a3yiJB0m32DSZxfV-UA_51_0"/>
      <w:bookmarkStart w:id="107" w:name="Tc_dYxfxLnrn0eTmxsVjOJVkw_50_0"/>
      <w:bookmarkStart w:id="108" w:name="Tc_MZ1SYvIX3U-L5ofjPY7Dow_49_7"/>
      <w:bookmarkStart w:id="109" w:name="Tc_uvMzSpv-zUKAcSOYKioEwA_49_4"/>
      <w:bookmarkStart w:id="110" w:name="Tc_LKY0xlOVwESi_rSz5U9k3A_49_0"/>
      <w:bookmarkStart w:id="111" w:name="Tc_JUPST8Ll7UWV2itEmIAW0Q_48_0"/>
      <w:bookmarkStart w:id="112" w:name="Tc_qj-ne1H8wkiOoVhJ6flq_w_46_0"/>
      <w:bookmarkStart w:id="113" w:name="Tc_zOWLz87-V0qvGiErQEJbqg_44_0"/>
      <w:bookmarkStart w:id="114" w:name="Tc_lnHyiHLCo0O6dBVRdvcTSw_43_0"/>
      <w:bookmarkStart w:id="115" w:name="Tc_smJNGuaLPkOml7K5hcqQIQ_42_0"/>
      <w:bookmarkStart w:id="116" w:name="Tc_TbV6WszIEkOjMQZRoWFatg_41_0"/>
      <w:bookmarkStart w:id="117" w:name="Tc_oSSOem7EPU6Iql0WReRRkQ_40_0"/>
      <w:bookmarkStart w:id="118" w:name="Tc_PFLvy8ZIkkKbDbVQHwFkJg_39_0"/>
      <w:bookmarkStart w:id="119" w:name="Tc_OWYy0-LTsUqVkSdbxFiYUg_38_0"/>
      <w:bookmarkStart w:id="120" w:name="Tc_GmH0Hgf_hkiJOE6O2dL88g_37_0"/>
      <w:bookmarkStart w:id="121" w:name="Tc_5dWtNg10cUOZtLg0hAViQA_35_0"/>
      <w:bookmarkStart w:id="122" w:name="Tc_0E2pAwKVyUytgRVJzlpwvA_34_0"/>
      <w:bookmarkStart w:id="123" w:name="Tc_FOteo-0wt0Wdj95aySMD9A_33_0"/>
      <w:bookmarkStart w:id="124" w:name="Tc_f7Qt-WWL1Um_xBYhyOG9QQ_32_0"/>
      <w:bookmarkStart w:id="125" w:name="Tc_ycvcGevuXkGmZcwblwjxIQ_31_0"/>
      <w:bookmarkStart w:id="126" w:name="Tc_n8s7k6M2cUKpX1HHi-FG3Q_30_0"/>
      <w:bookmarkStart w:id="127" w:name="Tc_gq0urQkRLUmT3Zf382fEHg_29_0"/>
      <w:bookmarkStart w:id="128" w:name="Tc_IzRag0lotkuBgSHbRVZsaA_28_6"/>
      <w:bookmarkStart w:id="129" w:name="Tc_sqCtjjh9AEyVZ3800eafQA_28_3"/>
      <w:bookmarkStart w:id="130" w:name="Tc_4jSF2Ig14E-8PMNrVzSMkQ_28_0"/>
      <w:bookmarkStart w:id="131" w:name="Tc_6Ztq9U-R8EalBibq6c3q7A_27_0"/>
      <w:bookmarkStart w:id="132" w:name="Tc_CyxfgwFEz0m0JTI-lNZwFQ_26_0"/>
      <w:bookmarkStart w:id="133" w:name="Tc_TU17M0WWDESIJHQjiIvzRw_24_6"/>
      <w:bookmarkStart w:id="134" w:name="Tc_VNSIhcM93U-qyReLLTHPUQ_24_3"/>
      <w:bookmarkStart w:id="135" w:name="Tc_-akb087DIEK73LIBEkTV7g_24_0"/>
      <w:bookmarkStart w:id="136" w:name="Tc_VopdYYxzqUmBKPf9mYfjTA_23_0"/>
      <w:bookmarkStart w:id="137" w:name="Tc_BaQczNXtZEewpLr8uMsb5w_22_0"/>
      <w:bookmarkStart w:id="138" w:name="Tc_EJP-cCChCkSOSxzkfAbv8A_21_0"/>
      <w:bookmarkStart w:id="139" w:name="Tc_c3Wq1MUUwEaVHXTrqnh34A_20_0"/>
      <w:bookmarkStart w:id="140" w:name="Tc_5a9_93LWTUSvd6dp8EvdsQ_19_0"/>
      <w:bookmarkStart w:id="141" w:name="Tc_rHRAkYpPTUyC3e4YEo-6Ug_18_0"/>
      <w:bookmarkStart w:id="142" w:name="Tc_F3ObHIfhr0q_l-QiTHCTng_17_0"/>
      <w:bookmarkStart w:id="143" w:name="Tc_tNn1Bex4X0eltHAKT9w_yw_16_0"/>
      <w:bookmarkStart w:id="144" w:name="Tc__LX3nxM6ZECY36LKOJG6yw_15_0"/>
      <w:bookmarkStart w:id="145" w:name="Tc_5KELhDDTNkWAAOxIXrFHbg_13_0"/>
      <w:bookmarkStart w:id="146" w:name="Tc_-Zyirw8y3E6GnSGhDIXWCQ_12_0"/>
      <w:bookmarkStart w:id="147" w:name="Tc_p_diFL72h0eT2W1ftiDJ3Q_11_0"/>
      <w:bookmarkStart w:id="148" w:name="Tc_ev2H0ft6_0OS3mu5oW6JFw_10_0"/>
      <w:bookmarkStart w:id="149" w:name="Tc_cZSjFJVeNECj2algQR9oIw_9_0"/>
      <w:bookmarkStart w:id="150" w:name="Tc_PwYqY43AhkGo9e3c5nsYEw_8_0"/>
      <w:bookmarkStart w:id="151" w:name="Tc_wWENHIHwrE-YqQjlV8dK2A_7_0"/>
      <w:bookmarkStart w:id="152" w:name="Tc_72ZVBHsRJEm9eNXJT05R9g_6_6"/>
      <w:bookmarkStart w:id="153" w:name="Tc_-9bJmbMf606SEVOcHstbwQ_6_3"/>
      <w:bookmarkStart w:id="154" w:name="Tc_bZOriMadYUi-uLGL0My9-A_6_0"/>
      <w:bookmarkStart w:id="155" w:name="Tc_FB0XLEqYSkCr2NRST8eLlw_5_0"/>
      <w:bookmarkStart w:id="156" w:name="Tc_FMESPMOQS02_Su5Lch2z8g_4_0"/>
      <w:bookmarkStart w:id="157" w:name="Tc_2EfDOVjgy0yM3EyWtgFPdA_3_6"/>
      <w:bookmarkStart w:id="158" w:name="Tc_iAZ8kSU7dUOJa3ejtNVK5Q_3_3"/>
      <w:bookmarkStart w:id="159" w:name="Tc_vz0TK5O0PEeQawA5T9vYxg_2_6"/>
      <w:bookmarkStart w:id="160" w:name="Tc_4yskb857i0-yUOFnHdmkFQ_2_3"/>
      <w:bookmarkStart w:id="161" w:name="Tc_X8CE6Lgn_U6BUsHND7XYSQ_1_3"/>
      <w:bookmarkStart w:id="162" w:name="_4c4c1dd8_3150_4abe_bdcc_3e8c216bfac9"/>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tbl>
      <w:tblPr>
        <w:tblW w:w="10205" w:type="dxa"/>
        <w:jc w:val="left"/>
        <w:tblInd w:w="0" w:type="dxa"/>
        <w:tblLayout w:type="fixed"/>
        <w:tblCellMar>
          <w:top w:w="0" w:type="dxa"/>
          <w:left w:w="0" w:type="dxa"/>
          <w:bottom w:w="0" w:type="dxa"/>
          <w:right w:w="0" w:type="dxa"/>
        </w:tblCellMar>
      </w:tblPr>
      <w:tblGrid>
        <w:gridCol w:w="7181"/>
        <w:gridCol w:w="109"/>
        <w:gridCol w:w="109"/>
        <w:gridCol w:w="196"/>
        <w:gridCol w:w="1030"/>
        <w:gridCol w:w="326"/>
        <w:gridCol w:w="203"/>
        <w:gridCol w:w="1051"/>
      </w:tblGrid>
      <w:tr>
        <w:trPr/>
        <w:tc>
          <w:tcPr>
            <w:tcW w:w="7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559935" cy="175260"/>
                      <wp:effectExtent l="0" t="0" r="0" b="0"/>
                      <wp:wrapNone/>
                      <wp:docPr id="3" name="Frame3"/>
                      <a:graphic xmlns:a="http://schemas.openxmlformats.org/drawingml/2006/main">
                        <a:graphicData uri="http://schemas.microsoft.com/office/word/2010/wordprocessingShape">
                          <wps:wsp>
                            <wps:cNvSpPr txBox="1"/>
                            <wps:spPr>
                              <a:xfrm>
                                <a:off x="0" y="0"/>
                                <a:ext cx="455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9215" cy="175260"/>
                      <wp:effectExtent l="0" t="0" r="0" b="0"/>
                      <wp:wrapNone/>
                      <wp:docPr id="4" name="Frame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175260"/>
                      <wp:effectExtent l="0" t="0" r="0" b="0"/>
                      <wp:wrapNone/>
                      <wp:docPr id="5" name="Frame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54050" cy="175260"/>
                      <wp:effectExtent l="0" t="0" r="0" b="0"/>
                      <wp:wrapNone/>
                      <wp:docPr id="7" name="Frame7"/>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8905" cy="175260"/>
                      <wp:effectExtent l="0" t="0" r="0" b="0"/>
                      <wp:wrapNone/>
                      <wp:docPr id="9" name="Frame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7385" cy="175260"/>
                      <wp:effectExtent l="0" t="0" r="0" b="0"/>
                      <wp:wrapNone/>
                      <wp:docPr id="10" name="Frame1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0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As of  </w:t>
            </w:r>
          </w:p>
        </w:tc>
      </w:tr>
      <w:tr>
        <w:trPr/>
        <w:tc>
          <w:tcPr>
            <w:tcW w:w="7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26"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September 30,</w:t>
            </w:r>
          </w:p>
        </w:tc>
        <w:tc>
          <w:tcPr>
            <w:tcW w:w="326" w:type="dxa"/>
            <w:tcBorders/>
            <w:vAlign w:val="center"/>
          </w:tcPr>
          <w:p>
            <w:pPr>
              <w:pStyle w:val="TableContents"/>
              <w:bidi w:val="0"/>
              <w:spacing w:before="0" w:after="0"/>
              <w:ind w:left="0" w:right="0" w:hanging="0"/>
              <w:jc w:val="center"/>
              <w:rPr/>
            </w:pPr>
            <w:r>
              <w:rPr/>
              <w:t>​</w:t>
            </w:r>
          </w:p>
        </w:tc>
        <w:tc>
          <w:tcPr>
            <w:tcW w:w="1254" w:type="dxa"/>
            <w:gridSpan w:val="2"/>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December 31, </w:t>
            </w:r>
          </w:p>
        </w:tc>
      </w:tr>
      <w:tr>
        <w:trPr/>
        <w:tc>
          <w:tcPr>
            <w:tcW w:w="7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Current Assets: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1,118,957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476,075</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Current restricted cash, cash equivalents and marketable investment securities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128,826</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150,898</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Marketable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Trade accounts receivable, net of allowance for credit losses of $79,397</w:t>
            </w:r>
            <w:r>
              <w:rPr>
                <w:rFonts w:ascii="Times New Roman;Times;serif" w:hAnsi="Times New Roman;Times;serif"/>
                <w:sz w:val="16"/>
              </w:rPr>
              <w:t xml:space="preserve"> </w:t>
            </w:r>
            <w:r>
              <w:rPr>
                <w:rFonts w:ascii="Arial;Helvetica;sans-serif" w:hAnsi="Arial;Helvetica;sans-serif"/>
                <w:sz w:val="16"/>
              </w:rPr>
              <w:t>and $71,314, respectively (Note 12)</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824,634</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922,001</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225,064</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303,328</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Prepaids and other assets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316,929</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588,892</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4,288</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37,786</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assets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2,618,759</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2,479,266</w:t>
            </w:r>
          </w:p>
        </w:tc>
      </w:tr>
      <w:tr>
        <w:trPr/>
        <w:tc>
          <w:tcPr>
            <w:tcW w:w="7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Noncurrent Assets: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Restricted cash, cash equivalents and marketable investment securities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132,158</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127,698</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Property and equipment, net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1,483,083</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7,229,089</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Regulatory authorizations, net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25,941,704</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30,840,398</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Other investments, net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18,353</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35,483</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lease assets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173,367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3,134,938</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Intangible assets, net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53,594</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63,857</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noncurrent assets, net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286,713</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283,780</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noncurrent assets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28,088,972</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41,715,243</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assets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30,707,731</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44,194,509</w:t>
            </w:r>
          </w:p>
        </w:tc>
      </w:tr>
      <w:tr>
        <w:trPr/>
        <w:tc>
          <w:tcPr>
            <w:tcW w:w="7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Liabilities and Stockholder's Equity (Deficit)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Current Liabilities: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Trade accounts payable (Note 12)</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608,141</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696,277</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revenue and other</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565,297</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569,071</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programming</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1,222,607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1,339,072</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Accrued interest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341,228</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206,492</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DISH 2021 Intercompany Loan 2026 Tranche - Interest payable in cash (Note 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87,400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21,850</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accrued expenses and liabilities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2,079,871</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1,641,168</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Current portion of debt, finance lease and other obligations (Note 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3,131,385</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933,481</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current liabilities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8,035,929</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5,407,411</w:t>
            </w:r>
          </w:p>
        </w:tc>
      </w:tr>
      <w:tr>
        <w:trPr/>
        <w:tc>
          <w:tcPr>
            <w:tcW w:w="71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Long-Term Obligations, Net of Current Portion: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debt, finance lease and other obligations, net of current portion (Note 8)</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12,300,367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14,972,965</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Intercompany Loans (Note 8)</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8,166,078</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5,781,811</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tax liabilities, net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4,033,138</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8,312,490</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Operating lease liabilities </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4,150,673</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3,089,950</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Long-term deferred revenue and other 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1,521,117</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946,208</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long-term obligations, net of current portion</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30,171,373</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33,103,424</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38,207,302</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38,510,835</w:t>
            </w:r>
          </w:p>
        </w:tc>
      </w:tr>
      <w:tr>
        <w:trPr/>
        <w:tc>
          <w:tcPr>
            <w:tcW w:w="7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Commitments and Contingencies (Note 9)</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 xml:space="preserve">Stockholder's Equity (Deficit): </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r>
      <w:tr>
        <w:trPr/>
        <w:tc>
          <w:tcPr>
            <w:tcW w:w="71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Arial;Helvetica;sans-serif" w:hAnsi="Arial;Helvetica;sans-serif"/>
                <w:sz w:val="16"/>
              </w:rPr>
              <w:t>Common stock, $0</w:t>
            </w:r>
            <w:r>
              <w:rPr>
                <w:rFonts w:ascii="Times New Roman;Times;serif" w:hAnsi="Times New Roman;Times;serif"/>
                <w:sz w:val="16"/>
              </w:rPr>
              <w:t xml:space="preserve"> </w:t>
            </w:r>
            <w:r>
              <w:rPr>
                <w:rFonts w:ascii="Arial;Helvetica;sans-serif" w:hAnsi="Arial;Helvetica;sans-serif"/>
                <w:sz w:val="16"/>
              </w:rPr>
              <w:t>par value, 1,000</w:t>
            </w:r>
            <w:r>
              <w:rPr>
                <w:rFonts w:ascii="Times New Roman;Times;serif" w:hAnsi="Times New Roman;Times;serif"/>
                <w:sz w:val="16"/>
              </w:rPr>
              <w:t xml:space="preserve"> </w:t>
            </w:r>
            <w:r>
              <w:rPr>
                <w:rFonts w:ascii="Arial;Helvetica;sans-serif" w:hAnsi="Arial;Helvetica;sans-serif"/>
                <w:sz w:val="16"/>
              </w:rPr>
              <w:t>shares authorized, 1,000</w:t>
            </w:r>
            <w:r>
              <w:rPr>
                <w:rFonts w:ascii="Times New Roman;Times;serif" w:hAnsi="Times New Roman;Times;serif"/>
                <w:sz w:val="16"/>
              </w:rPr>
              <w:t xml:space="preserve"> </w:t>
            </w:r>
            <w:r>
              <w:rPr>
                <w:rFonts w:ascii="Arial;Helvetica;sans-serif" w:hAnsi="Arial;Helvetica;sans-serif"/>
                <w:sz w:val="16"/>
              </w:rPr>
              <w:t>shares issued and outstanding</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Additional paid-in capital</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5,183,135</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5,435,387</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other comprehensive income (loss)</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(3,653)</w:t>
            </w:r>
          </w:p>
        </w:tc>
        <w:tc>
          <w:tcPr>
            <w:tcW w:w="32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(2,759)</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Accumulated earnings (deficit)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(13,123,293)</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(193,030)</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DISH Network stockholder's equity (deficit)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(7,943,811)</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5,239,598</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444,240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444,076</w:t>
            </w:r>
          </w:p>
        </w:tc>
      </w:tr>
      <w:tr>
        <w:trPr/>
        <w:tc>
          <w:tcPr>
            <w:tcW w:w="7181"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stockholder's equity (deficit)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(7,499,571)</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5,683,674</w:t>
            </w:r>
          </w:p>
        </w:tc>
      </w:tr>
      <w:tr>
        <w:trPr/>
        <w:tc>
          <w:tcPr>
            <w:tcW w:w="7181"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liabilities and stockholder's equity (deficit)</w:t>
            </w:r>
          </w:p>
        </w:tc>
        <w:tc>
          <w:tcPr>
            <w:tcW w:w="10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30,707,731</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44,194,509</w:t>
            </w:r>
          </w:p>
        </w:tc>
      </w:tr>
    </w:tbl>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spacing w:val="-2"/>
          <w:sz w:val="18"/>
        </w:rPr>
      </w:pPr>
      <w:r>
        <w:rPr>
          <w:rFonts w:ascii="Arial;Helvetica;sans-serif" w:hAnsi="Arial;Helvetica;sans-serif"/>
          <w:spacing w:val="-2"/>
          <w:sz w:val="18"/>
        </w:rPr>
        <w:t>The accompanying notes are an integral part of these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pacing w:val="-2"/>
          <w:sz w:val="19"/>
        </w:rPr>
      </w:pPr>
      <w:bookmarkStart w:id="163" w:name="_6371ac71_7966_487c_8174_e1b25eed0792"/>
      <w:bookmarkEnd w:id="163"/>
      <w:r>
        <w:rPr>
          <w:rFonts w:ascii="Arial;Helvetica;sans-serif" w:hAnsi="Arial;Helvetica;sans-serif"/>
          <w:b/>
          <w:spacing w:val="-2"/>
          <w:sz w:val="19"/>
        </w:rPr>
        <w:t>DISH NETWORK CORPORATION</w:t>
      </w:r>
    </w:p>
    <w:p>
      <w:pPr>
        <w:pStyle w:val="TextBody"/>
        <w:bidi w:val="0"/>
        <w:spacing w:before="0" w:after="0"/>
        <w:ind w:left="0" w:right="0" w:hanging="0"/>
        <w:jc w:val="center"/>
        <w:rPr>
          <w:rFonts w:ascii="Arial;Helvetica;sans-serif" w:hAnsi="Arial;Helvetica;sans-serif"/>
          <w:b/>
          <w:spacing w:val="-2"/>
          <w:sz w:val="19"/>
        </w:rPr>
      </w:pPr>
      <w:bookmarkStart w:id="164" w:name="OPERATIONSANDCOMPREHENSIVEINCOMELOSS_799"/>
      <w:bookmarkEnd w:id="164"/>
      <w:r>
        <w:rPr>
          <w:rFonts w:ascii="Arial;Helvetica;sans-serif" w:hAnsi="Arial;Helvetica;sans-serif"/>
          <w:b/>
          <w:spacing w:val="-2"/>
          <w:sz w:val="19"/>
        </w:rPr>
        <w:t>CONDENSED CONSOLIDATED STATEMENTS OF OPERATIONS</w:t>
      </w:r>
    </w:p>
    <w:p>
      <w:pPr>
        <w:pStyle w:val="TextBody"/>
        <w:bidi w:val="0"/>
        <w:spacing w:before="0" w:after="0"/>
        <w:ind w:left="0" w:right="0" w:hanging="0"/>
        <w:jc w:val="center"/>
        <w:rPr>
          <w:rFonts w:ascii="Arial;Helvetica;sans-serif" w:hAnsi="Arial;Helvetica;sans-serif"/>
          <w:b/>
          <w:spacing w:val="-2"/>
          <w:sz w:val="19"/>
        </w:rPr>
      </w:pPr>
      <w:r>
        <w:rPr>
          <w:rFonts w:ascii="Arial;Helvetica;sans-serif" w:hAnsi="Arial;Helvetica;sans-serif"/>
          <w:b/>
          <w:spacing w:val="-2"/>
          <w:sz w:val="19"/>
        </w:rPr>
        <w:t>AND COMPREHENSIVE INCOME (LOSS)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(In thousands)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(Unaudited)</w:t>
      </w:r>
    </w:p>
    <w:p>
      <w:pPr>
        <w:pStyle w:val="TextBody"/>
        <w:bidi w:val="0"/>
        <w:spacing w:before="0" w:after="0"/>
        <w:ind w:left="0" w:right="0" w:hanging="0"/>
        <w:jc w:val="both"/>
        <w:rPr>
          <w:spacing w:val="-2"/>
        </w:rPr>
      </w:pPr>
      <w:r>
        <w:rPr>
          <w:spacing w:val="-2"/>
        </w:rPr>
        <w:t>​</w:t>
      </w:r>
    </w:p>
    <w:p>
      <w:pPr>
        <w:pStyle w:val="Normal"/>
        <w:bidi w:val="0"/>
        <w:spacing w:before="0" w:after="0"/>
        <w:jc w:val="left"/>
        <w:rPr>
          <w:sz w:val="4"/>
          <w:szCs w:val="4"/>
        </w:rPr>
      </w:pPr>
      <w:r>
        <w:rPr>
          <w:sz w:val="4"/>
          <w:szCs w:val="4"/>
        </w:rPr>
      </w:r>
      <w:bookmarkStart w:id="165" w:name="Tc_RWceAv0J7EOQEOrj0jrFTg_41_10"/>
      <w:bookmarkStart w:id="166" w:name="Tc_e4zCkyMSU0OBtW8cimoetA_41_7"/>
      <w:bookmarkStart w:id="167" w:name="Tc_x0PVPLvMjUW_tLDD8_aNzw_41_4"/>
      <w:bookmarkStart w:id="168" w:name="Tc_WE5eKvMywEG0gIx8WNOQPQ_41_1"/>
      <w:bookmarkStart w:id="169" w:name="Tc_Iusk1KNIJ0OxABElK9HIPw_41_0"/>
      <w:bookmarkStart w:id="170" w:name="Tc_V_ZqpmUqtkquvNpIn6qUvA_40_0"/>
      <w:bookmarkStart w:id="171" w:name="Tc_rDisurZht0Ccez2ypf42UA_39_0"/>
      <w:bookmarkStart w:id="172" w:name="Tc_n45gNjL_OUeb_oFjMdaVgQ_38_0"/>
      <w:bookmarkStart w:id="173" w:name="Tc_5JbjRbb5B0mi6AxhhkV6vQ_37_0"/>
      <w:bookmarkStart w:id="174" w:name="Tc_iB4T95DeLEOx1C3QcHqJPg_36_0"/>
      <w:bookmarkStart w:id="175" w:name="Tc_t3EQhdn8gU2TU-jWmfSB9Q_35_0"/>
      <w:bookmarkStart w:id="176" w:name="Tc_3m_GfI9knkC7ofQxmNQC-g_34_0"/>
      <w:bookmarkStart w:id="177" w:name="Tc_ROWJDE22Ikm38ZwT54jh_Q_33_0"/>
      <w:bookmarkStart w:id="178" w:name="Tc_mTOfbBepSk-iGZoK97Pukg_32_10"/>
      <w:bookmarkStart w:id="179" w:name="Tc_f6C2BmuWy0WKY09pamS8IA_32_7"/>
      <w:bookmarkStart w:id="180" w:name="Tc_RVp3HnXpzkSynNdbgLDdlQ_32_4"/>
      <w:bookmarkStart w:id="181" w:name="Tc_3EDFG4Rkn0u1Bg-uNkq8dA_32_1"/>
      <w:bookmarkStart w:id="182" w:name="Tc_fimS1ErehU23-uTjChhBPA_32_0"/>
      <w:bookmarkStart w:id="183" w:name="Tc_m5XO9EI2Nk2GYmbbY4OvCw_31_0"/>
      <w:bookmarkStart w:id="184" w:name="Tc_qdJKo31NoECkWt1ZD1-yGQ_29_10"/>
      <w:bookmarkStart w:id="185" w:name="Tc_gTuGwCzpqUqMeNr9YzZTUA_29_7"/>
      <w:bookmarkStart w:id="186" w:name="Tc_UQ_fmT3vE06AGvvbKGiI8A_29_4"/>
      <w:bookmarkStart w:id="187" w:name="Tc_GR4iHWcelEmqfw6QnVTweA_29_1"/>
      <w:bookmarkStart w:id="188" w:name="Tc_D_1qzPZf2UuljlwiyzE-3g_29_0"/>
      <w:bookmarkStart w:id="189" w:name="Tc_K6oPpTOuGEOpNoJAkAMbvQ_28_0"/>
      <w:bookmarkStart w:id="190" w:name="Tc_rBJM86JY0EK_K4w_cxHHZg_27_0"/>
      <w:bookmarkStart w:id="191" w:name="Tc_5bigyLdlhECwuIV6qLvIsQ_26_0"/>
      <w:bookmarkStart w:id="192" w:name="Tc_YYNgdvO4EUGBXJSz05arFw_25_0"/>
      <w:bookmarkStart w:id="193" w:name="Tc_W7Lhj9zNukGwg2nh5qM2Dw_23_0"/>
      <w:bookmarkStart w:id="194" w:name="Tc_B-9LjpSp30eECEbAzMuI9w_22_0"/>
      <w:bookmarkStart w:id="195" w:name="Tc_zL4t5Aw__kS1B6U4Y9MGcQ_21_0"/>
      <w:bookmarkStart w:id="196" w:name="Tc_ZTtVxjNkM0q6BwTF8sYrAw_20_0"/>
      <w:bookmarkStart w:id="197" w:name="Tc_oSOBj3Dua0aWy7yS98dI0g_19_0"/>
      <w:bookmarkStart w:id="198" w:name="Tc_jV7dQgI9iU671WQMjqIyEw_17_0"/>
      <w:bookmarkStart w:id="199" w:name="Tc_zcGnCcvJakWWYKu9FSdPFQ_15_0"/>
      <w:bookmarkStart w:id="200" w:name="Tc_MfPr0QLb6Ei3U3Pr9meV9Q_14_11"/>
      <w:bookmarkStart w:id="201" w:name="Tc_ZeoTcbVYvkWT20i6ac8O7g_14_5"/>
      <w:bookmarkStart w:id="202" w:name="Tc_w4Cs60acH0CKDH1D8o5nIQ_14_0"/>
      <w:bookmarkStart w:id="203" w:name="Tc_rA7tPXxojkC3y-Cw532Y9g_13_0"/>
      <w:bookmarkStart w:id="204" w:name="Tc_rEcWF5D9lk6Ki7deqRNhqQ_12_0"/>
      <w:bookmarkStart w:id="205" w:name="Tc_GSSSS2FKZEOIDWlyxVJHwA_11_0"/>
      <w:bookmarkStart w:id="206" w:name="Tc_ioQk7detMkWqwDBIu3L-aQ_10_0"/>
      <w:bookmarkStart w:id="207" w:name="Tc_Vu_ZkwINikia4SDCF2Igwg_9_0"/>
      <w:bookmarkStart w:id="208" w:name="Tc_kN9oemNMC0yUFIqkkhaqiQ_7_0"/>
      <w:bookmarkStart w:id="209" w:name="Tc_-rndW1JzzEqRZBmXJKvtrQ_6_0"/>
      <w:bookmarkStart w:id="210" w:name="Tc_6CGGRzi6CU2gEdz4emBwLg_5_10"/>
      <w:bookmarkStart w:id="211" w:name="Tc_0hDUwSidJEC4150AsQGLBw_5_7"/>
      <w:bookmarkStart w:id="212" w:name="Tc_z45rKbvYmkuzWbLbt0Tyng_5_4"/>
      <w:bookmarkStart w:id="213" w:name="Tc_cxiUQgutMEWOnkWs86r2Pw_5_1"/>
      <w:bookmarkStart w:id="214" w:name="Tc_FTCwBdxYuE-3AzBdxvIdAg_5_0"/>
      <w:bookmarkStart w:id="215" w:name="Tc_C7LeJh3bkUSZNujYZoiM8A_4_0"/>
      <w:bookmarkStart w:id="216" w:name="Tc_W1l4brFkDkO02NGwQjidOw_3_10"/>
      <w:bookmarkStart w:id="217" w:name="Tc_13Hy-3OdJkK4PCjOCcICDA_3_7"/>
      <w:bookmarkStart w:id="218" w:name="Tc_qUS-rtWmCkqAaLfCsESWSw_3_4"/>
      <w:bookmarkStart w:id="219" w:name="Tc_UCQ4_Atej0uxtSjxg_ymrQ_3_1"/>
      <w:bookmarkStart w:id="220" w:name="Tc_HaSBCFX14kGX2LSm0tAXAQ_2_7"/>
      <w:bookmarkStart w:id="221" w:name="Tc_HXsaEvrUTkyYG4HXiY5Tvg_2_1"/>
      <w:bookmarkStart w:id="222" w:name="Tc_cXlvzS-WtECtgcR8t_Xvsw_1_7"/>
      <w:bookmarkStart w:id="223" w:name="Tc_70PAXWQzIUKfMV57Ggweag_1_1"/>
      <w:bookmarkStart w:id="224" w:name="_c996cee0_ad4b_4e07_ab1e_8d299b7a8559"/>
      <w:bookmarkStart w:id="225" w:name="Tc_RWceAv0J7EOQEOrj0jrFTg_41_10"/>
      <w:bookmarkStart w:id="226" w:name="Tc_e4zCkyMSU0OBtW8cimoetA_41_7"/>
      <w:bookmarkStart w:id="227" w:name="Tc_x0PVPLvMjUW_tLDD8_aNzw_41_4"/>
      <w:bookmarkStart w:id="228" w:name="Tc_WE5eKvMywEG0gIx8WNOQPQ_41_1"/>
      <w:bookmarkStart w:id="229" w:name="Tc_Iusk1KNIJ0OxABElK9HIPw_41_0"/>
      <w:bookmarkStart w:id="230" w:name="Tc_V_ZqpmUqtkquvNpIn6qUvA_40_0"/>
      <w:bookmarkStart w:id="231" w:name="Tc_rDisurZht0Ccez2ypf42UA_39_0"/>
      <w:bookmarkStart w:id="232" w:name="Tc_n45gNjL_OUeb_oFjMdaVgQ_38_0"/>
      <w:bookmarkStart w:id="233" w:name="Tc_5JbjRbb5B0mi6AxhhkV6vQ_37_0"/>
      <w:bookmarkStart w:id="234" w:name="Tc_iB4T95DeLEOx1C3QcHqJPg_36_0"/>
      <w:bookmarkStart w:id="235" w:name="Tc_t3EQhdn8gU2TU-jWmfSB9Q_35_0"/>
      <w:bookmarkStart w:id="236" w:name="Tc_3m_GfI9knkC7ofQxmNQC-g_34_0"/>
      <w:bookmarkStart w:id="237" w:name="Tc_ROWJDE22Ikm38ZwT54jh_Q_33_0"/>
      <w:bookmarkStart w:id="238" w:name="Tc_mTOfbBepSk-iGZoK97Pukg_32_10"/>
      <w:bookmarkStart w:id="239" w:name="Tc_f6C2BmuWy0WKY09pamS8IA_32_7"/>
      <w:bookmarkStart w:id="240" w:name="Tc_RVp3HnXpzkSynNdbgLDdlQ_32_4"/>
      <w:bookmarkStart w:id="241" w:name="Tc_3EDFG4Rkn0u1Bg-uNkq8dA_32_1"/>
      <w:bookmarkStart w:id="242" w:name="Tc_fimS1ErehU23-uTjChhBPA_32_0"/>
      <w:bookmarkStart w:id="243" w:name="Tc_m5XO9EI2Nk2GYmbbY4OvCw_31_0"/>
      <w:bookmarkStart w:id="244" w:name="Tc_qdJKo31NoECkWt1ZD1-yGQ_29_10"/>
      <w:bookmarkStart w:id="245" w:name="Tc_gTuGwCzpqUqMeNr9YzZTUA_29_7"/>
      <w:bookmarkStart w:id="246" w:name="Tc_UQ_fmT3vE06AGvvbKGiI8A_29_4"/>
      <w:bookmarkStart w:id="247" w:name="Tc_GR4iHWcelEmqfw6QnVTweA_29_1"/>
      <w:bookmarkStart w:id="248" w:name="Tc_D_1qzPZf2UuljlwiyzE-3g_29_0"/>
      <w:bookmarkStart w:id="249" w:name="Tc_K6oPpTOuGEOpNoJAkAMbvQ_28_0"/>
      <w:bookmarkStart w:id="250" w:name="Tc_rBJM86JY0EK_K4w_cxHHZg_27_0"/>
      <w:bookmarkStart w:id="251" w:name="Tc_5bigyLdlhECwuIV6qLvIsQ_26_0"/>
      <w:bookmarkStart w:id="252" w:name="Tc_YYNgdvO4EUGBXJSz05arFw_25_0"/>
      <w:bookmarkStart w:id="253" w:name="Tc_W7Lhj9zNukGwg2nh5qM2Dw_23_0"/>
      <w:bookmarkStart w:id="254" w:name="Tc_B-9LjpSp30eECEbAzMuI9w_22_0"/>
      <w:bookmarkStart w:id="255" w:name="Tc_zL4t5Aw__kS1B6U4Y9MGcQ_21_0"/>
      <w:bookmarkStart w:id="256" w:name="Tc_ZTtVxjNkM0q6BwTF8sYrAw_20_0"/>
      <w:bookmarkStart w:id="257" w:name="Tc_oSOBj3Dua0aWy7yS98dI0g_19_0"/>
      <w:bookmarkStart w:id="258" w:name="Tc_jV7dQgI9iU671WQMjqIyEw_17_0"/>
      <w:bookmarkStart w:id="259" w:name="Tc_zcGnCcvJakWWYKu9FSdPFQ_15_0"/>
      <w:bookmarkStart w:id="260" w:name="Tc_MfPr0QLb6Ei3U3Pr9meV9Q_14_11"/>
      <w:bookmarkStart w:id="261" w:name="Tc_ZeoTcbVYvkWT20i6ac8O7g_14_5"/>
      <w:bookmarkStart w:id="262" w:name="Tc_w4Cs60acH0CKDH1D8o5nIQ_14_0"/>
      <w:bookmarkStart w:id="263" w:name="Tc_rA7tPXxojkC3y-Cw532Y9g_13_0"/>
      <w:bookmarkStart w:id="264" w:name="Tc_rEcWF5D9lk6Ki7deqRNhqQ_12_0"/>
      <w:bookmarkStart w:id="265" w:name="Tc_GSSSS2FKZEOIDWlyxVJHwA_11_0"/>
      <w:bookmarkStart w:id="266" w:name="Tc_ioQk7detMkWqwDBIu3L-aQ_10_0"/>
      <w:bookmarkStart w:id="267" w:name="Tc_Vu_ZkwINikia4SDCF2Igwg_9_0"/>
      <w:bookmarkStart w:id="268" w:name="Tc_kN9oemNMC0yUFIqkkhaqiQ_7_0"/>
      <w:bookmarkStart w:id="269" w:name="Tc_-rndW1JzzEqRZBmXJKvtrQ_6_0"/>
      <w:bookmarkStart w:id="270" w:name="Tc_6CGGRzi6CU2gEdz4emBwLg_5_10"/>
      <w:bookmarkStart w:id="271" w:name="Tc_0hDUwSidJEC4150AsQGLBw_5_7"/>
      <w:bookmarkStart w:id="272" w:name="Tc_z45rKbvYmkuzWbLbt0Tyng_5_4"/>
      <w:bookmarkStart w:id="273" w:name="Tc_cxiUQgutMEWOnkWs86r2Pw_5_1"/>
      <w:bookmarkStart w:id="274" w:name="Tc_FTCwBdxYuE-3AzBdxvIdAg_5_0"/>
      <w:bookmarkStart w:id="275" w:name="Tc_C7LeJh3bkUSZNujYZoiM8A_4_0"/>
      <w:bookmarkStart w:id="276" w:name="Tc_W1l4brFkDkO02NGwQjidOw_3_10"/>
      <w:bookmarkStart w:id="277" w:name="Tc_13Hy-3OdJkK4PCjOCcICDA_3_7"/>
      <w:bookmarkStart w:id="278" w:name="Tc_qUS-rtWmCkqAaLfCsESWSw_3_4"/>
      <w:bookmarkStart w:id="279" w:name="Tc_UCQ4_Atej0uxtSjxg_ymrQ_3_1"/>
      <w:bookmarkStart w:id="280" w:name="Tc_HaSBCFX14kGX2LSm0tAXAQ_2_7"/>
      <w:bookmarkStart w:id="281" w:name="Tc_HXsaEvrUTkyYG4HXiY5Tvg_2_1"/>
      <w:bookmarkStart w:id="282" w:name="Tc_cXlvzS-WtECtgcR8t_Xvsw_1_7"/>
      <w:bookmarkStart w:id="283" w:name="Tc_70PAXWQzIUKfMV57Ggweag_1_1"/>
      <w:bookmarkStart w:id="284" w:name="_c996cee0_ad4b_4e07_ab1e_8d299b7a8559"/>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tbl>
      <w:tblPr>
        <w:tblW w:w="10205" w:type="dxa"/>
        <w:jc w:val="left"/>
        <w:tblInd w:w="0" w:type="dxa"/>
        <w:tblLayout w:type="fixed"/>
        <w:tblCellMar>
          <w:top w:w="0" w:type="dxa"/>
          <w:left w:w="0" w:type="dxa"/>
          <w:bottom w:w="0" w:type="dxa"/>
          <w:right w:w="0" w:type="dxa"/>
        </w:tblCellMar>
      </w:tblPr>
      <w:tblGrid>
        <w:gridCol w:w="4646"/>
        <w:gridCol w:w="196"/>
        <w:gridCol w:w="1004"/>
        <w:gridCol w:w="326"/>
        <w:gridCol w:w="196"/>
        <w:gridCol w:w="826"/>
        <w:gridCol w:w="326"/>
        <w:gridCol w:w="196"/>
        <w:gridCol w:w="1004"/>
        <w:gridCol w:w="326"/>
        <w:gridCol w:w="196"/>
        <w:gridCol w:w="963"/>
      </w:tblGrid>
      <w:tr>
        <w:trPr/>
        <w:tc>
          <w:tcPr>
            <w:tcW w:w="4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50210" cy="175260"/>
                      <wp:effectExtent l="0" t="0" r="0" b="0"/>
                      <wp:wrapNone/>
                      <wp:docPr id="11" name="Frame11"/>
                      <a:graphic xmlns:a="http://schemas.openxmlformats.org/drawingml/2006/main">
                        <a:graphicData uri="http://schemas.microsoft.com/office/word/2010/wordprocessingShape">
                          <wps:wsp>
                            <wps:cNvSpPr txBox="1"/>
                            <wps:spPr>
                              <a:xfrm>
                                <a:off x="0" y="0"/>
                                <a:ext cx="295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24460" cy="175260"/>
                      <wp:effectExtent l="0" t="0" r="0" b="0"/>
                      <wp:wrapNone/>
                      <wp:docPr id="12" name="Frame1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37540" cy="175260"/>
                      <wp:effectExtent l="0" t="0" r="0" b="0"/>
                      <wp:wrapNone/>
                      <wp:docPr id="13" name="Frame13"/>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37540" cy="175260"/>
                      <wp:effectExtent l="0" t="0" r="0" b="0"/>
                      <wp:wrapNone/>
                      <wp:docPr id="19" name="Frame19"/>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260"/>
                      <wp:effectExtent l="0" t="0" r="0" b="0"/>
                      <wp:wrapNone/>
                      <wp:docPr id="20" name="Frame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24460" cy="175260"/>
                      <wp:effectExtent l="0" t="0" r="0" b="0"/>
                      <wp:wrapNone/>
                      <wp:docPr id="21" name="Frame2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11505" cy="175260"/>
                      <wp:effectExtent l="0" t="0" r="0" b="0"/>
                      <wp:wrapNone/>
                      <wp:docPr id="22" name="Frame22"/>
                      <a:graphic xmlns:a="http://schemas.openxmlformats.org/drawingml/2006/main">
                        <a:graphicData uri="http://schemas.microsoft.com/office/word/2010/wordprocessingShape">
                          <wps:wsp>
                            <wps:cNvSpPr txBox="1"/>
                            <wps:spPr>
                              <a:xfrm>
                                <a:off x="0" y="0"/>
                                <a:ext cx="611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46" w:type="dxa"/>
            <w:tcBorders/>
            <w:vAlign w:val="center"/>
          </w:tcPr>
          <w:p>
            <w:pPr>
              <w:pStyle w:val="TableContents"/>
              <w:bidi w:val="0"/>
              <w:spacing w:before="0" w:after="0"/>
              <w:ind w:left="0" w:right="0" w:hanging="0"/>
              <w:jc w:val="left"/>
              <w:rPr/>
            </w:pPr>
            <w:r>
              <w:rPr/>
              <w:t>​</w:t>
            </w:r>
          </w:p>
        </w:tc>
        <w:tc>
          <w:tcPr>
            <w:tcW w:w="2548"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 the Nine Months Ended </w:t>
            </w:r>
          </w:p>
        </w:tc>
      </w:tr>
      <w:tr>
        <w:trPr/>
        <w:tc>
          <w:tcPr>
            <w:tcW w:w="4646" w:type="dxa"/>
            <w:tcBorders/>
            <w:vAlign w:val="center"/>
          </w:tcPr>
          <w:p>
            <w:pPr>
              <w:pStyle w:val="TableContents"/>
              <w:bidi w:val="0"/>
              <w:spacing w:before="0" w:after="0"/>
              <w:ind w:left="0" w:right="0" w:hanging="0"/>
              <w:jc w:val="left"/>
              <w:rPr/>
            </w:pPr>
            <w:r>
              <w:rPr/>
              <w:t>​</w:t>
            </w:r>
          </w:p>
        </w:tc>
        <w:tc>
          <w:tcPr>
            <w:tcW w:w="25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68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September 30, </w:t>
            </w:r>
          </w:p>
        </w:tc>
      </w:tr>
      <w:tr>
        <w:trPr/>
        <w:tc>
          <w:tcPr>
            <w:tcW w:w="464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c>
          <w:tcPr>
            <w:tcW w:w="326" w:type="dxa"/>
            <w:tcBorders/>
            <w:vAlign w:val="center"/>
          </w:tcPr>
          <w:p>
            <w:pPr>
              <w:pStyle w:val="TableContents"/>
              <w:bidi w:val="0"/>
              <w:spacing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2025</w:t>
            </w:r>
          </w:p>
        </w:tc>
        <w:tc>
          <w:tcPr>
            <w:tcW w:w="326" w:type="dxa"/>
            <w:tcBorders/>
            <w:vAlign w:val="center"/>
          </w:tcPr>
          <w:p>
            <w:pPr>
              <w:pStyle w:val="TableContents"/>
              <w:bidi w:val="0"/>
              <w:spacing w:before="0" w:after="0"/>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2024</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Revenue:</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Service revenue</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3,164,369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3,380,913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9,768,894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10,329,859</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Equipment sales and other revenue</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116,525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134,404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417,902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393,617</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revenue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3,280,894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3,515,317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10,186,796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10,723,476</w:t>
            </w:r>
          </w:p>
        </w:tc>
      </w:tr>
      <w:tr>
        <w:trPr/>
        <w:tc>
          <w:tcPr>
            <w:tcW w:w="46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Costs and Expenses (exclusive of depreciation and amortization):</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left"/>
              <w:rPr/>
            </w:pPr>
            <w:r>
              <w:rPr/>
              <w:t>​</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Cost of services</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2,259,952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2,415,552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6,929,802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7,226,180</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Cost of sales - equipment and other </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323,719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319,564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974,127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956,918</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Selling, general and administrative expenses</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536,897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540,502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1,588,428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1,548,287</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 xml:space="preserve">Depreciation and amortization </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290,655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364,199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1,063,121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1,122,383</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Impairments and other (Note 1)</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16,036,001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16,036,001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costs and expenses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19,447,224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3,639,817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26,591,479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10,853,768</w:t>
            </w:r>
          </w:p>
        </w:tc>
      </w:tr>
      <w:tr>
        <w:trPr/>
        <w:tc>
          <w:tcPr>
            <w:tcW w:w="46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Operating income (loss)</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(16,166,330)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(16,404,683)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(130,292)</w:t>
            </w:r>
          </w:p>
        </w:tc>
      </w:tr>
      <w:tr>
        <w:trPr/>
        <w:tc>
          <w:tcPr>
            <w:tcW w:w="46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Other Income (Expense):</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left"/>
              <w:rPr/>
            </w:pPr>
            <w:r>
              <w:rPr/>
              <w:t>​</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income</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15,243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8,627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40,441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31,794</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Interest expense, net of amounts capitalized (Note 2)</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(332,003)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(160,625)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(759,507)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(495,821)</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Other, net (Note 4)</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(41,156)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18,019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(15,938)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80,884</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Total other income (expense)</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(357,916)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(133,979)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(735,004)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(383,143)</w:t>
            </w:r>
          </w:p>
        </w:tc>
      </w:tr>
      <w:tr>
        <w:trPr/>
        <w:tc>
          <w:tcPr>
            <w:tcW w:w="46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(loss) before income taxes</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(16,524,246)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(258,479)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(17,139,687)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(513,435)</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Income tax (provision) benefit, net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4,056,647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47,971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4,209,492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80,872</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(12,467,599)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(210,508)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(12,930,195)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(432,563)</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Net income (loss) attributable to noncontrolling interests, net of tax</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3,688</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 attributable to DISH Network</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(12,467,609)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(210,523)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(12,930,263)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(436,251)</w:t>
            </w:r>
          </w:p>
        </w:tc>
      </w:tr>
      <w:tr>
        <w:trPr/>
        <w:tc>
          <w:tcPr>
            <w:tcW w:w="46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left"/>
              <w:rPr/>
            </w:pPr>
            <w:r>
              <w:rPr/>
              <w:t>​</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Comprehensive Income (Loss):</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left"/>
              <w:rPr/>
            </w:pPr>
            <w:r>
              <w:rPr/>
              <w:t>​</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Net income (loss)</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(12,467,599)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(210,508)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(12,930,195)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(432,563)</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Other comprehensive income (loss):</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left"/>
              <w:rPr/>
            </w:pPr>
            <w:r>
              <w:rPr/>
              <w:t>​</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Foreign currency translation adjustments</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(843)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(918)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(138)</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Unrealized holding gains (losses) on available-for-sale debt securities</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1,792</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Recognition of previously unrealized (gains) losses on available-for-sale securities included in net income (loss)</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63"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(1,758)</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Deferred income tax (expense) benefit, net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i/>
                <w:sz w:val="16"/>
              </w:rPr>
            </w:pPr>
            <w:r>
              <w:rPr>
                <w:rFonts w:ascii="Arial;Helvetica;sans-serif" w:hAnsi="Arial;Helvetica;sans-serif"/>
                <w:i/>
                <w:sz w:val="16"/>
              </w:rPr>
              <w:t>Total other comprehensive income (loss), net of tax</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(807)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(894)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(107)</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(12,468,406)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(210,591)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(12,931,089)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63"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(432,670)</w:t>
            </w:r>
          </w:p>
        </w:tc>
      </w:tr>
      <w:tr>
        <w:trPr/>
        <w:tc>
          <w:tcPr>
            <w:tcW w:w="464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Less: Comprehensive income (loss) attributable to noncontrolling interests, net of tax</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68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6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3,688</w:t>
            </w:r>
          </w:p>
        </w:tc>
      </w:tr>
      <w:tr>
        <w:trPr/>
        <w:tc>
          <w:tcPr>
            <w:tcW w:w="464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Comprehensive income (loss) attributable to DISH Network</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(12,468,416)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(210,606)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(12,931,157)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(436,358)</w:t>
            </w:r>
          </w:p>
        </w:tc>
      </w:tr>
    </w:tbl>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center"/>
        <w:rPr>
          <w:rFonts w:ascii="Arial;Helvetica;sans-serif" w:hAnsi="Arial;Helvetica;sans-serif"/>
          <w:spacing w:val="-2"/>
          <w:sz w:val="18"/>
        </w:rPr>
      </w:pPr>
      <w:r>
        <w:rPr>
          <w:rFonts w:ascii="Arial;Helvetica;sans-serif" w:hAnsi="Arial;Helvetica;sans-serif"/>
          <w:spacing w:val="-2"/>
          <w:sz w:val="18"/>
        </w:rPr>
        <w:t>The accompanying notes are an integral part of these condensed consolidated financial statements.</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19"/>
        </w:rPr>
      </w:pPr>
      <w:bookmarkStart w:id="285" w:name="_2f478f65_5ff1_4bca_974a_3b0bffbbc795"/>
      <w:bookmarkEnd w:id="285"/>
      <w:r>
        <w:rPr>
          <w:rFonts w:ascii="Arial;Helvetica;sans-serif" w:hAnsi="Arial;Helvetica;sans-serif"/>
          <w:b/>
          <w:spacing w:val="-2"/>
          <w:sz w:val="19"/>
        </w:rPr>
        <w:t>DISH NETWORK CORPORATION</w:t>
      </w:r>
    </w:p>
    <w:p>
      <w:pPr>
        <w:pStyle w:val="TextBody"/>
        <w:bidi w:val="0"/>
        <w:spacing w:before="0" w:after="0"/>
        <w:ind w:left="0" w:right="0" w:hanging="0"/>
        <w:jc w:val="center"/>
        <w:rPr>
          <w:rFonts w:ascii="Arial;Helvetica;sans-serif" w:hAnsi="Arial;Helvetica;sans-serif"/>
          <w:b/>
          <w:spacing w:val="-2"/>
          <w:sz w:val="19"/>
        </w:rPr>
      </w:pPr>
      <w:bookmarkStart w:id="286" w:name="CHANGESINSTOCKHOLDERSEQUITY"/>
      <w:bookmarkEnd w:id="286"/>
      <w:r>
        <w:rPr>
          <w:rFonts w:ascii="Arial;Helvetica;sans-serif" w:hAnsi="Arial;Helvetica;sans-serif"/>
          <w:b/>
          <w:spacing w:val="-2"/>
          <w:sz w:val="19"/>
        </w:rPr>
        <w:t>CONDENSED CONSOLIDATED STATEMENTS OF CHANGES IN STOCKHOLDER’S EQUITY (DEFICIT)</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(In thousands)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(Unaudited)</w:t>
      </w:r>
    </w:p>
    <w:p>
      <w:pPr>
        <w:pStyle w:val="TextBody"/>
        <w:bidi w:val="0"/>
        <w:spacing w:before="0" w:after="0"/>
        <w:ind w:left="0" w:right="0" w:hanging="0"/>
        <w:jc w:val="both"/>
        <w:rPr>
          <w:spacing w:val="-2"/>
        </w:rPr>
      </w:pPr>
      <w:r>
        <w:rPr>
          <w:spacing w:val="-2"/>
        </w:rPr>
        <w:t>​</w:t>
      </w:r>
    </w:p>
    <w:p>
      <w:pPr>
        <w:pStyle w:val="Normal"/>
        <w:bidi w:val="0"/>
        <w:spacing w:before="0" w:after="0"/>
        <w:jc w:val="left"/>
        <w:rPr>
          <w:sz w:val="4"/>
          <w:szCs w:val="4"/>
        </w:rPr>
      </w:pPr>
      <w:r>
        <w:rPr>
          <w:sz w:val="4"/>
          <w:szCs w:val="4"/>
        </w:rPr>
      </w:r>
      <w:bookmarkStart w:id="287" w:name="Tc_LmLgddOFDUuy1PDOM5NyMQ_25_18"/>
      <w:bookmarkStart w:id="288" w:name="Tc_p25Jv9GJxE-xdKYChSFWnQ_25_17"/>
      <w:bookmarkStart w:id="289" w:name="Tc_GEPlHDf1tUefPDn1lZtPmg_25_14"/>
      <w:bookmarkStart w:id="290" w:name="Tc_2JcUhcAQ8ES9k6dZWkCMKQ_25_11"/>
      <w:bookmarkStart w:id="291" w:name="Tc_5UK2DlkYAEuIn8cWBWtKiw_25_8"/>
      <w:bookmarkStart w:id="292" w:name="Tc__HyqjimJIkGGQSpEnXk4Cw_25_5"/>
      <w:bookmarkStart w:id="293" w:name="Tc_URWczUtxx0ujCpCSEBYJQw_25_2"/>
      <w:bookmarkStart w:id="294" w:name="Tc_etyvKVoolEKeTR0NGzjyPw_25_0"/>
      <w:bookmarkStart w:id="295" w:name="Tc_6k3BpQz56UKEkEQovRFpnw_24_18"/>
      <w:bookmarkStart w:id="296" w:name="Tc_-MzRCKFu4UC2WZqrJp9y8g_24_12"/>
      <w:bookmarkStart w:id="297" w:name="Tc_IL7hAsaZBkKTGK5OWJP2ww_24_6"/>
      <w:bookmarkStart w:id="298" w:name="Tc_0X8nZwD3EE-_Fncf3YLghg_24_3"/>
      <w:bookmarkStart w:id="299" w:name="Tc_hWFie9BvnkyBFhgRpauHlg_24_0"/>
      <w:bookmarkStart w:id="300" w:name="Tc_uoU1OU0vAEq_7Pu5mP51Zg_23_18"/>
      <w:bookmarkStart w:id="301" w:name="Tc_fqbbSmJPPEu94s15OEDxRA_23_9"/>
      <w:bookmarkStart w:id="302" w:name="Tc_IPjGh9gOCkOFGixoRbuwNw_23_6"/>
      <w:bookmarkStart w:id="303" w:name="Tc_tbfxXAnsAkqLVgaynGIc0w_23_3"/>
      <w:bookmarkStart w:id="304" w:name="Tc_rcfA61CW_UCqT8N8M40duw_23_0"/>
      <w:bookmarkStart w:id="305" w:name="Tc_9eh3BIF-lECpaeqyNcC3BQ_22_18"/>
      <w:bookmarkStart w:id="306" w:name="Tc_uwn4Vay_0UeEAoK4ECJt-Q_22_12"/>
      <w:bookmarkStart w:id="307" w:name="Tc_LZl6sX7iSk-Ma0k1QFGX2g_22_9"/>
      <w:bookmarkStart w:id="308" w:name="Tc_zi_PDfcVkkesVh-bHM-cWQ_22_3"/>
      <w:bookmarkStart w:id="309" w:name="Tc_DHgXG7ueikyys7JVuZDJkQ_22_0"/>
      <w:bookmarkStart w:id="310" w:name="Tc_U5VwnXiS2UulmZtSYg08FA_21_18"/>
      <w:bookmarkStart w:id="311" w:name="Tc_66jaEAgvG0S7UptNO7gYMA_21_12"/>
      <w:bookmarkStart w:id="312" w:name="Tc_oD0EZloRTUq28jZEFynwqA_21_9"/>
      <w:bookmarkStart w:id="313" w:name="Tc_O58p6WyaTkq9zZnN4oo5aA_21_6"/>
      <w:bookmarkStart w:id="314" w:name="Tc_fclgDJ2K50mRf82otuemtA_21_0"/>
      <w:bookmarkStart w:id="315" w:name="Tc_Wildaipb3UioI0-ZOklW0A_20_18"/>
      <w:bookmarkStart w:id="316" w:name="Tc_Obu6fN-Iy0uAkM4Zez_G6w_20_17"/>
      <w:bookmarkStart w:id="317" w:name="Tc_UEEZUcDQBUuwW5hgTESx8g_20_14"/>
      <w:bookmarkStart w:id="318" w:name="Tc_QUo23eYHXUyHMoi8qFMBrA_20_11"/>
      <w:bookmarkStart w:id="319" w:name="Tc_p50J5BS68USNc8FrTX8tVw_20_8"/>
      <w:bookmarkStart w:id="320" w:name="Tc_O30_kNB37ka865Qzdn-XrQ_20_5"/>
      <w:bookmarkStart w:id="321" w:name="Tc_JOzh5wUf5Ue_S_w7TBmaMg_20_2"/>
      <w:bookmarkStart w:id="322" w:name="Tc_VTQoqzmuhkmapCdt5S1jGg_20_0"/>
      <w:bookmarkStart w:id="323" w:name="Tc_OIamTZwZr06gRVr2cpkqPA_19_18"/>
      <w:bookmarkStart w:id="324" w:name="Tc_2EAvx2Lujk2EG29X_iz75Q_19_12"/>
      <w:bookmarkStart w:id="325" w:name="Tc_tP9KMjKLw0Gfsb8mk2I4jg_19_6"/>
      <w:bookmarkStart w:id="326" w:name="Tc_YTbGrOp6EESggdS2GrybOg_19_3"/>
      <w:bookmarkStart w:id="327" w:name="Tc_-d-iQOmlC06gxLccL9jWqQ_19_0"/>
      <w:bookmarkStart w:id="328" w:name="Tc_R6AaNSzHxkG1MeooYn7RuQ_18_18"/>
      <w:bookmarkStart w:id="329" w:name="Tc_yZ27nGVBL0S38bDIsK5bpQ_18_9"/>
      <w:bookmarkStart w:id="330" w:name="Tc_TdzkMKuzQ0qE7Yrtquqvvg_18_6"/>
      <w:bookmarkStart w:id="331" w:name="Tc_HYwvqkky5EKEdH08N5vlRQ_18_3"/>
      <w:bookmarkStart w:id="332" w:name="Tc_GpqBwb5nL0GbbKamr7aw1w_18_0"/>
      <w:bookmarkStart w:id="333" w:name="Tc_Wvi6ugDKykaqd72mHX2u1A_17_18"/>
      <w:bookmarkStart w:id="334" w:name="Tc_u1Nzf0MEUEupUkxCjWiQqA_17_12"/>
      <w:bookmarkStart w:id="335" w:name="Tc_dobGLkUmikCsOzl_S-E7yQ_17_9"/>
      <w:bookmarkStart w:id="336" w:name="Tc_N7KFGBrYL0WH38Yk2pdl9A_17_6"/>
      <w:bookmarkStart w:id="337" w:name="Tc_sSYqDTUCLkuvRe4y6NQYEA_17_0"/>
      <w:bookmarkStart w:id="338" w:name="Tc_kjWVXFQy2UKF6NyprhZUNg_16_18"/>
      <w:bookmarkStart w:id="339" w:name="Tc_31rau3OAbUmlrWEFHmNHmQ_16_12"/>
      <w:bookmarkStart w:id="340" w:name="Tc_OmffBwgXxEe2FStc3zoPgQ_16_9"/>
      <w:bookmarkStart w:id="341" w:name="Tc_FDrkjiU5X0KxfJfJviwJTw_16_3"/>
      <w:bookmarkStart w:id="342" w:name="Tc_n0M3JD0kfUylmIeJiRXs7w_16_0"/>
      <w:bookmarkStart w:id="343" w:name="Tc_d_cU18Uz10-bM3nOiQxpog_15_18"/>
      <w:bookmarkStart w:id="344" w:name="Tc_Do_bcie2A0WWckQsfmq-ug_15_12"/>
      <w:bookmarkStart w:id="345" w:name="Tc_OlkjR5bvyEW_s5rRw8WX0Q_15_9"/>
      <w:bookmarkStart w:id="346" w:name="Tc_WrEjE98KuEW_gqlfH5cpmA_15_6"/>
      <w:bookmarkStart w:id="347" w:name="Tc_dLEzQxaenkezWLfVksvjYg_15_0"/>
      <w:bookmarkStart w:id="348" w:name="Tc_aqNPuPeaFkOJgJQDT9C-TQ_14_18"/>
      <w:bookmarkStart w:id="349" w:name="Tc_-oNTg221q0-5mM4Mhi9-9Q_14_17"/>
      <w:bookmarkStart w:id="350" w:name="Tc_arWdUJ6IwUOYaLErPTt4Dg_14_14"/>
      <w:bookmarkStart w:id="351" w:name="Tc_ey66fmclOU2HqCcN3iklgA_14_11"/>
      <w:bookmarkStart w:id="352" w:name="Tc_ITFPpWUtK0WrBYifynK2iQ_14_8"/>
      <w:bookmarkStart w:id="353" w:name="Tc_UooKcTG_00yJl6JK09Fasw_14_5"/>
      <w:bookmarkStart w:id="354" w:name="Tc_JSt1NCZ-SEuuF6FcOUQNTw_14_2"/>
      <w:bookmarkStart w:id="355" w:name="Tc_RCj7HjIH1U6-nsRgGXJUBQ_14_0"/>
      <w:bookmarkStart w:id="356" w:name="Tc_ugFW-RTDf0i-8YWjzdArdA_13_18"/>
      <w:bookmarkStart w:id="357" w:name="Tc_OQswHRLCvU6Ttultopp1JQ_13_12"/>
      <w:bookmarkStart w:id="358" w:name="Tc_6PPYu7DBA0-BpVkYFqOcwA_13_6"/>
      <w:bookmarkStart w:id="359" w:name="Tc_mkYu_mRZIku1yH2WS-M8-g_13_3"/>
      <w:bookmarkStart w:id="360" w:name="Tc_w9Q7lsfAEk6cduO9rh4S9Q_13_0"/>
      <w:bookmarkStart w:id="361" w:name="Tc__97K1xyFv0CznYnUJKSG2Q_12_9"/>
      <w:bookmarkStart w:id="362" w:name="Tc_MnkVVIxqDUyzEllVT5TY7A_12_6"/>
      <w:bookmarkStart w:id="363" w:name="Tc_OtWS_JIG90yYjv8AfSSJ-Q_12_3"/>
      <w:bookmarkStart w:id="364" w:name="Tc_6fjTMhJKqU2m9enJaTGyOg_12_0"/>
      <w:bookmarkStart w:id="365" w:name="Tc_mYO-mWbZ9UqXdu8vuVTlIw_11_9"/>
      <w:bookmarkStart w:id="366" w:name="Tc_Q09SfKyEJkm0Wkbna6xwtg_11_6"/>
      <w:bookmarkStart w:id="367" w:name="Tc_B9mr4BdpZkSgRnJEHHvf6g_11_3"/>
      <w:bookmarkStart w:id="368" w:name="Tc_z6MEIV8h9EKs-yectaNc5w_11_0"/>
      <w:bookmarkStart w:id="369" w:name="Tc_uz4wpLhzkUm02kbDUDGRBg_10_18"/>
      <w:bookmarkStart w:id="370" w:name="Tc_RAAOd8PQ1E-4iHqnN8vslQ_10_12"/>
      <w:bookmarkStart w:id="371" w:name="Tc_AR5lnXbIRkm5YEL9fnfgyA_10_9"/>
      <w:bookmarkStart w:id="372" w:name="Tc_9NZHDOkYhUqT0U72vKq7jA_10_6"/>
      <w:bookmarkStart w:id="373" w:name="Tc_sgxlT2e3IkmpBcgpPsiozA_10_0"/>
      <w:bookmarkStart w:id="374" w:name="Tc_Dzf_8f8uXkipY9B142LPSQ_9_18"/>
      <w:bookmarkStart w:id="375" w:name="Tc_Yu9w9gpwOEC3n15RkeLY5A_9_12"/>
      <w:bookmarkStart w:id="376" w:name="Tc_xtvtydoCkEiRAlDAvbpQ-w_9_9"/>
      <w:bookmarkStart w:id="377" w:name="Tc_7al1jcLa6UuGARPrsHZ-pw_9_6"/>
      <w:bookmarkStart w:id="378" w:name="Tc_pKi52acAYESVj3FsfP6v3w_9_0"/>
      <w:bookmarkStart w:id="379" w:name="Tc_Bz17BZNOTUytbsx3bX6Rdg_8_18"/>
      <w:bookmarkStart w:id="380" w:name="Tc_CU29GQ4WnUSZwLgiu8QFkg_8_0"/>
      <w:bookmarkStart w:id="381" w:name="Tc_xW_ini7bgUCXW3NQPDTI5w_7_18"/>
      <w:bookmarkStart w:id="382" w:name="Tc_yCV3v0o92EqzRtGsmKc-aQ_7_12"/>
      <w:bookmarkStart w:id="383" w:name="Tc_zpAZKXilEUKQIR2ck4JC1Q_7_9"/>
      <w:bookmarkStart w:id="384" w:name="Tc_q2N9gxd9jkus1MMTve9G1g_7_0"/>
      <w:bookmarkStart w:id="385" w:name="Tc_hoyC6CAeL0emgdPRd7Q-tQ_6_18"/>
      <w:bookmarkStart w:id="386" w:name="Tc_u_5o6ncd2Uuji8jwBb0rkQ_6_12"/>
      <w:bookmarkStart w:id="387" w:name="Tc_EoDvx1W5EEmkaaFmB89X_A_6_9"/>
      <w:bookmarkStart w:id="388" w:name="Tc_MkgdTF112Ei92leFrUneIw_6_6"/>
      <w:bookmarkStart w:id="389" w:name="Tc_HfdJh19pTkeGwBcamXb8-w_6_0"/>
      <w:bookmarkStart w:id="390" w:name="Tc_Twlcy0zFDEuxvhHDFWIncw_5_17"/>
      <w:bookmarkStart w:id="391" w:name="Tc_56QFrI9dW0eVQiIhmFCpOg_5_14"/>
      <w:bookmarkStart w:id="392" w:name="Tc_ZThLfsnXDEGdCVhctpWBoA_5_11"/>
      <w:bookmarkStart w:id="393" w:name="Tc_DsF8RSo8AU2v1EKBS-orXA_5_8"/>
      <w:bookmarkStart w:id="394" w:name="Tc_I9BvSAKP60uxo9H-hp1b1A_5_5"/>
      <w:bookmarkStart w:id="395" w:name="Tc_o-LBdVgxFkaNA7P9PiYvMA_5_2"/>
      <w:bookmarkStart w:id="396" w:name="Tc_PLd6J141jkePcx0Ds92Vfw_5_0"/>
      <w:bookmarkStart w:id="397" w:name="Tc_-7fZFpApO0-cmXDZZLaWvw_4_17"/>
      <w:bookmarkStart w:id="398" w:name="Tc_ArPeJS4XhUeppQR4o3KwjQ_4_14"/>
      <w:bookmarkStart w:id="399" w:name="Tc_UyAJJjzQ80y85F19FNW0lg_4_11"/>
      <w:bookmarkStart w:id="400" w:name="Tc_VoCxeDD9gUCKdIyZMz8dqQ_4_8"/>
      <w:bookmarkStart w:id="401" w:name="Tc_MuYWpbo7sEeFe3meUhg2Mg_4_5"/>
      <w:bookmarkStart w:id="402" w:name="Tc_Pk_MJ4TKKE--ybBl5199DQ_4_2"/>
      <w:bookmarkStart w:id="403" w:name="Tc_mU3OwpayTUuqCvVlp8QV9Q_3_17"/>
      <w:bookmarkStart w:id="404" w:name="Tc_0AxnkNB34UCSAgAEHsGosA_3_11"/>
      <w:bookmarkStart w:id="405" w:name="Tc_f985LVW6cEaJYf1LmlrPXA_3_8"/>
      <w:bookmarkStart w:id="406" w:name="Tc_gGHWWbGIoUC31ts7q5Uk5w_3_5"/>
      <w:bookmarkStart w:id="407" w:name="Tc_I-iFz7XZ70a7hW9vmnqD3A_3_2"/>
      <w:bookmarkStart w:id="408" w:name="Tc_vEQuiwB9eU68Y6EtFynMKA_2_17"/>
      <w:bookmarkStart w:id="409" w:name="Tc_LOXK8p0Mw0WKUWHT_O1x2A_2_8"/>
      <w:bookmarkStart w:id="410" w:name="Tc_8zMTSmLMrUaaImRdZ2RAng_2_5"/>
      <w:bookmarkStart w:id="411" w:name="Tc_mv94nXPcIU-v0XsSypABfw_2_2"/>
      <w:bookmarkStart w:id="412" w:name="Tc_vhBBeDnBgECjM9K08ednrg_1_5"/>
      <w:bookmarkStart w:id="413" w:name="_c581a3ff_dd7f_4b2c_bec9_991c6faf967c"/>
      <w:bookmarkStart w:id="414" w:name="Tc_LmLgddOFDUuy1PDOM5NyMQ_25_18"/>
      <w:bookmarkStart w:id="415" w:name="Tc_p25Jv9GJxE-xdKYChSFWnQ_25_17"/>
      <w:bookmarkStart w:id="416" w:name="Tc_GEPlHDf1tUefPDn1lZtPmg_25_14"/>
      <w:bookmarkStart w:id="417" w:name="Tc_2JcUhcAQ8ES9k6dZWkCMKQ_25_11"/>
      <w:bookmarkStart w:id="418" w:name="Tc_5UK2DlkYAEuIn8cWBWtKiw_25_8"/>
      <w:bookmarkStart w:id="419" w:name="Tc__HyqjimJIkGGQSpEnXk4Cw_25_5"/>
      <w:bookmarkStart w:id="420" w:name="Tc_URWczUtxx0ujCpCSEBYJQw_25_2"/>
      <w:bookmarkStart w:id="421" w:name="Tc_etyvKVoolEKeTR0NGzjyPw_25_0"/>
      <w:bookmarkStart w:id="422" w:name="Tc_6k3BpQz56UKEkEQovRFpnw_24_18"/>
      <w:bookmarkStart w:id="423" w:name="Tc_-MzRCKFu4UC2WZqrJp9y8g_24_12"/>
      <w:bookmarkStart w:id="424" w:name="Tc_IL7hAsaZBkKTGK5OWJP2ww_24_6"/>
      <w:bookmarkStart w:id="425" w:name="Tc_0X8nZwD3EE-_Fncf3YLghg_24_3"/>
      <w:bookmarkStart w:id="426" w:name="Tc_hWFie9BvnkyBFhgRpauHlg_24_0"/>
      <w:bookmarkStart w:id="427" w:name="Tc_uoU1OU0vAEq_7Pu5mP51Zg_23_18"/>
      <w:bookmarkStart w:id="428" w:name="Tc_fqbbSmJPPEu94s15OEDxRA_23_9"/>
      <w:bookmarkStart w:id="429" w:name="Tc_IPjGh9gOCkOFGixoRbuwNw_23_6"/>
      <w:bookmarkStart w:id="430" w:name="Tc_tbfxXAnsAkqLVgaynGIc0w_23_3"/>
      <w:bookmarkStart w:id="431" w:name="Tc_rcfA61CW_UCqT8N8M40duw_23_0"/>
      <w:bookmarkStart w:id="432" w:name="Tc_9eh3BIF-lECpaeqyNcC3BQ_22_18"/>
      <w:bookmarkStart w:id="433" w:name="Tc_uwn4Vay_0UeEAoK4ECJt-Q_22_12"/>
      <w:bookmarkStart w:id="434" w:name="Tc_LZl6sX7iSk-Ma0k1QFGX2g_22_9"/>
      <w:bookmarkStart w:id="435" w:name="Tc_zi_PDfcVkkesVh-bHM-cWQ_22_3"/>
      <w:bookmarkStart w:id="436" w:name="Tc_DHgXG7ueikyys7JVuZDJkQ_22_0"/>
      <w:bookmarkStart w:id="437" w:name="Tc_U5VwnXiS2UulmZtSYg08FA_21_18"/>
      <w:bookmarkStart w:id="438" w:name="Tc_66jaEAgvG0S7UptNO7gYMA_21_12"/>
      <w:bookmarkStart w:id="439" w:name="Tc_oD0EZloRTUq28jZEFynwqA_21_9"/>
      <w:bookmarkStart w:id="440" w:name="Tc_O58p6WyaTkq9zZnN4oo5aA_21_6"/>
      <w:bookmarkStart w:id="441" w:name="Tc_fclgDJ2K50mRf82otuemtA_21_0"/>
      <w:bookmarkStart w:id="442" w:name="Tc_Wildaipb3UioI0-ZOklW0A_20_18"/>
      <w:bookmarkStart w:id="443" w:name="Tc_Obu6fN-Iy0uAkM4Zez_G6w_20_17"/>
      <w:bookmarkStart w:id="444" w:name="Tc_UEEZUcDQBUuwW5hgTESx8g_20_14"/>
      <w:bookmarkStart w:id="445" w:name="Tc_QUo23eYHXUyHMoi8qFMBrA_20_11"/>
      <w:bookmarkStart w:id="446" w:name="Tc_p50J5BS68USNc8FrTX8tVw_20_8"/>
      <w:bookmarkStart w:id="447" w:name="Tc_O30_kNB37ka865Qzdn-XrQ_20_5"/>
      <w:bookmarkStart w:id="448" w:name="Tc_JOzh5wUf5Ue_S_w7TBmaMg_20_2"/>
      <w:bookmarkStart w:id="449" w:name="Tc_VTQoqzmuhkmapCdt5S1jGg_20_0"/>
      <w:bookmarkStart w:id="450" w:name="Tc_OIamTZwZr06gRVr2cpkqPA_19_18"/>
      <w:bookmarkStart w:id="451" w:name="Tc_2EAvx2Lujk2EG29X_iz75Q_19_12"/>
      <w:bookmarkStart w:id="452" w:name="Tc_tP9KMjKLw0Gfsb8mk2I4jg_19_6"/>
      <w:bookmarkStart w:id="453" w:name="Tc_YTbGrOp6EESggdS2GrybOg_19_3"/>
      <w:bookmarkStart w:id="454" w:name="Tc_-d-iQOmlC06gxLccL9jWqQ_19_0"/>
      <w:bookmarkStart w:id="455" w:name="Tc_R6AaNSzHxkG1MeooYn7RuQ_18_18"/>
      <w:bookmarkStart w:id="456" w:name="Tc_yZ27nGVBL0S38bDIsK5bpQ_18_9"/>
      <w:bookmarkStart w:id="457" w:name="Tc_TdzkMKuzQ0qE7Yrtquqvvg_18_6"/>
      <w:bookmarkStart w:id="458" w:name="Tc_HYwvqkky5EKEdH08N5vlRQ_18_3"/>
      <w:bookmarkStart w:id="459" w:name="Tc_GpqBwb5nL0GbbKamr7aw1w_18_0"/>
      <w:bookmarkStart w:id="460" w:name="Tc_Wvi6ugDKykaqd72mHX2u1A_17_18"/>
      <w:bookmarkStart w:id="461" w:name="Tc_u1Nzf0MEUEupUkxCjWiQqA_17_12"/>
      <w:bookmarkStart w:id="462" w:name="Tc_dobGLkUmikCsOzl_S-E7yQ_17_9"/>
      <w:bookmarkStart w:id="463" w:name="Tc_N7KFGBrYL0WH38Yk2pdl9A_17_6"/>
      <w:bookmarkStart w:id="464" w:name="Tc_sSYqDTUCLkuvRe4y6NQYEA_17_0"/>
      <w:bookmarkStart w:id="465" w:name="Tc_kjWVXFQy2UKF6NyprhZUNg_16_18"/>
      <w:bookmarkStart w:id="466" w:name="Tc_31rau3OAbUmlrWEFHmNHmQ_16_12"/>
      <w:bookmarkStart w:id="467" w:name="Tc_OmffBwgXxEe2FStc3zoPgQ_16_9"/>
      <w:bookmarkStart w:id="468" w:name="Tc_FDrkjiU5X0KxfJfJviwJTw_16_3"/>
      <w:bookmarkStart w:id="469" w:name="Tc_n0M3JD0kfUylmIeJiRXs7w_16_0"/>
      <w:bookmarkStart w:id="470" w:name="Tc_d_cU18Uz10-bM3nOiQxpog_15_18"/>
      <w:bookmarkStart w:id="471" w:name="Tc_Do_bcie2A0WWckQsfmq-ug_15_12"/>
      <w:bookmarkStart w:id="472" w:name="Tc_OlkjR5bvyEW_s5rRw8WX0Q_15_9"/>
      <w:bookmarkStart w:id="473" w:name="Tc_WrEjE98KuEW_gqlfH5cpmA_15_6"/>
      <w:bookmarkStart w:id="474" w:name="Tc_dLEzQxaenkezWLfVksvjYg_15_0"/>
      <w:bookmarkStart w:id="475" w:name="Tc_aqNPuPeaFkOJgJQDT9C-TQ_14_18"/>
      <w:bookmarkStart w:id="476" w:name="Tc_-oNTg221q0-5mM4Mhi9-9Q_14_17"/>
      <w:bookmarkStart w:id="477" w:name="Tc_arWdUJ6IwUOYaLErPTt4Dg_14_14"/>
      <w:bookmarkStart w:id="478" w:name="Tc_ey66fmclOU2HqCcN3iklgA_14_11"/>
      <w:bookmarkStart w:id="479" w:name="Tc_ITFPpWUtK0WrBYifynK2iQ_14_8"/>
      <w:bookmarkStart w:id="480" w:name="Tc_UooKcTG_00yJl6JK09Fasw_14_5"/>
      <w:bookmarkStart w:id="481" w:name="Tc_JSt1NCZ-SEuuF6FcOUQNTw_14_2"/>
      <w:bookmarkStart w:id="482" w:name="Tc_RCj7HjIH1U6-nsRgGXJUBQ_14_0"/>
      <w:bookmarkStart w:id="483" w:name="Tc_ugFW-RTDf0i-8YWjzdArdA_13_18"/>
      <w:bookmarkStart w:id="484" w:name="Tc_OQswHRLCvU6Ttultopp1JQ_13_12"/>
      <w:bookmarkStart w:id="485" w:name="Tc_6PPYu7DBA0-BpVkYFqOcwA_13_6"/>
      <w:bookmarkStart w:id="486" w:name="Tc_mkYu_mRZIku1yH2WS-M8-g_13_3"/>
      <w:bookmarkStart w:id="487" w:name="Tc_w9Q7lsfAEk6cduO9rh4S9Q_13_0"/>
      <w:bookmarkStart w:id="488" w:name="Tc__97K1xyFv0CznYnUJKSG2Q_12_9"/>
      <w:bookmarkStart w:id="489" w:name="Tc_MnkVVIxqDUyzEllVT5TY7A_12_6"/>
      <w:bookmarkStart w:id="490" w:name="Tc_OtWS_JIG90yYjv8AfSSJ-Q_12_3"/>
      <w:bookmarkStart w:id="491" w:name="Tc_6fjTMhJKqU2m9enJaTGyOg_12_0"/>
      <w:bookmarkStart w:id="492" w:name="Tc_mYO-mWbZ9UqXdu8vuVTlIw_11_9"/>
      <w:bookmarkStart w:id="493" w:name="Tc_Q09SfKyEJkm0Wkbna6xwtg_11_6"/>
      <w:bookmarkStart w:id="494" w:name="Tc_B9mr4BdpZkSgRnJEHHvf6g_11_3"/>
      <w:bookmarkStart w:id="495" w:name="Tc_z6MEIV8h9EKs-yectaNc5w_11_0"/>
      <w:bookmarkStart w:id="496" w:name="Tc_uz4wpLhzkUm02kbDUDGRBg_10_18"/>
      <w:bookmarkStart w:id="497" w:name="Tc_RAAOd8PQ1E-4iHqnN8vslQ_10_12"/>
      <w:bookmarkStart w:id="498" w:name="Tc_AR5lnXbIRkm5YEL9fnfgyA_10_9"/>
      <w:bookmarkStart w:id="499" w:name="Tc_9NZHDOkYhUqT0U72vKq7jA_10_6"/>
      <w:bookmarkStart w:id="500" w:name="Tc_sgxlT2e3IkmpBcgpPsiozA_10_0"/>
      <w:bookmarkStart w:id="501" w:name="Tc_Dzf_8f8uXkipY9B142LPSQ_9_18"/>
      <w:bookmarkStart w:id="502" w:name="Tc_Yu9w9gpwOEC3n15RkeLY5A_9_12"/>
      <w:bookmarkStart w:id="503" w:name="Tc_xtvtydoCkEiRAlDAvbpQ-w_9_9"/>
      <w:bookmarkStart w:id="504" w:name="Tc_7al1jcLa6UuGARPrsHZ-pw_9_6"/>
      <w:bookmarkStart w:id="505" w:name="Tc_pKi52acAYESVj3FsfP6v3w_9_0"/>
      <w:bookmarkStart w:id="506" w:name="Tc_Bz17BZNOTUytbsx3bX6Rdg_8_18"/>
      <w:bookmarkStart w:id="507" w:name="Tc_CU29GQ4WnUSZwLgiu8QFkg_8_0"/>
      <w:bookmarkStart w:id="508" w:name="Tc_xW_ini7bgUCXW3NQPDTI5w_7_18"/>
      <w:bookmarkStart w:id="509" w:name="Tc_yCV3v0o92EqzRtGsmKc-aQ_7_12"/>
      <w:bookmarkStart w:id="510" w:name="Tc_zpAZKXilEUKQIR2ck4JC1Q_7_9"/>
      <w:bookmarkStart w:id="511" w:name="Tc_q2N9gxd9jkus1MMTve9G1g_7_0"/>
      <w:bookmarkStart w:id="512" w:name="Tc_hoyC6CAeL0emgdPRd7Q-tQ_6_18"/>
      <w:bookmarkStart w:id="513" w:name="Tc_u_5o6ncd2Uuji8jwBb0rkQ_6_12"/>
      <w:bookmarkStart w:id="514" w:name="Tc_EoDvx1W5EEmkaaFmB89X_A_6_9"/>
      <w:bookmarkStart w:id="515" w:name="Tc_MkgdTF112Ei92leFrUneIw_6_6"/>
      <w:bookmarkStart w:id="516" w:name="Tc_HfdJh19pTkeGwBcamXb8-w_6_0"/>
      <w:bookmarkStart w:id="517" w:name="Tc_Twlcy0zFDEuxvhHDFWIncw_5_17"/>
      <w:bookmarkStart w:id="518" w:name="Tc_56QFrI9dW0eVQiIhmFCpOg_5_14"/>
      <w:bookmarkStart w:id="519" w:name="Tc_ZThLfsnXDEGdCVhctpWBoA_5_11"/>
      <w:bookmarkStart w:id="520" w:name="Tc_DsF8RSo8AU2v1EKBS-orXA_5_8"/>
      <w:bookmarkStart w:id="521" w:name="Tc_I9BvSAKP60uxo9H-hp1b1A_5_5"/>
      <w:bookmarkStart w:id="522" w:name="Tc_o-LBdVgxFkaNA7P9PiYvMA_5_2"/>
      <w:bookmarkStart w:id="523" w:name="Tc_PLd6J141jkePcx0Ds92Vfw_5_0"/>
      <w:bookmarkStart w:id="524" w:name="Tc_-7fZFpApO0-cmXDZZLaWvw_4_17"/>
      <w:bookmarkStart w:id="525" w:name="Tc_ArPeJS4XhUeppQR4o3KwjQ_4_14"/>
      <w:bookmarkStart w:id="526" w:name="Tc_UyAJJjzQ80y85F19FNW0lg_4_11"/>
      <w:bookmarkStart w:id="527" w:name="Tc_VoCxeDD9gUCKdIyZMz8dqQ_4_8"/>
      <w:bookmarkStart w:id="528" w:name="Tc_MuYWpbo7sEeFe3meUhg2Mg_4_5"/>
      <w:bookmarkStart w:id="529" w:name="Tc_Pk_MJ4TKKE--ybBl5199DQ_4_2"/>
      <w:bookmarkStart w:id="530" w:name="Tc_mU3OwpayTUuqCvVlp8QV9Q_3_17"/>
      <w:bookmarkStart w:id="531" w:name="Tc_0AxnkNB34UCSAgAEHsGosA_3_11"/>
      <w:bookmarkStart w:id="532" w:name="Tc_f985LVW6cEaJYf1LmlrPXA_3_8"/>
      <w:bookmarkStart w:id="533" w:name="Tc_gGHWWbGIoUC31ts7q5Uk5w_3_5"/>
      <w:bookmarkStart w:id="534" w:name="Tc_I-iFz7XZ70a7hW9vmnqD3A_3_2"/>
      <w:bookmarkStart w:id="535" w:name="Tc_vEQuiwB9eU68Y6EtFynMKA_2_17"/>
      <w:bookmarkStart w:id="536" w:name="Tc_LOXK8p0Mw0WKUWHT_O1x2A_2_8"/>
      <w:bookmarkStart w:id="537" w:name="Tc_8zMTSmLMrUaaImRdZ2RAng_2_5"/>
      <w:bookmarkStart w:id="538" w:name="Tc_mv94nXPcIU-v0XsSypABfw_2_2"/>
      <w:bookmarkStart w:id="539" w:name="Tc_vhBBeDnBgECjM9K08ednrg_1_5"/>
      <w:bookmarkStart w:id="540" w:name="_c581a3ff_dd7f_4b2c_bec9_991c6faf967c"/>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tbl>
      <w:tblPr>
        <w:tblW w:w="10205" w:type="dxa"/>
        <w:jc w:val="left"/>
        <w:tblInd w:w="0" w:type="dxa"/>
        <w:tblLayout w:type="fixed"/>
        <w:tblCellMar>
          <w:top w:w="0" w:type="dxa"/>
          <w:left w:w="0" w:type="dxa"/>
          <w:bottom w:w="0" w:type="dxa"/>
          <w:right w:w="0" w:type="dxa"/>
        </w:tblCellMar>
      </w:tblPr>
      <w:tblGrid>
        <w:gridCol w:w="3290"/>
        <w:gridCol w:w="109"/>
        <w:gridCol w:w="181"/>
        <w:gridCol w:w="784"/>
        <w:gridCol w:w="109"/>
        <w:gridCol w:w="291"/>
        <w:gridCol w:w="805"/>
        <w:gridCol w:w="109"/>
        <w:gridCol w:w="181"/>
        <w:gridCol w:w="859"/>
        <w:gridCol w:w="109"/>
        <w:gridCol w:w="239"/>
        <w:gridCol w:w="797"/>
        <w:gridCol w:w="109"/>
        <w:gridCol w:w="181"/>
        <w:gridCol w:w="859"/>
        <w:gridCol w:w="109"/>
        <w:gridCol w:w="224"/>
        <w:gridCol w:w="860"/>
      </w:tblGrid>
      <w:tr>
        <w:trPr/>
        <w:tc>
          <w:tcPr>
            <w:tcW w:w="32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14935" cy="175260"/>
                      <wp:effectExtent l="0" t="0" r="0" b="0"/>
                      <wp:wrapNone/>
                      <wp:docPr id="24" name="Frame2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97840" cy="175260"/>
                      <wp:effectExtent l="0" t="0" r="0" b="0"/>
                      <wp:wrapNone/>
                      <wp:docPr id="25" name="Frame25"/>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84785" cy="175260"/>
                      <wp:effectExtent l="0" t="0" r="0" b="0"/>
                      <wp:wrapNone/>
                      <wp:docPr id="27" name="Frame27"/>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11175" cy="175260"/>
                      <wp:effectExtent l="0" t="0" r="0" b="0"/>
                      <wp:wrapNone/>
                      <wp:docPr id="28" name="Frame28"/>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14935" cy="175260"/>
                      <wp:effectExtent l="0" t="0" r="0" b="0"/>
                      <wp:wrapNone/>
                      <wp:docPr id="30" name="Frame3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45465" cy="175260"/>
                      <wp:effectExtent l="0" t="0" r="0" b="0"/>
                      <wp:wrapNone/>
                      <wp:docPr id="31" name="Frame31"/>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1765" cy="175260"/>
                      <wp:effectExtent l="0" t="0" r="0" b="0"/>
                      <wp:wrapNone/>
                      <wp:docPr id="33" name="Frame3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06095" cy="175260"/>
                      <wp:effectExtent l="0" t="0" r="0" b="0"/>
                      <wp:wrapNone/>
                      <wp:docPr id="34" name="Frame34"/>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4935" cy="175260"/>
                      <wp:effectExtent l="0" t="0" r="0" b="0"/>
                      <wp:wrapNone/>
                      <wp:docPr id="36" name="Frame3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45465" cy="175260"/>
                      <wp:effectExtent l="0" t="0" r="0" b="0"/>
                      <wp:wrapNone/>
                      <wp:docPr id="37" name="Frame3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9215" cy="175260"/>
                      <wp:effectExtent l="0" t="0" r="0" b="0"/>
                      <wp:wrapNone/>
                      <wp:docPr id="38" name="Frame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2240" cy="175260"/>
                      <wp:effectExtent l="0" t="0" r="0" b="0"/>
                      <wp:wrapNone/>
                      <wp:docPr id="39" name="Frame39"/>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46100" cy="175260"/>
                      <wp:effectExtent l="0" t="0" r="0" b="0"/>
                      <wp:wrapNone/>
                      <wp:docPr id="40" name="Frame40"/>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righ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109"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Other </w:t>
            </w:r>
          </w:p>
        </w:tc>
        <w:tc>
          <w:tcPr>
            <w:tcW w:w="109" w:type="dxa"/>
            <w:tcBorders/>
            <w:vAlign w:val="center"/>
          </w:tcPr>
          <w:p>
            <w:pPr>
              <w:pStyle w:val="TableContents"/>
              <w:bidi w:val="0"/>
              <w:spacing w:before="0" w:after="0"/>
              <w:ind w:left="0" w:right="0" w:hanging="0"/>
              <w:jc w:val="right"/>
              <w:rPr/>
            </w:pPr>
            <w:r>
              <w:rPr/>
              <w:t>​</w:t>
            </w:r>
          </w:p>
        </w:tc>
        <w:tc>
          <w:tcPr>
            <w:tcW w:w="1040"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84"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Redeemable</w:t>
            </w:r>
          </w:p>
        </w:tc>
      </w:tr>
      <w:tr>
        <w:trPr/>
        <w:tc>
          <w:tcPr>
            <w:tcW w:w="32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Paid-In</w:t>
            </w:r>
          </w:p>
        </w:tc>
        <w:tc>
          <w:tcPr>
            <w:tcW w:w="109" w:type="dxa"/>
            <w:tcBorders/>
            <w:vAlign w:val="center"/>
          </w:tcPr>
          <w:p>
            <w:pPr>
              <w:pStyle w:val="TableContents"/>
              <w:bidi w:val="0"/>
              <w:spacing w:before="0" w:after="0"/>
              <w:ind w:left="0" w:right="0" w:hanging="0"/>
              <w:jc w:val="righ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0"/>
              <w:ind w:left="0" w:right="0" w:hanging="0"/>
              <w:jc w:val="right"/>
              <w:rPr/>
            </w:pPr>
            <w:r>
              <w:rPr/>
              <w:t>​</w:t>
            </w:r>
          </w:p>
        </w:tc>
        <w:tc>
          <w:tcPr>
            <w:tcW w:w="1040"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Earnings</w:t>
            </w:r>
          </w:p>
        </w:tc>
        <w:tc>
          <w:tcPr>
            <w:tcW w:w="109" w:type="dxa"/>
            <w:tcBorders/>
            <w:vAlign w:val="center"/>
          </w:tcPr>
          <w:p>
            <w:pPr>
              <w:pStyle w:val="TableContents"/>
              <w:bidi w:val="0"/>
              <w:spacing w:before="0" w:after="0"/>
              <w:ind w:left="0" w:right="0" w:hanging="0"/>
              <w:jc w:val="right"/>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Noncontrolling</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84"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Noncontrolling</w:t>
            </w:r>
          </w:p>
        </w:tc>
      </w:tr>
      <w:tr>
        <w:trPr/>
        <w:tc>
          <w:tcPr>
            <w:tcW w:w="329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Capital</w:t>
            </w:r>
          </w:p>
        </w:tc>
        <w:tc>
          <w:tcPr>
            <w:tcW w:w="109" w:type="dxa"/>
            <w:tcBorders/>
            <w:vAlign w:val="center"/>
          </w:tcPr>
          <w:p>
            <w:pPr>
              <w:pStyle w:val="TableContents"/>
              <w:bidi w:val="0"/>
              <w:spacing w:before="0" w:after="0"/>
              <w:ind w:left="0" w:right="0" w:hanging="0"/>
              <w:jc w:val="righ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Income (Loss)</w:t>
            </w:r>
          </w:p>
        </w:tc>
        <w:tc>
          <w:tcPr>
            <w:tcW w:w="109" w:type="dxa"/>
            <w:tcBorders/>
            <w:vAlign w:val="center"/>
          </w:tcPr>
          <w:p>
            <w:pPr>
              <w:pStyle w:val="TableContents"/>
              <w:bidi w:val="0"/>
              <w:spacing w:before="0" w:after="0"/>
              <w:ind w:left="0" w:right="0" w:hanging="0"/>
              <w:jc w:val="right"/>
              <w:rPr/>
            </w:pPr>
            <w:r>
              <w:rPr/>
              <w:t>​</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(Deficit)</w:t>
            </w:r>
          </w:p>
        </w:tc>
        <w:tc>
          <w:tcPr>
            <w:tcW w:w="109" w:type="dxa"/>
            <w:tcBorders/>
            <w:vAlign w:val="center"/>
          </w:tcPr>
          <w:p>
            <w:pPr>
              <w:pStyle w:val="TableContents"/>
              <w:bidi w:val="0"/>
              <w:spacing w:before="0" w:after="0"/>
              <w:ind w:left="0" w:right="0" w:hanging="0"/>
              <w:jc w:val="righ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Interests</w:t>
            </w:r>
          </w:p>
        </w:tc>
        <w:tc>
          <w:tcPr>
            <w:tcW w:w="109" w:type="dxa"/>
            <w:tcBorders/>
            <w:vAlign w:val="center"/>
          </w:tcPr>
          <w:p>
            <w:pPr>
              <w:pStyle w:val="TableContents"/>
              <w:bidi w:val="0"/>
              <w:spacing w:before="0" w:after="0"/>
              <w:ind w:left="0" w:right="0" w:hanging="0"/>
              <w:jc w:val="right"/>
              <w:rPr/>
            </w:pPr>
            <w:r>
              <w:rPr/>
              <w:t>​</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w:t>
            </w:r>
          </w:p>
        </w:tc>
        <w:tc>
          <w:tcPr>
            <w:tcW w:w="109" w:type="dxa"/>
            <w:tcBorders/>
            <w:vAlign w:val="center"/>
          </w:tcPr>
          <w:p>
            <w:pPr>
              <w:pStyle w:val="TableContents"/>
              <w:bidi w:val="0"/>
              <w:spacing w:before="0" w:after="0"/>
              <w:ind w:left="0" w:right="0" w:hanging="0"/>
              <w:jc w:val="right"/>
              <w:rPr/>
            </w:pPr>
            <w:r>
              <w:rPr/>
              <w:t>​</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Interests</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December 31, 2023</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4,916,120</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(2,676)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11,876,627</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2,103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16,792,174</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438,382</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6,115</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6,115</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comprehensive income (loss)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Asset Transfer to EchoStar, including deferred taxes of $3,775,370</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(3,775,370)</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380</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(12,003,227)</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(146)</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(15,778,363)</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 of Assets to EchoStar, net of deferred taxes of $3,857</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5,513</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5,513</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700 MHz Spectrum Sale to EchoStar, net of deferred taxes of $37,681</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114,831</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114,831</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Conversion of outstanding redeemable noncontrolling interest in SNR HoldCo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441,998</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441,998</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(441,998)</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32</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3,616</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DISH Network</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(13,879)</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(13,879)</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March 31, 2024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1,267,147</w:t>
            </w:r>
          </w:p>
        </w:tc>
        <w:tc>
          <w:tcPr>
            <w:tcW w:w="109"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(2,279)</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(140,479)</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443,987</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1,568,376</w:t>
            </w:r>
          </w:p>
        </w:tc>
        <w:tc>
          <w:tcPr>
            <w:tcW w:w="109"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6,923</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6,923</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(41)</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Orbital II Transfer from EchoStar</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140,510</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140,510</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DISH Network</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(211,849)</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(211,849)</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June 30, 2024</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1,414,580</w:t>
            </w:r>
          </w:p>
        </w:tc>
        <w:tc>
          <w:tcPr>
            <w:tcW w:w="109"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(2,320)</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(352,328)</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444,012</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1,503,944</w:t>
            </w:r>
          </w:p>
        </w:tc>
        <w:tc>
          <w:tcPr>
            <w:tcW w:w="109"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6,212</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6,212</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59"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(83)</w:t>
            </w:r>
          </w:p>
        </w:tc>
        <w:tc>
          <w:tcPr>
            <w:tcW w:w="109" w:type="dxa"/>
            <w:tcBorders/>
            <w:vAlign w:val="center"/>
          </w:tcPr>
          <w:p>
            <w:pPr>
              <w:pStyle w:val="TableContents"/>
              <w:bidi w:val="0"/>
              <w:spacing w:before="0" w:after="0"/>
              <w:ind w:left="0" w:right="0" w:hanging="0"/>
              <w:jc w:val="right"/>
              <w:rPr/>
            </w:pPr>
            <w:r>
              <w:rPr/>
              <w:t>​</w:t>
            </w:r>
          </w:p>
        </w:tc>
        <w:tc>
          <w:tcPr>
            <w:tcW w:w="224" w:type="dxa"/>
            <w:tcBorders/>
            <w:vAlign w:val="center"/>
          </w:tcPr>
          <w:p>
            <w:pPr>
              <w:pStyle w:val="TableContents"/>
              <w:bidi w:val="0"/>
              <w:spacing w:before="0" w:after="0"/>
              <w:ind w:left="0" w:right="0" w:hanging="0"/>
              <w:jc w:val="left"/>
              <w:rPr/>
            </w:pPr>
            <w:r>
              <w:rPr/>
              <w:t>​</w:t>
            </w:r>
          </w:p>
        </w:tc>
        <w:tc>
          <w:tcPr>
            <w:tcW w:w="860" w:type="dxa"/>
            <w:tcBorders/>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w:t>
            </w:r>
          </w:p>
        </w:tc>
        <w:tc>
          <w:tcPr>
            <w:tcW w:w="109" w:type="dxa"/>
            <w:tcBorders/>
            <w:shd w:fill="CCEEFF" w:val="clear"/>
            <w:vAlign w:val="center"/>
          </w:tcPr>
          <w:p>
            <w:pPr>
              <w:pStyle w:val="TableContents"/>
              <w:bidi w:val="0"/>
              <w:spacing w:before="0" w:after="0"/>
              <w:ind w:left="0" w:right="0" w:hanging="0"/>
              <w:jc w:val="righ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60" w:type="dxa"/>
            <w:tcBorders/>
            <w:shd w:fill="CCEEFF" w:val="clear"/>
            <w:vAlign w:val="center"/>
          </w:tcPr>
          <w:p>
            <w:pPr>
              <w:pStyle w:val="TableContents"/>
              <w:bidi w:val="0"/>
              <w:spacing w:before="0" w:after="0"/>
              <w:ind w:left="0" w:right="0" w:hanging="0"/>
              <w:jc w:val="right"/>
              <w:rPr/>
            </w:pPr>
            <w:r>
              <w:rPr/>
              <w:t>—</w:t>
            </w:r>
          </w:p>
        </w:tc>
      </w:tr>
      <w:tr>
        <w:trPr/>
        <w:tc>
          <w:tcPr>
            <w:tcW w:w="3290"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DISH Network</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(210,523)</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(210,523)</w:t>
            </w:r>
          </w:p>
        </w:tc>
        <w:tc>
          <w:tcPr>
            <w:tcW w:w="109" w:type="dxa"/>
            <w:tcBorders/>
            <w:vAlign w:val="center"/>
          </w:tcPr>
          <w:p>
            <w:pPr>
              <w:pStyle w:val="TableContents"/>
              <w:bidi w:val="0"/>
              <w:spacing w:before="0" w:after="0"/>
              <w:ind w:left="0" w:right="0" w:hanging="0"/>
              <w:jc w:val="righ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290"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1,420,792</w:t>
            </w:r>
          </w:p>
        </w:tc>
        <w:tc>
          <w:tcPr>
            <w:tcW w:w="109" w:type="dxa"/>
            <w:tcBorders/>
            <w:shd w:fill="CCEEFF" w:val="clear"/>
            <w:vAlign w:val="center"/>
          </w:tcPr>
          <w:p>
            <w:pPr>
              <w:pStyle w:val="TableContents"/>
              <w:bidi w:val="0"/>
              <w:spacing w:before="0" w:after="0"/>
              <w:ind w:left="0" w:right="0" w:hanging="0"/>
              <w:jc w:val="righ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(2,403)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(562,851)</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444,027</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1,299,565</w:t>
            </w:r>
          </w:p>
        </w:tc>
        <w:tc>
          <w:tcPr>
            <w:tcW w:w="109"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60"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pPr>
            <w:r>
              <w:rPr/>
              <w:t>—</w:t>
            </w:r>
          </w:p>
        </w:tc>
      </w:tr>
    </w:tbl>
    <w:p>
      <w:pPr>
        <w:pStyle w:val="TextBody"/>
        <w:bidi w:val="0"/>
        <w:spacing w:before="0" w:after="0"/>
        <w:ind w:left="0" w:right="0" w:hanging="0"/>
        <w:jc w:val="both"/>
        <w:rPr>
          <w:spacing w:val="-2"/>
        </w:rPr>
      </w:pPr>
      <w:r>
        <w:rPr>
          <w:spacing w:val="-2"/>
        </w:rPr>
        <w:t>​</w:t>
      </w:r>
    </w:p>
    <w:p>
      <w:pPr>
        <w:pStyle w:val="Normal"/>
        <w:bidi w:val="0"/>
        <w:spacing w:before="0" w:after="0"/>
        <w:jc w:val="left"/>
        <w:rPr>
          <w:sz w:val="4"/>
          <w:szCs w:val="4"/>
        </w:rPr>
      </w:pPr>
      <w:r>
        <w:rPr>
          <w:sz w:val="4"/>
          <w:szCs w:val="4"/>
        </w:rPr>
      </w:r>
      <w:bookmarkStart w:id="541" w:name="Tc_QLhzzoXv206FNmxZsWNNDg_21_14"/>
      <w:bookmarkStart w:id="542" w:name="Tc_nV4ksEv0m0-MMIoB1XVF-A_21_11"/>
      <w:bookmarkStart w:id="543" w:name="Tc_2LECMPEnH0OF0Loal5IWog_21_8"/>
      <w:bookmarkStart w:id="544" w:name="Tc_6kOxo4b6BUGZdzKryd5ARQ_21_5"/>
      <w:bookmarkStart w:id="545" w:name="Tc_slnrAbAICUGiF159qnDnnA_21_2"/>
      <w:bookmarkStart w:id="546" w:name="Tc_cn1x-5_D6ka5yWe033_94A_21_0"/>
      <w:bookmarkStart w:id="547" w:name="Tc_BWukYzX94k2I83zhi-C28A_20_12"/>
      <w:bookmarkStart w:id="548" w:name="Tc_HMShdfAvp0-t6Y3rsr3hjQ_20_6"/>
      <w:bookmarkStart w:id="549" w:name="Tc_c76RKrlF5EWsh-zQb3n_eA_20_3"/>
      <w:bookmarkStart w:id="550" w:name="Tc_yBcRYVNl9ESESqMPuOuXAA_20_0"/>
      <w:bookmarkStart w:id="551" w:name="Tc_q5ErXhrDPkmaWHKd-m597Q_19_9"/>
      <w:bookmarkStart w:id="552" w:name="Tc_QkTtrq7-yUKylNDS3Ghixg_19_6"/>
      <w:bookmarkStart w:id="553" w:name="Tc_Mf4pKKSRUkud7Pe4XJQkTQ_19_3"/>
      <w:bookmarkStart w:id="554" w:name="Tc_TXzlSv20uEeicAHKghyKKw_19_0"/>
      <w:bookmarkStart w:id="555" w:name="Tc_SY3pBpToOkSxao8seYvUJQ_18_12"/>
      <w:bookmarkStart w:id="556" w:name="Tc_gaOwXtCqK0y5LwZKqj-6nA_18_9"/>
      <w:bookmarkStart w:id="557" w:name="Tc_LFyl-KQ9cE-QDc9KOmz83Q_18_3"/>
      <w:bookmarkStart w:id="558" w:name="Tc_XD8eDpNKD0q7JrWmDubSBQ_18_0"/>
      <w:bookmarkStart w:id="559" w:name="Tc_EhgsWiEvi0-0WSF9LXVaIQ_17_12"/>
      <w:bookmarkStart w:id="560" w:name="Tc_F8zLf4TJq0G7mbw_rtdCTQ_17_9"/>
      <w:bookmarkStart w:id="561" w:name="Tc_GZPPJsZs2EKeKlcCfYY6Pw_17_6"/>
      <w:bookmarkStart w:id="562" w:name="Tc_caIY-FBjs0uvl-8SirGMDg_17_0"/>
      <w:bookmarkStart w:id="563" w:name="Tc_96VhwSVpv0KA1KP-YH6XtA_16_14"/>
      <w:bookmarkStart w:id="564" w:name="Tc_NRatibpspkWCT_Xdu_bTPQ_16_11"/>
      <w:bookmarkStart w:id="565" w:name="Tc_8FFmLfZeXUeA9aq1ZuCMsA_16_8"/>
      <w:bookmarkStart w:id="566" w:name="Tc_aR3RnKu7AEWczrn7AgAk1Q_16_5"/>
      <w:bookmarkStart w:id="567" w:name="Tc_wRZ5cbI36kqBoJW2tQS6eg_16_2"/>
      <w:bookmarkStart w:id="568" w:name="Tc_GGzX2F3eUEq34jKwLZ7rZw_16_0"/>
      <w:bookmarkStart w:id="569" w:name="Tc_ceqsabgwtkWvxS0dsIo04Q_15_12"/>
      <w:bookmarkStart w:id="570" w:name="Tc_g2Rcddl85k-8M4l_t9YUCw_15_6"/>
      <w:bookmarkStart w:id="571" w:name="Tc_RE9cOz2f-k-LQoU8WbCgKg_15_3"/>
      <w:bookmarkStart w:id="572" w:name="Tc_VvadBRlDVEa8sRzD6iTxYw_15_0"/>
      <w:bookmarkStart w:id="573" w:name="Tc_T2g-ykCD-ECCi56FyAdqGg_14_9"/>
      <w:bookmarkStart w:id="574" w:name="Tc_QNoFvJyPH0enaEN72WOm4g_14_6"/>
      <w:bookmarkStart w:id="575" w:name="Tc_8Gkk5ZiHDkueGCMQmvNqlg_14_3"/>
      <w:bookmarkStart w:id="576" w:name="Tc_fajyTOX5NESCZFTrqIOH1A_14_0"/>
      <w:bookmarkStart w:id="577" w:name="Tc_ekWQg0u7TEKZSAtx5yO78A_13_12"/>
      <w:bookmarkStart w:id="578" w:name="Tc_Kg2ARd0YrUC3HDnglWgAsQ_13_9"/>
      <w:bookmarkStart w:id="579" w:name="Tc_ApsOHld-kkun2sm4qQAgGQ_13_3"/>
      <w:bookmarkStart w:id="580" w:name="Tc_psl53jR6gkGSjbecVtrgqg_13_0"/>
      <w:bookmarkStart w:id="581" w:name="Tc_SqyY-mAm5EW1K5piQI8KEA_12_12"/>
      <w:bookmarkStart w:id="582" w:name="Tc_-IP8xurtvkec5orPGtWWPg_12_9"/>
      <w:bookmarkStart w:id="583" w:name="Tc_UMZNUyHB20Wl6lly-dRMKA_12_6"/>
      <w:bookmarkStart w:id="584" w:name="Tc_AeoDT60lP0WXrIBlRsGW4A_12_0"/>
      <w:bookmarkStart w:id="585" w:name="Tc_5J6dE_9IXkKqNtcwE0fM9w_11_14"/>
      <w:bookmarkStart w:id="586" w:name="Tc_OerhS5K-bE241A2TUWw5hw_11_11"/>
      <w:bookmarkStart w:id="587" w:name="Tc_asEaXTPKG0WXi2yZWdecjA_11_8"/>
      <w:bookmarkStart w:id="588" w:name="Tc_nJmQCmDfikWecIC7KPnVHw_11_5"/>
      <w:bookmarkStart w:id="589" w:name="Tc_C3FNLRySe0yCwe_gokVtMQ_11_2"/>
      <w:bookmarkStart w:id="590" w:name="Tc_dlvaMbq0X0SltYupmcmGkA_11_0"/>
      <w:bookmarkStart w:id="591" w:name="Tc_g7HMELh_RkqRusxdoLVLzQ_10_12"/>
      <w:bookmarkStart w:id="592" w:name="Tc_bOSniJTEeEeybllGi83fyQ_10_6"/>
      <w:bookmarkStart w:id="593" w:name="Tc_7iERqfkKe0mPEXzXpH7Ugw_10_3"/>
      <w:bookmarkStart w:id="594" w:name="Tc_pEwDwwCQ0E-xOwyKJ8HUqA_10_0"/>
      <w:bookmarkStart w:id="595" w:name="Tc_S5ntd8WmBEuIQZ5ZX28riA_9_9"/>
      <w:bookmarkStart w:id="596" w:name="Tc_Z2kQkTkU4E61HGlB86cf2g_9_6"/>
      <w:bookmarkStart w:id="597" w:name="Tc_SZg_I138vUC9jSeXFX_MMA_9_3"/>
      <w:bookmarkStart w:id="598" w:name="Tc_C1okpiSUdkOBidsYUoA5nQ_9_0"/>
      <w:bookmarkStart w:id="599" w:name="Tc_aDbuStuqlUq-PAeiS_Nz6w_8_9"/>
      <w:bookmarkStart w:id="600" w:name="Tc_o6j7YpoKlUqQ8fDY8_Pl9Q_8_6"/>
      <w:bookmarkStart w:id="601" w:name="Tc_X-Z0Hk6VoECl7qXdIHhWSQ_8_0"/>
      <w:bookmarkStart w:id="602" w:name="Tc_0APGOzkN1kKUBbT6tzgpPQ_7_12"/>
      <w:bookmarkStart w:id="603" w:name="Tc_JvuxKlSFh0a8ggBRR9bEQg_7_9"/>
      <w:bookmarkStart w:id="604" w:name="Tc_MbSinEaPDk2thAlan5w2NQ_7_0"/>
      <w:bookmarkStart w:id="605" w:name="Tc_QI6PkMjbfUSC-V7yjBMpWQ_6_12"/>
      <w:bookmarkStart w:id="606" w:name="Tc_FJ4NEt_nx067zsPfAcNygg_6_9"/>
      <w:bookmarkStart w:id="607" w:name="Tc_HIQ17uDYdkyK4aWXyAyrqg_6_6"/>
      <w:bookmarkStart w:id="608" w:name="Tc_szoK0OEXwEaEsaY7RhXlpw_6_0"/>
      <w:bookmarkStart w:id="609" w:name="Tc_3fk1XksuAE6YAsybE-sW8w_5_14"/>
      <w:bookmarkStart w:id="610" w:name="Tc_zFkzWzayvk2JQR82VVxHuQ_5_11"/>
      <w:bookmarkStart w:id="611" w:name="Tc_rVQRgrC2HEqK-cHO5v3kZQ_5_8"/>
      <w:bookmarkStart w:id="612" w:name="Tc_z-SB_qZZNUq8aPOQCkT8rg_5_5"/>
      <w:bookmarkStart w:id="613" w:name="Tc_0H0FdhYG30OZNNQdYHvuJw_5_2"/>
      <w:bookmarkStart w:id="614" w:name="Tc_veagHMe2wkeU0u2lN8JZuw_5_0"/>
      <w:bookmarkStart w:id="615" w:name="Tc__PIGLXoqBEinbPvy6b1lCA_4_14"/>
      <w:bookmarkStart w:id="616" w:name="Tc_t58X76dcMkixFPC5xF1z7A_4_11"/>
      <w:bookmarkStart w:id="617" w:name="Tc_Xn7tFcSAo0eaKm-vFFjsNA_4_8"/>
      <w:bookmarkStart w:id="618" w:name="Tc_3N3qtxL000OMPjfppMhHfg_4_5"/>
      <w:bookmarkStart w:id="619" w:name="Tc_Nj2FUDB8lE-rMaSrZCMjqQ_4_2"/>
      <w:bookmarkStart w:id="620" w:name="Tc_dztq0skY2EKoc9RBkx3fuw_3_11"/>
      <w:bookmarkStart w:id="621" w:name="Tc_0WNfWr5PvEKxmsszCX7mHg_3_8"/>
      <w:bookmarkStart w:id="622" w:name="Tc_jaFsFeqLikCxPYWopl7I1A_3_5"/>
      <w:bookmarkStart w:id="623" w:name="Tc_XXViHroZqUGpHZGUH5je6Q_3_2"/>
      <w:bookmarkStart w:id="624" w:name="Tc__OCaqtSAIUC5_beH8CwGIg_2_8"/>
      <w:bookmarkStart w:id="625" w:name="Tc_JivPInkXHEeBrGADdGzGoA_2_5"/>
      <w:bookmarkStart w:id="626" w:name="Tc_nnTEw7dCWUCfkoPOq9qxHg_2_2"/>
      <w:bookmarkStart w:id="627" w:name="Tc_i_rUQqNSskePLGsrlMnZcA_1_5"/>
      <w:bookmarkStart w:id="628" w:name="_56471dda_1c0e_4eb7_bf77_edf072e9d95a"/>
      <w:bookmarkStart w:id="629" w:name="Tc_QLhzzoXv206FNmxZsWNNDg_21_14"/>
      <w:bookmarkStart w:id="630" w:name="Tc_nV4ksEv0m0-MMIoB1XVF-A_21_11"/>
      <w:bookmarkStart w:id="631" w:name="Tc_2LECMPEnH0OF0Loal5IWog_21_8"/>
      <w:bookmarkStart w:id="632" w:name="Tc_6kOxo4b6BUGZdzKryd5ARQ_21_5"/>
      <w:bookmarkStart w:id="633" w:name="Tc_slnrAbAICUGiF159qnDnnA_21_2"/>
      <w:bookmarkStart w:id="634" w:name="Tc_cn1x-5_D6ka5yWe033_94A_21_0"/>
      <w:bookmarkStart w:id="635" w:name="Tc_BWukYzX94k2I83zhi-C28A_20_12"/>
      <w:bookmarkStart w:id="636" w:name="Tc_HMShdfAvp0-t6Y3rsr3hjQ_20_6"/>
      <w:bookmarkStart w:id="637" w:name="Tc_c76RKrlF5EWsh-zQb3n_eA_20_3"/>
      <w:bookmarkStart w:id="638" w:name="Tc_yBcRYVNl9ESESqMPuOuXAA_20_0"/>
      <w:bookmarkStart w:id="639" w:name="Tc_q5ErXhrDPkmaWHKd-m597Q_19_9"/>
      <w:bookmarkStart w:id="640" w:name="Tc_QkTtrq7-yUKylNDS3Ghixg_19_6"/>
      <w:bookmarkStart w:id="641" w:name="Tc_Mf4pKKSRUkud7Pe4XJQkTQ_19_3"/>
      <w:bookmarkStart w:id="642" w:name="Tc_TXzlSv20uEeicAHKghyKKw_19_0"/>
      <w:bookmarkStart w:id="643" w:name="Tc_SY3pBpToOkSxao8seYvUJQ_18_12"/>
      <w:bookmarkStart w:id="644" w:name="Tc_gaOwXtCqK0y5LwZKqj-6nA_18_9"/>
      <w:bookmarkStart w:id="645" w:name="Tc_LFyl-KQ9cE-QDc9KOmz83Q_18_3"/>
      <w:bookmarkStart w:id="646" w:name="Tc_XD8eDpNKD0q7JrWmDubSBQ_18_0"/>
      <w:bookmarkStart w:id="647" w:name="Tc_EhgsWiEvi0-0WSF9LXVaIQ_17_12"/>
      <w:bookmarkStart w:id="648" w:name="Tc_F8zLf4TJq0G7mbw_rtdCTQ_17_9"/>
      <w:bookmarkStart w:id="649" w:name="Tc_GZPPJsZs2EKeKlcCfYY6Pw_17_6"/>
      <w:bookmarkStart w:id="650" w:name="Tc_caIY-FBjs0uvl-8SirGMDg_17_0"/>
      <w:bookmarkStart w:id="651" w:name="Tc_96VhwSVpv0KA1KP-YH6XtA_16_14"/>
      <w:bookmarkStart w:id="652" w:name="Tc_NRatibpspkWCT_Xdu_bTPQ_16_11"/>
      <w:bookmarkStart w:id="653" w:name="Tc_8FFmLfZeXUeA9aq1ZuCMsA_16_8"/>
      <w:bookmarkStart w:id="654" w:name="Tc_aR3RnKu7AEWczrn7AgAk1Q_16_5"/>
      <w:bookmarkStart w:id="655" w:name="Tc_wRZ5cbI36kqBoJW2tQS6eg_16_2"/>
      <w:bookmarkStart w:id="656" w:name="Tc_GGzX2F3eUEq34jKwLZ7rZw_16_0"/>
      <w:bookmarkStart w:id="657" w:name="Tc_ceqsabgwtkWvxS0dsIo04Q_15_12"/>
      <w:bookmarkStart w:id="658" w:name="Tc_g2Rcddl85k-8M4l_t9YUCw_15_6"/>
      <w:bookmarkStart w:id="659" w:name="Tc_RE9cOz2f-k-LQoU8WbCgKg_15_3"/>
      <w:bookmarkStart w:id="660" w:name="Tc_VvadBRlDVEa8sRzD6iTxYw_15_0"/>
      <w:bookmarkStart w:id="661" w:name="Tc_T2g-ykCD-ECCi56FyAdqGg_14_9"/>
      <w:bookmarkStart w:id="662" w:name="Tc_QNoFvJyPH0enaEN72WOm4g_14_6"/>
      <w:bookmarkStart w:id="663" w:name="Tc_8Gkk5ZiHDkueGCMQmvNqlg_14_3"/>
      <w:bookmarkStart w:id="664" w:name="Tc_fajyTOX5NESCZFTrqIOH1A_14_0"/>
      <w:bookmarkStart w:id="665" w:name="Tc_ekWQg0u7TEKZSAtx5yO78A_13_12"/>
      <w:bookmarkStart w:id="666" w:name="Tc_Kg2ARd0YrUC3HDnglWgAsQ_13_9"/>
      <w:bookmarkStart w:id="667" w:name="Tc_ApsOHld-kkun2sm4qQAgGQ_13_3"/>
      <w:bookmarkStart w:id="668" w:name="Tc_psl53jR6gkGSjbecVtrgqg_13_0"/>
      <w:bookmarkStart w:id="669" w:name="Tc_SqyY-mAm5EW1K5piQI8KEA_12_12"/>
      <w:bookmarkStart w:id="670" w:name="Tc_-IP8xurtvkec5orPGtWWPg_12_9"/>
      <w:bookmarkStart w:id="671" w:name="Tc_UMZNUyHB20Wl6lly-dRMKA_12_6"/>
      <w:bookmarkStart w:id="672" w:name="Tc_AeoDT60lP0WXrIBlRsGW4A_12_0"/>
      <w:bookmarkStart w:id="673" w:name="Tc_5J6dE_9IXkKqNtcwE0fM9w_11_14"/>
      <w:bookmarkStart w:id="674" w:name="Tc_OerhS5K-bE241A2TUWw5hw_11_11"/>
      <w:bookmarkStart w:id="675" w:name="Tc_asEaXTPKG0WXi2yZWdecjA_11_8"/>
      <w:bookmarkStart w:id="676" w:name="Tc_nJmQCmDfikWecIC7KPnVHw_11_5"/>
      <w:bookmarkStart w:id="677" w:name="Tc_C3FNLRySe0yCwe_gokVtMQ_11_2"/>
      <w:bookmarkStart w:id="678" w:name="Tc_dlvaMbq0X0SltYupmcmGkA_11_0"/>
      <w:bookmarkStart w:id="679" w:name="Tc_g7HMELh_RkqRusxdoLVLzQ_10_12"/>
      <w:bookmarkStart w:id="680" w:name="Tc_bOSniJTEeEeybllGi83fyQ_10_6"/>
      <w:bookmarkStart w:id="681" w:name="Tc_7iERqfkKe0mPEXzXpH7Ugw_10_3"/>
      <w:bookmarkStart w:id="682" w:name="Tc_pEwDwwCQ0E-xOwyKJ8HUqA_10_0"/>
      <w:bookmarkStart w:id="683" w:name="Tc_S5ntd8WmBEuIQZ5ZX28riA_9_9"/>
      <w:bookmarkStart w:id="684" w:name="Tc_Z2kQkTkU4E61HGlB86cf2g_9_6"/>
      <w:bookmarkStart w:id="685" w:name="Tc_SZg_I138vUC9jSeXFX_MMA_9_3"/>
      <w:bookmarkStart w:id="686" w:name="Tc_C1okpiSUdkOBidsYUoA5nQ_9_0"/>
      <w:bookmarkStart w:id="687" w:name="Tc_aDbuStuqlUq-PAeiS_Nz6w_8_9"/>
      <w:bookmarkStart w:id="688" w:name="Tc_o6j7YpoKlUqQ8fDY8_Pl9Q_8_6"/>
      <w:bookmarkStart w:id="689" w:name="Tc_X-Z0Hk6VoECl7qXdIHhWSQ_8_0"/>
      <w:bookmarkStart w:id="690" w:name="Tc_0APGOzkN1kKUBbT6tzgpPQ_7_12"/>
      <w:bookmarkStart w:id="691" w:name="Tc_JvuxKlSFh0a8ggBRR9bEQg_7_9"/>
      <w:bookmarkStart w:id="692" w:name="Tc_MbSinEaPDk2thAlan5w2NQ_7_0"/>
      <w:bookmarkStart w:id="693" w:name="Tc_QI6PkMjbfUSC-V7yjBMpWQ_6_12"/>
      <w:bookmarkStart w:id="694" w:name="Tc_FJ4NEt_nx067zsPfAcNygg_6_9"/>
      <w:bookmarkStart w:id="695" w:name="Tc_HIQ17uDYdkyK4aWXyAyrqg_6_6"/>
      <w:bookmarkStart w:id="696" w:name="Tc_szoK0OEXwEaEsaY7RhXlpw_6_0"/>
      <w:bookmarkStart w:id="697" w:name="Tc_3fk1XksuAE6YAsybE-sW8w_5_14"/>
      <w:bookmarkStart w:id="698" w:name="Tc_zFkzWzayvk2JQR82VVxHuQ_5_11"/>
      <w:bookmarkStart w:id="699" w:name="Tc_rVQRgrC2HEqK-cHO5v3kZQ_5_8"/>
      <w:bookmarkStart w:id="700" w:name="Tc_z-SB_qZZNUq8aPOQCkT8rg_5_5"/>
      <w:bookmarkStart w:id="701" w:name="Tc_0H0FdhYG30OZNNQdYHvuJw_5_2"/>
      <w:bookmarkStart w:id="702" w:name="Tc_veagHMe2wkeU0u2lN8JZuw_5_0"/>
      <w:bookmarkStart w:id="703" w:name="Tc__PIGLXoqBEinbPvy6b1lCA_4_14"/>
      <w:bookmarkStart w:id="704" w:name="Tc_t58X76dcMkixFPC5xF1z7A_4_11"/>
      <w:bookmarkStart w:id="705" w:name="Tc_Xn7tFcSAo0eaKm-vFFjsNA_4_8"/>
      <w:bookmarkStart w:id="706" w:name="Tc_3N3qtxL000OMPjfppMhHfg_4_5"/>
      <w:bookmarkStart w:id="707" w:name="Tc_Nj2FUDB8lE-rMaSrZCMjqQ_4_2"/>
      <w:bookmarkStart w:id="708" w:name="Tc_dztq0skY2EKoc9RBkx3fuw_3_11"/>
      <w:bookmarkStart w:id="709" w:name="Tc_0WNfWr5PvEKxmsszCX7mHg_3_8"/>
      <w:bookmarkStart w:id="710" w:name="Tc_jaFsFeqLikCxPYWopl7I1A_3_5"/>
      <w:bookmarkStart w:id="711" w:name="Tc_XXViHroZqUGpHZGUH5je6Q_3_2"/>
      <w:bookmarkStart w:id="712" w:name="Tc__OCaqtSAIUC5_beH8CwGIg_2_8"/>
      <w:bookmarkStart w:id="713" w:name="Tc_JivPInkXHEeBrGADdGzGoA_2_5"/>
      <w:bookmarkStart w:id="714" w:name="Tc_nnTEw7dCWUCfkoPOq9qxHg_2_2"/>
      <w:bookmarkStart w:id="715" w:name="Tc_i_rUQqNSskePLGsrlMnZcA_1_5"/>
      <w:bookmarkStart w:id="716" w:name="_56471dda_1c0e_4eb7_bf77_edf072e9d95a"/>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tbl>
      <w:tblPr>
        <w:tblW w:w="10205" w:type="dxa"/>
        <w:jc w:val="left"/>
        <w:tblInd w:w="0" w:type="dxa"/>
        <w:tblLayout w:type="fixed"/>
        <w:tblCellMar>
          <w:top w:w="0" w:type="dxa"/>
          <w:left w:w="0" w:type="dxa"/>
          <w:bottom w:w="0" w:type="dxa"/>
          <w:right w:w="0" w:type="dxa"/>
        </w:tblCellMar>
      </w:tblPr>
      <w:tblGrid>
        <w:gridCol w:w="4131"/>
        <w:gridCol w:w="109"/>
        <w:gridCol w:w="181"/>
        <w:gridCol w:w="721"/>
        <w:gridCol w:w="109"/>
        <w:gridCol w:w="291"/>
        <w:gridCol w:w="805"/>
        <w:gridCol w:w="109"/>
        <w:gridCol w:w="181"/>
        <w:gridCol w:w="880"/>
        <w:gridCol w:w="109"/>
        <w:gridCol w:w="239"/>
        <w:gridCol w:w="797"/>
        <w:gridCol w:w="109"/>
        <w:gridCol w:w="181"/>
        <w:gridCol w:w="880"/>
        <w:gridCol w:w="109"/>
        <w:gridCol w:w="109"/>
        <w:gridCol w:w="155"/>
      </w:tblGrid>
      <w:tr>
        <w:trPr/>
        <w:tc>
          <w:tcPr>
            <w:tcW w:w="4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14935" cy="175260"/>
                      <wp:effectExtent l="0" t="0" r="0" b="0"/>
                      <wp:wrapNone/>
                      <wp:docPr id="41" name="Frame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57835" cy="175260"/>
                      <wp:effectExtent l="0" t="0" r="0" b="0"/>
                      <wp:wrapNone/>
                      <wp:docPr id="42" name="Frame4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9215" cy="175260"/>
                      <wp:effectExtent l="0" t="0" r="0" b="0"/>
                      <wp:wrapNone/>
                      <wp:docPr id="43" name="Frame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84785" cy="175260"/>
                      <wp:effectExtent l="0" t="0" r="0" b="0"/>
                      <wp:wrapNone/>
                      <wp:docPr id="44" name="Frame44"/>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11175" cy="175260"/>
                      <wp:effectExtent l="0" t="0" r="0" b="0"/>
                      <wp:wrapNone/>
                      <wp:docPr id="45" name="Frame45"/>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9215" cy="175260"/>
                      <wp:effectExtent l="0" t="0" r="0" b="0"/>
                      <wp:wrapNone/>
                      <wp:docPr id="46" name="Frame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14935" cy="175260"/>
                      <wp:effectExtent l="0" t="0" r="0" b="0"/>
                      <wp:wrapNone/>
                      <wp:docPr id="47" name="Frame4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58800" cy="175260"/>
                      <wp:effectExtent l="0" t="0" r="0" b="0"/>
                      <wp:wrapNone/>
                      <wp:docPr id="48" name="Frame48"/>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49"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51765" cy="175260"/>
                      <wp:effectExtent l="0" t="0" r="0" b="0"/>
                      <wp:wrapNone/>
                      <wp:docPr id="50" name="Frame5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06095" cy="175260"/>
                      <wp:effectExtent l="0" t="0" r="0" b="0"/>
                      <wp:wrapNone/>
                      <wp:docPr id="51" name="Frame5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14935" cy="175260"/>
                      <wp:effectExtent l="0" t="0" r="0" b="0"/>
                      <wp:wrapNone/>
                      <wp:docPr id="53" name="Frame5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558800" cy="175260"/>
                      <wp:effectExtent l="0" t="0" r="0" b="0"/>
                      <wp:wrapNone/>
                      <wp:docPr id="54" name="Frame54"/>
                      <a:graphic xmlns:a="http://schemas.openxmlformats.org/drawingml/2006/main">
                        <a:graphicData uri="http://schemas.microsoft.com/office/word/2010/wordprocessingShape">
                          <wps:wsp>
                            <wps:cNvSpPr txBox="1"/>
                            <wps:spPr>
                              <a:xfrm>
                                <a:off x="0" y="0"/>
                                <a:ext cx="558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6"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98425" cy="175260"/>
                      <wp:effectExtent l="0" t="0" r="0" b="0"/>
                      <wp:wrapNone/>
                      <wp:docPr id="57" name="Frame57"/>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Additional</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Other </w:t>
            </w:r>
          </w:p>
        </w:tc>
        <w:tc>
          <w:tcPr>
            <w:tcW w:w="109" w:type="dxa"/>
            <w:tcBorders/>
            <w:vAlign w:val="center"/>
          </w:tcPr>
          <w:p>
            <w:pPr>
              <w:pStyle w:val="TableContents"/>
              <w:bidi w:val="0"/>
              <w:spacing w:before="0" w:after="0"/>
              <w:ind w:left="0" w:right="0" w:hanging="0"/>
              <w:jc w:val="right"/>
              <w:rPr/>
            </w:pPr>
            <w:r>
              <w:rPr/>
              <w:t>​</w:t>
            </w:r>
          </w:p>
        </w:tc>
        <w:tc>
          <w:tcPr>
            <w:tcW w:w="1061"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Accumulated</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Paid-In</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Comprehensive</w:t>
            </w:r>
          </w:p>
        </w:tc>
        <w:tc>
          <w:tcPr>
            <w:tcW w:w="109" w:type="dxa"/>
            <w:tcBorders/>
            <w:vAlign w:val="center"/>
          </w:tcPr>
          <w:p>
            <w:pPr>
              <w:pStyle w:val="TableContents"/>
              <w:bidi w:val="0"/>
              <w:spacing w:before="0" w:after="0"/>
              <w:ind w:left="0" w:right="0" w:hanging="0"/>
              <w:jc w:val="right"/>
              <w:rPr/>
            </w:pPr>
            <w:r>
              <w:rPr/>
              <w:t>​</w:t>
            </w:r>
          </w:p>
        </w:tc>
        <w:tc>
          <w:tcPr>
            <w:tcW w:w="1061"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Earnings</w:t>
            </w:r>
          </w:p>
        </w:tc>
        <w:tc>
          <w:tcPr>
            <w:tcW w:w="109" w:type="dxa"/>
            <w:tcBorders/>
            <w:vAlign w:val="center"/>
          </w:tcPr>
          <w:p>
            <w:pPr>
              <w:pStyle w:val="TableContents"/>
              <w:bidi w:val="0"/>
              <w:spacing w:before="0" w:after="0"/>
              <w:ind w:left="0" w:right="0" w:hanging="0"/>
              <w:jc w:val="left"/>
              <w:rPr/>
            </w:pPr>
            <w:r>
              <w:rPr/>
              <w:t>​</w:t>
            </w:r>
          </w:p>
        </w:tc>
        <w:tc>
          <w:tcPr>
            <w:tcW w:w="1036" w:type="dxa"/>
            <w:gridSpan w:val="2"/>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Noncontrolling</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55" w:type="dxa"/>
            <w:tcBorders/>
            <w:vAlign w:val="center"/>
          </w:tcPr>
          <w:p>
            <w:pPr>
              <w:pStyle w:val="TableContents"/>
              <w:bidi w:val="0"/>
              <w:spacing w:before="0" w:after="0"/>
              <w:ind w:left="0" w:right="0" w:hanging="0"/>
              <w:jc w:val="right"/>
              <w:rPr/>
            </w:pPr>
            <w:r>
              <w:rPr/>
              <w:t>​</w:t>
            </w:r>
          </w:p>
        </w:tc>
      </w:tr>
      <w:tr>
        <w:trPr/>
        <w:tc>
          <w:tcPr>
            <w:tcW w:w="41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Capital</w:t>
            </w:r>
          </w:p>
        </w:tc>
        <w:tc>
          <w:tcPr>
            <w:tcW w:w="109" w:type="dxa"/>
            <w:tcBorders/>
            <w:vAlign w:val="center"/>
          </w:tcPr>
          <w:p>
            <w:pPr>
              <w:pStyle w:val="TableContents"/>
              <w:bidi w:val="0"/>
              <w:spacing w:before="0" w:after="0"/>
              <w:ind w:left="0" w:right="0" w:hanging="0"/>
              <w:jc w:val="left"/>
              <w:rPr/>
            </w:pPr>
            <w:r>
              <w:rPr/>
              <w:t>​</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Income (Loss)</w:t>
            </w:r>
          </w:p>
        </w:tc>
        <w:tc>
          <w:tcPr>
            <w:tcW w:w="109" w:type="dxa"/>
            <w:tcBorders/>
            <w:vAlign w:val="center"/>
          </w:tcPr>
          <w:p>
            <w:pPr>
              <w:pStyle w:val="TableContents"/>
              <w:bidi w:val="0"/>
              <w:spacing w:before="0" w:after="0"/>
              <w:ind w:left="0" w:right="0" w:hanging="0"/>
              <w:jc w:val="righ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(Deficit)</w:t>
            </w:r>
          </w:p>
        </w:tc>
        <w:tc>
          <w:tcPr>
            <w:tcW w:w="109" w:type="dxa"/>
            <w:tcBorders/>
            <w:vAlign w:val="center"/>
          </w:tcPr>
          <w:p>
            <w:pPr>
              <w:pStyle w:val="TableContents"/>
              <w:bidi w:val="0"/>
              <w:spacing w:before="0" w:after="0"/>
              <w:ind w:left="0" w:right="0" w:hanging="0"/>
              <w:jc w:val="righ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Interests</w:t>
            </w:r>
          </w:p>
        </w:tc>
        <w:tc>
          <w:tcPr>
            <w:tcW w:w="109" w:type="dxa"/>
            <w:tcBorders/>
            <w:vAlign w:val="center"/>
          </w:tcPr>
          <w:p>
            <w:pPr>
              <w:pStyle w:val="TableContents"/>
              <w:bidi w:val="0"/>
              <w:spacing w:before="0" w:after="0"/>
              <w:ind w:left="0" w:right="0" w:hanging="0"/>
              <w:jc w:val="right"/>
              <w:rPr/>
            </w:pPr>
            <w:r>
              <w:rPr/>
              <w:t>​</w:t>
            </w:r>
          </w:p>
        </w:tc>
        <w:tc>
          <w:tcPr>
            <w:tcW w:w="10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December 31, 2024</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5,435,387</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(2,759)</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(193,030)</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444,076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5,683,674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4,648</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4,648</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comprehensive income (loss)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(691)</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(707)</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Wireless Spectrum License Exchange, net of deferred taxes of $50,456</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(267,561)</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96</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(267,465)</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DISH Network</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(189,529)</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(189,529)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March 31, 2025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5,171,783</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(2,775)</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(382,559)</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444,206</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5,230,655</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5,361</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5,361</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comprehensive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noncontrolling interests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lef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DISH Network</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(273,125)</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(273,125)</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June 30, 2025</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5,177,144</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(2,846)</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(655,684)</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444,230</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4,962,844</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5,991</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5,991</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comprehensive income (loss)</w:t>
            </w:r>
          </w:p>
        </w:tc>
        <w:tc>
          <w:tcPr>
            <w:tcW w:w="109"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(807)</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9" w:type="dxa"/>
            <w:tcBorders/>
            <w:vAlign w:val="center"/>
          </w:tcPr>
          <w:p>
            <w:pPr>
              <w:pStyle w:val="TableContents"/>
              <w:bidi w:val="0"/>
              <w:spacing w:before="0" w:after="0"/>
              <w:ind w:left="0" w:right="0" w:hanging="0"/>
              <w:jc w:val="right"/>
              <w:rPr/>
            </w:pPr>
            <w:r>
              <w:rPr/>
              <w:t>​</w:t>
            </w:r>
          </w:p>
        </w:tc>
        <w:tc>
          <w:tcPr>
            <w:tcW w:w="79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vAlign w:val="center"/>
          </w:tcPr>
          <w:p>
            <w:pPr>
              <w:pStyle w:val="TableContents"/>
              <w:bidi w:val="0"/>
              <w:spacing w:before="0" w:after="0"/>
              <w:ind w:left="0" w:right="0" w:hanging="0"/>
              <w:jc w:val="right"/>
              <w:rPr/>
            </w:pPr>
            <w:r>
              <w:rPr/>
              <w:t>​</w:t>
            </w:r>
          </w:p>
        </w:tc>
        <w:tc>
          <w:tcPr>
            <w:tcW w:w="880"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(807)</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noncontrolling interests</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shd w:fill="CCEEFF" w:val="clear"/>
            <w:vAlign w:val="center"/>
          </w:tcPr>
          <w:p>
            <w:pPr>
              <w:pStyle w:val="TableContents"/>
              <w:bidi w:val="0"/>
              <w:spacing w:before="0" w:after="0"/>
              <w:ind w:left="0" w:right="0" w:hanging="0"/>
              <w:jc w:val="right"/>
              <w:rPr/>
            </w:pPr>
            <w:r>
              <w:rPr/>
              <w:t>​</w:t>
            </w:r>
          </w:p>
        </w:tc>
        <w:tc>
          <w:tcPr>
            <w:tcW w:w="79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shd w:fill="CCEEFF" w:val="clear"/>
            <w:vAlign w:val="center"/>
          </w:tcPr>
          <w:p>
            <w:pPr>
              <w:pStyle w:val="TableContents"/>
              <w:bidi w:val="0"/>
              <w:spacing w:before="0" w:after="0"/>
              <w:ind w:left="0" w:right="0" w:hanging="0"/>
              <w:jc w:val="right"/>
              <w:rPr/>
            </w:pPr>
            <w:r>
              <w:rPr/>
              <w:t>​</w:t>
            </w:r>
          </w:p>
        </w:tc>
        <w:tc>
          <w:tcPr>
            <w:tcW w:w="880"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r>
        <w:trPr/>
        <w:tc>
          <w:tcPr>
            <w:tcW w:w="413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 attributable to DISH Network</w:t>
            </w:r>
          </w:p>
        </w:tc>
        <w:tc>
          <w:tcPr>
            <w:tcW w:w="109"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(12,467,609)</w:t>
            </w:r>
          </w:p>
        </w:tc>
        <w:tc>
          <w:tcPr>
            <w:tcW w:w="109" w:type="dxa"/>
            <w:tcBorders/>
            <w:vAlign w:val="center"/>
          </w:tcPr>
          <w:p>
            <w:pPr>
              <w:pStyle w:val="TableContents"/>
              <w:bidi w:val="0"/>
              <w:spacing w:before="0" w:after="0"/>
              <w:ind w:left="0" w:right="0" w:hanging="0"/>
              <w:jc w:val="righ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(12,467,609)</w:t>
            </w:r>
          </w:p>
        </w:tc>
        <w:tc>
          <w:tcPr>
            <w:tcW w:w="10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left"/>
              <w:rPr/>
            </w:pPr>
            <w:r>
              <w:rPr/>
              <w:t>​</w:t>
            </w:r>
          </w:p>
        </w:tc>
      </w:tr>
      <w:tr>
        <w:trPr/>
        <w:tc>
          <w:tcPr>
            <w:tcW w:w="413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Balance, September 30, 2025</w:t>
            </w:r>
          </w:p>
        </w:tc>
        <w:tc>
          <w:tcPr>
            <w:tcW w:w="109"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5,183,135</w:t>
            </w:r>
          </w:p>
        </w:tc>
        <w:tc>
          <w:tcPr>
            <w:tcW w:w="109" w:type="dxa"/>
            <w:tcBorders/>
            <w:shd w:fill="CCEEFF" w:val="clear"/>
            <w:vAlign w:val="center"/>
          </w:tcPr>
          <w:p>
            <w:pPr>
              <w:pStyle w:val="TableContents"/>
              <w:bidi w:val="0"/>
              <w:spacing w:before="0" w:after="0"/>
              <w:ind w:left="0" w:right="0" w:hanging="0"/>
              <w:jc w:val="left"/>
              <w:rPr/>
            </w:pPr>
            <w:r>
              <w:rPr/>
              <w:t>​</w:t>
            </w:r>
          </w:p>
        </w:tc>
        <w:tc>
          <w:tcPr>
            <w:tcW w:w="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(3,653)</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(13,123,293)</w:t>
            </w:r>
          </w:p>
        </w:tc>
        <w:tc>
          <w:tcPr>
            <w:tcW w:w="109" w:type="dxa"/>
            <w:tcBorders/>
            <w:shd w:fill="CCEEFF" w:val="clear"/>
            <w:vAlign w:val="center"/>
          </w:tcPr>
          <w:p>
            <w:pPr>
              <w:pStyle w:val="TableContents"/>
              <w:bidi w:val="0"/>
              <w:spacing w:before="0" w:after="0"/>
              <w:ind w:left="0" w:right="0" w:hanging="0"/>
              <w:jc w:val="righ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444,240</w:t>
            </w:r>
          </w:p>
        </w:tc>
        <w:tc>
          <w:tcPr>
            <w:tcW w:w="109" w:type="dxa"/>
            <w:tcBorders/>
            <w:shd w:fill="CCEEFF" w:val="clear"/>
            <w:vAlign w:val="center"/>
          </w:tcPr>
          <w:p>
            <w:pPr>
              <w:pStyle w:val="TableContents"/>
              <w:bidi w:val="0"/>
              <w:spacing w:before="0" w:after="0"/>
              <w:ind w:left="0" w:right="0" w:hanging="0"/>
              <w:jc w:val="righ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w:t>
            </w:r>
          </w:p>
        </w:tc>
        <w:tc>
          <w:tcPr>
            <w:tcW w:w="8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(7,499,571)</w:t>
            </w:r>
          </w:p>
        </w:tc>
        <w:tc>
          <w:tcPr>
            <w:tcW w:w="10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spacing w:val="-2"/>
          <w:sz w:val="18"/>
        </w:rPr>
      </w:pPr>
      <w:r>
        <w:rPr>
          <w:rFonts w:ascii="Arial;Helvetica;sans-serif" w:hAnsi="Arial;Helvetica;sans-serif"/>
          <w:spacing w:val="-2"/>
          <w:sz w:val="18"/>
        </w:rPr>
        <w:t>The accompanying notes are an integral part of these condensed consolidated financial statements.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bookmarkStart w:id="717" w:name="_d96d6f2b_c4dc_4700_8ce6_190a2db47930"/>
      <w:bookmarkEnd w:id="717"/>
      <w:r>
        <w:rPr>
          <w:spacing w:val="-2"/>
        </w:rPr>
        <w:t>​</w:t>
      </w:r>
    </w:p>
    <w:p>
      <w:pPr>
        <w:pStyle w:val="TextBody"/>
        <w:bidi w:val="0"/>
        <w:spacing w:before="0" w:after="0"/>
        <w:ind w:left="0" w:right="0" w:hanging="0"/>
        <w:jc w:val="center"/>
        <w:rPr>
          <w:rFonts w:ascii="Arial;Helvetica;sans-serif" w:hAnsi="Arial;Helvetica;sans-serif"/>
          <w:b/>
          <w:spacing w:val="-2"/>
          <w:sz w:val="19"/>
        </w:rPr>
      </w:pPr>
      <w:r>
        <w:rPr>
          <w:rFonts w:ascii="Arial;Helvetica;sans-serif" w:hAnsi="Arial;Helvetica;sans-serif"/>
          <w:b/>
          <w:spacing w:val="-2"/>
          <w:sz w:val="19"/>
        </w:rPr>
        <w:t>DISH NETWORK CORPORATION</w:t>
      </w:r>
    </w:p>
    <w:p>
      <w:pPr>
        <w:pStyle w:val="TextBody"/>
        <w:bidi w:val="0"/>
        <w:spacing w:before="0" w:after="0"/>
        <w:ind w:left="0" w:right="0" w:hanging="0"/>
        <w:jc w:val="center"/>
        <w:rPr>
          <w:rFonts w:ascii="Arial;Helvetica;sans-serif" w:hAnsi="Arial;Helvetica;sans-serif"/>
          <w:b/>
          <w:spacing w:val="-2"/>
          <w:sz w:val="19"/>
        </w:rPr>
      </w:pPr>
      <w:bookmarkStart w:id="718" w:name="CASHFLOWS_284276"/>
      <w:bookmarkEnd w:id="718"/>
      <w:r>
        <w:rPr>
          <w:rFonts w:ascii="Arial;Helvetica;sans-serif" w:hAnsi="Arial;Helvetica;sans-serif"/>
          <w:b/>
          <w:spacing w:val="-2"/>
          <w:sz w:val="19"/>
        </w:rPr>
        <w:t>CONDENSED CONSOLIDATED STATEMENTS OF CASH FLOWS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(In thousands)</w:t>
      </w:r>
    </w:p>
    <w:p>
      <w:pPr>
        <w:pStyle w:val="TextBody"/>
        <w:bidi w:val="0"/>
        <w:spacing w:before="0" w:after="0"/>
        <w:ind w:left="0" w:right="0" w:hanging="0"/>
        <w:jc w:val="center"/>
        <w:rPr>
          <w:rFonts w:ascii="Arial;Helvetica;sans-serif" w:hAnsi="Arial;Helvetica;sans-serif"/>
          <w:spacing w:val="-2"/>
          <w:sz w:val="19"/>
        </w:rPr>
      </w:pPr>
      <w:r>
        <w:rPr>
          <w:rFonts w:ascii="Arial;Helvetica;sans-serif" w:hAnsi="Arial;Helvetica;sans-serif"/>
          <w:spacing w:val="-2"/>
          <w:sz w:val="19"/>
        </w:rPr>
        <w:t>(Unaudited)</w:t>
      </w:r>
    </w:p>
    <w:p>
      <w:pPr>
        <w:pStyle w:val="TextBody"/>
        <w:bidi w:val="0"/>
        <w:spacing w:before="0" w:after="0"/>
        <w:ind w:left="0" w:right="0" w:hanging="0"/>
        <w:jc w:val="both"/>
        <w:rPr>
          <w:spacing w:val="-2"/>
        </w:rPr>
      </w:pPr>
      <w:r>
        <w:rPr>
          <w:spacing w:val="-2"/>
        </w:rPr>
        <w:t>​</w:t>
      </w:r>
    </w:p>
    <w:p>
      <w:pPr>
        <w:pStyle w:val="Normal"/>
        <w:bidi w:val="0"/>
        <w:spacing w:before="0" w:after="0"/>
        <w:jc w:val="left"/>
        <w:rPr>
          <w:sz w:val="4"/>
          <w:szCs w:val="4"/>
        </w:rPr>
      </w:pPr>
      <w:r>
        <w:rPr>
          <w:sz w:val="4"/>
          <w:szCs w:val="4"/>
        </w:rPr>
      </w:r>
      <w:bookmarkStart w:id="719" w:name="Tc_mbOtOvIoT0myj7Dl__hP2w_44_5"/>
      <w:bookmarkStart w:id="720" w:name="Tc_i73W1szSdU6CFTzSZXNiEA_44_2"/>
      <w:bookmarkStart w:id="721" w:name="Tc_E8lcwYkd7UyKEh37VMSeiQ_44_0"/>
      <w:bookmarkStart w:id="722" w:name="Tc_rdMcCHwivk-jSXgNwIkK-g_43_0"/>
      <w:bookmarkStart w:id="723" w:name="Tc_JG2IWyCYT0uRVEMBO6jigA_42_0"/>
      <w:bookmarkStart w:id="724" w:name="Tc_V1wi2kmFsUqj9N03TJLNpQ_40_0"/>
      <w:bookmarkStart w:id="725" w:name="Tc_zaqQLmiL9UqOq1fldyYDOA_39_0"/>
      <w:bookmarkStart w:id="726" w:name="Tc_BG7omUe170Ky-Xt-xd6E0Q_38_6"/>
      <w:bookmarkStart w:id="727" w:name="Tc_1W6xVbt5bU-e7C5aosou5w_38_0"/>
      <w:bookmarkStart w:id="728" w:name="Tc_TsxYG7s-YEWyCWHh9uiEng_37_3"/>
      <w:bookmarkStart w:id="729" w:name="Tc_mD5iyE6ncEq0YECV7cs7VQ_37_0"/>
      <w:bookmarkStart w:id="730" w:name="Tc_41wjX6IW2EGGDWKnMQyMBA_36_3"/>
      <w:bookmarkStart w:id="731" w:name="Tc_qXgRIaQ7FEaGsMtRc6sgxA_36_0"/>
      <w:bookmarkStart w:id="732" w:name="Tc_TzxDLZimc06a9bBr3TO01A_35_0"/>
      <w:bookmarkStart w:id="733" w:name="Tc_cZJO9F_vJkWB30hpAF4VIw_34_0"/>
      <w:bookmarkStart w:id="734" w:name="Tc_5f2UxhEoeESHcxTVkjTjJQ_33_0"/>
      <w:bookmarkStart w:id="735" w:name="Tc_Z6rPAcKCpE-8z92iUoZzOQ_31_0"/>
      <w:bookmarkStart w:id="736" w:name="Tc_6HDuh30at0q3T6TGO-CLdQ_30_0"/>
      <w:bookmarkStart w:id="737" w:name="Tc_Evhek4_GHk2leMT6JUCMwA_29_6"/>
      <w:bookmarkStart w:id="738" w:name="Tc_fXepn_FqokiOlDSx_yPXlA_29_0"/>
      <w:bookmarkStart w:id="739" w:name="Tc_Q1ZGaVM7NUC3yU1mdbShWQ_28_3"/>
      <w:bookmarkStart w:id="740" w:name="Tc_nwPIaGIIzEWDPYhrr4D_Uw_28_0"/>
      <w:bookmarkStart w:id="741" w:name="Tc_y1ZLXU98sECYwa321A48kg_27_3"/>
      <w:bookmarkStart w:id="742" w:name="Tc_uBsiXTDYmkeCs_1m_FfocQ_27_0"/>
      <w:bookmarkStart w:id="743" w:name="Tc_DBMeS5FZuE6fCzJQCB1Wrg_26_3"/>
      <w:bookmarkStart w:id="744" w:name="Tc_mgPZimdARE6pp2fAGP40YA_26_0"/>
      <w:bookmarkStart w:id="745" w:name="Tc_clL2VYq-5k2It3g_yxk6ng_25_3"/>
      <w:bookmarkStart w:id="746" w:name="Tc_0C339p-PVk-f1l0qBWIsLQ_25_0"/>
      <w:bookmarkStart w:id="747" w:name="Tc_L-PEarek3UO-smw_hhATXQ_24_0"/>
      <w:bookmarkStart w:id="748" w:name="Tc__t3EossC60aDbArDQyut1Q_23_0"/>
      <w:bookmarkStart w:id="749" w:name="Tc_VbHbnOboqkecZsjk-uegzQ_22_0"/>
      <w:bookmarkStart w:id="750" w:name="Tc_zMVIMLXzv0mkMhhKAbELcw_21_0"/>
      <w:bookmarkStart w:id="751" w:name="Tc_U4-L6s5i80y5XeK2NsKMMg_20_0"/>
      <w:bookmarkStart w:id="752" w:name="Tc_Xq6ifFM-WUe7Obde37WHjw_18_0"/>
      <w:bookmarkStart w:id="753" w:name="Tc_DRFJJ42NzEiq8_-akqOq7Q_17_0"/>
      <w:bookmarkStart w:id="754" w:name="Tc_qv41_1Zamku2z1NmKkHG6A_16_0"/>
      <w:bookmarkStart w:id="755" w:name="Tc_54ZfAfcrK0SpxU6oXD1yAg_15_0"/>
      <w:bookmarkStart w:id="756" w:name="Tc_0Z6p95IoGkW1VR9kmObW3Q_14_0"/>
      <w:bookmarkStart w:id="757" w:name="Tc_wwu1mEcRtUKuXGzAPCQMFw_13_0"/>
      <w:bookmarkStart w:id="758" w:name="Tc_EVYbKr_FSkShhnnyb5JqFw_12_0"/>
      <w:bookmarkStart w:id="759" w:name="Tc_4tW0GCdI7EaKH-5EwBYeeA_11_0"/>
      <w:bookmarkStart w:id="760" w:name="Tc_VhRD9SCcn0-tl9RH6P6daw_10_3"/>
      <w:bookmarkStart w:id="761" w:name="Tc_AhDzhHmA7E-0cIcCD4CUeg_10_0"/>
      <w:bookmarkStart w:id="762" w:name="Tc_u1HSTXibo02ATqXZqXe2bw_9_0"/>
      <w:bookmarkStart w:id="763" w:name="Tc_Tog7l9CuQ0KBaCmyo2Xaow_8_6"/>
      <w:bookmarkStart w:id="764" w:name="Tc_fZ3HkCkvfECd8Pzc2ueXOg_8_0"/>
      <w:bookmarkStart w:id="765" w:name="Tc_uC64Vzd65U6d-ZJjKDQF-g_7_0"/>
      <w:bookmarkStart w:id="766" w:name="Tc_8l-hlP_apES3NgLeaHsRmw_6_0"/>
      <w:bookmarkStart w:id="767" w:name="Tc_SPtW9Noca0O4BvKPj1Afcw_5_5"/>
      <w:bookmarkStart w:id="768" w:name="Tc_bCZ9Lpvjk0y6T9DHbbHTgA_5_2"/>
      <w:bookmarkStart w:id="769" w:name="Tc_Daej5r3rUUe7U5swa3rmFg_5_0"/>
      <w:bookmarkStart w:id="770" w:name="Tc_vVlT6YCJIEKcg4r-gUeBhw_4_0"/>
      <w:bookmarkStart w:id="771" w:name="Tc_4nY78pw3Jk66cF_73OZ7xA_3_5"/>
      <w:bookmarkStart w:id="772" w:name="Tc_n9mo8dvVL06oG2SocDtCsQ_3_2"/>
      <w:bookmarkStart w:id="773" w:name="Tc_y2cmpMiipEWPirFWfDiKwQ_2_2"/>
      <w:bookmarkStart w:id="774" w:name="Tc_4BP8ijOMa0O0DLihmAGbvQ_1_2"/>
      <w:bookmarkStart w:id="775" w:name="_2fcaedbd_acb6_43cb_8bcb_95c475e660c3"/>
      <w:bookmarkStart w:id="776" w:name="Tc_mbOtOvIoT0myj7Dl__hP2w_44_5"/>
      <w:bookmarkStart w:id="777" w:name="Tc_i73W1szSdU6CFTzSZXNiEA_44_2"/>
      <w:bookmarkStart w:id="778" w:name="Tc_E8lcwYkd7UyKEh37VMSeiQ_44_0"/>
      <w:bookmarkStart w:id="779" w:name="Tc_rdMcCHwivk-jSXgNwIkK-g_43_0"/>
      <w:bookmarkStart w:id="780" w:name="Tc_JG2IWyCYT0uRVEMBO6jigA_42_0"/>
      <w:bookmarkStart w:id="781" w:name="Tc_V1wi2kmFsUqj9N03TJLNpQ_40_0"/>
      <w:bookmarkStart w:id="782" w:name="Tc_zaqQLmiL9UqOq1fldyYDOA_39_0"/>
      <w:bookmarkStart w:id="783" w:name="Tc_BG7omUe170Ky-Xt-xd6E0Q_38_6"/>
      <w:bookmarkStart w:id="784" w:name="Tc_1W6xVbt5bU-e7C5aosou5w_38_0"/>
      <w:bookmarkStart w:id="785" w:name="Tc_TsxYG7s-YEWyCWHh9uiEng_37_3"/>
      <w:bookmarkStart w:id="786" w:name="Tc_mD5iyE6ncEq0YECV7cs7VQ_37_0"/>
      <w:bookmarkStart w:id="787" w:name="Tc_41wjX6IW2EGGDWKnMQyMBA_36_3"/>
      <w:bookmarkStart w:id="788" w:name="Tc_qXgRIaQ7FEaGsMtRc6sgxA_36_0"/>
      <w:bookmarkStart w:id="789" w:name="Tc_TzxDLZimc06a9bBr3TO01A_35_0"/>
      <w:bookmarkStart w:id="790" w:name="Tc_cZJO9F_vJkWB30hpAF4VIw_34_0"/>
      <w:bookmarkStart w:id="791" w:name="Tc_5f2UxhEoeESHcxTVkjTjJQ_33_0"/>
      <w:bookmarkStart w:id="792" w:name="Tc_Z6rPAcKCpE-8z92iUoZzOQ_31_0"/>
      <w:bookmarkStart w:id="793" w:name="Tc_6HDuh30at0q3T6TGO-CLdQ_30_0"/>
      <w:bookmarkStart w:id="794" w:name="Tc_Evhek4_GHk2leMT6JUCMwA_29_6"/>
      <w:bookmarkStart w:id="795" w:name="Tc_fXepn_FqokiOlDSx_yPXlA_29_0"/>
      <w:bookmarkStart w:id="796" w:name="Tc_Q1ZGaVM7NUC3yU1mdbShWQ_28_3"/>
      <w:bookmarkStart w:id="797" w:name="Tc_nwPIaGIIzEWDPYhrr4D_Uw_28_0"/>
      <w:bookmarkStart w:id="798" w:name="Tc_y1ZLXU98sECYwa321A48kg_27_3"/>
      <w:bookmarkStart w:id="799" w:name="Tc_uBsiXTDYmkeCs_1m_FfocQ_27_0"/>
      <w:bookmarkStart w:id="800" w:name="Tc_DBMeS5FZuE6fCzJQCB1Wrg_26_3"/>
      <w:bookmarkStart w:id="801" w:name="Tc_mgPZimdARE6pp2fAGP40YA_26_0"/>
      <w:bookmarkStart w:id="802" w:name="Tc_clL2VYq-5k2It3g_yxk6ng_25_3"/>
      <w:bookmarkStart w:id="803" w:name="Tc_0C339p-PVk-f1l0qBWIsLQ_25_0"/>
      <w:bookmarkStart w:id="804" w:name="Tc_L-PEarek3UO-smw_hhATXQ_24_0"/>
      <w:bookmarkStart w:id="805" w:name="Tc__t3EossC60aDbArDQyut1Q_23_0"/>
      <w:bookmarkStart w:id="806" w:name="Tc_VbHbnOboqkecZsjk-uegzQ_22_0"/>
      <w:bookmarkStart w:id="807" w:name="Tc_zMVIMLXzv0mkMhhKAbELcw_21_0"/>
      <w:bookmarkStart w:id="808" w:name="Tc_U4-L6s5i80y5XeK2NsKMMg_20_0"/>
      <w:bookmarkStart w:id="809" w:name="Tc_Xq6ifFM-WUe7Obde37WHjw_18_0"/>
      <w:bookmarkStart w:id="810" w:name="Tc_DRFJJ42NzEiq8_-akqOq7Q_17_0"/>
      <w:bookmarkStart w:id="811" w:name="Tc_qv41_1Zamku2z1NmKkHG6A_16_0"/>
      <w:bookmarkStart w:id="812" w:name="Tc_54ZfAfcrK0SpxU6oXD1yAg_15_0"/>
      <w:bookmarkStart w:id="813" w:name="Tc_0Z6p95IoGkW1VR9kmObW3Q_14_0"/>
      <w:bookmarkStart w:id="814" w:name="Tc_wwu1mEcRtUKuXGzAPCQMFw_13_0"/>
      <w:bookmarkStart w:id="815" w:name="Tc_EVYbKr_FSkShhnnyb5JqFw_12_0"/>
      <w:bookmarkStart w:id="816" w:name="Tc_4tW0GCdI7EaKH-5EwBYeeA_11_0"/>
      <w:bookmarkStart w:id="817" w:name="Tc_VhRD9SCcn0-tl9RH6P6daw_10_3"/>
      <w:bookmarkStart w:id="818" w:name="Tc_AhDzhHmA7E-0cIcCD4CUeg_10_0"/>
      <w:bookmarkStart w:id="819" w:name="Tc_u1HSTXibo02ATqXZqXe2bw_9_0"/>
      <w:bookmarkStart w:id="820" w:name="Tc_Tog7l9CuQ0KBaCmyo2Xaow_8_6"/>
      <w:bookmarkStart w:id="821" w:name="Tc_fZ3HkCkvfECd8Pzc2ueXOg_8_0"/>
      <w:bookmarkStart w:id="822" w:name="Tc_uC64Vzd65U6d-ZJjKDQF-g_7_0"/>
      <w:bookmarkStart w:id="823" w:name="Tc_8l-hlP_apES3NgLeaHsRmw_6_0"/>
      <w:bookmarkStart w:id="824" w:name="Tc_SPtW9Noca0O4BvKPj1Afcw_5_5"/>
      <w:bookmarkStart w:id="825" w:name="Tc_bCZ9Lpvjk0y6T9DHbbHTgA_5_2"/>
      <w:bookmarkStart w:id="826" w:name="Tc_Daej5r3rUUe7U5swa3rmFg_5_0"/>
      <w:bookmarkStart w:id="827" w:name="Tc_vVlT6YCJIEKcg4r-gUeBhw_4_0"/>
      <w:bookmarkStart w:id="828" w:name="Tc_4nY78pw3Jk66cF_73OZ7xA_3_5"/>
      <w:bookmarkStart w:id="829" w:name="Tc_n9mo8dvVL06oG2SocDtCsQ_3_2"/>
      <w:bookmarkStart w:id="830" w:name="Tc_y2cmpMiipEWPirFWfDiKwQ_2_2"/>
      <w:bookmarkStart w:id="831" w:name="Tc_4BP8ijOMa0O0DLihmAGbvQ_1_2"/>
      <w:bookmarkStart w:id="832" w:name="_2fcaedbd_acb6_43cb_8bcb_95c475e660c3"/>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tbl>
      <w:tblPr>
        <w:tblW w:w="8505" w:type="dxa"/>
        <w:jc w:val="left"/>
        <w:tblInd w:w="0" w:type="dxa"/>
        <w:tblLayout w:type="fixed"/>
        <w:tblCellMar>
          <w:top w:w="0" w:type="dxa"/>
          <w:left w:w="0" w:type="dxa"/>
          <w:bottom w:w="0" w:type="dxa"/>
          <w:right w:w="0" w:type="dxa"/>
        </w:tblCellMar>
      </w:tblPr>
      <w:tblGrid>
        <w:gridCol w:w="5791"/>
        <w:gridCol w:w="326"/>
        <w:gridCol w:w="181"/>
        <w:gridCol w:w="886"/>
        <w:gridCol w:w="326"/>
        <w:gridCol w:w="181"/>
        <w:gridCol w:w="814"/>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3677285" cy="175260"/>
                      <wp:effectExtent l="0" t="0" r="0" b="0"/>
                      <wp:wrapNone/>
                      <wp:docPr id="58" name="Frame58"/>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14935" cy="175260"/>
                      <wp:effectExtent l="0" t="0" r="0" b="0"/>
                      <wp:wrapNone/>
                      <wp:docPr id="60" name="Frame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62610" cy="175260"/>
                      <wp:effectExtent l="0" t="0" r="0" b="0"/>
                      <wp:wrapNone/>
                      <wp:docPr id="61" name="Frame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14935" cy="175260"/>
                      <wp:effectExtent l="0" t="0" r="0" b="0"/>
                      <wp:wrapNone/>
                      <wp:docPr id="63" name="Frame6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6890" cy="175260"/>
                      <wp:effectExtent l="0" t="0" r="0" b="0"/>
                      <wp:wrapNone/>
                      <wp:docPr id="64" name="Frame64"/>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8" w:type="dxa"/>
            <w:gridSpan w:val="5"/>
            <w:tcBorders/>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For the Nine Months Ended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September 30,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2025</w:t>
            </w:r>
          </w:p>
        </w:tc>
        <w:tc>
          <w:tcPr>
            <w:tcW w:w="326" w:type="dxa"/>
            <w:tcBorders/>
            <w:vAlign w:val="center"/>
          </w:tcPr>
          <w:p>
            <w:pPr>
              <w:pStyle w:val="TableContents"/>
              <w:bidi w:val="0"/>
              <w:spacing w:before="0" w:after="0"/>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2024</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Net income (loss)</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(12,930,195)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(432,563)</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Adjustments to reconcile net income (loss) to net 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1,063,121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1,122,383</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Impairments and other (Note 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16,036,001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Realized and unrealized losses (gains) and impairments on investments and 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11,823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922</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Realized losses (gains) on Sale of Assets to EchoStar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(128,788)</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Asset sales and other (gains) losses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5,062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(21,310)</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Non-cash,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19,250</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Deferred tax expense (benefit)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(4,228,924)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(104,080)</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Changes in allowance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8,083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13,073</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 in long-term deferred revenue and other long-term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230,213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88,123</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37,155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88,079</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Changes in operating assets and operating liabilities, net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(93,240)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229,401</w:t>
            </w:r>
          </w:p>
        </w:tc>
      </w:tr>
      <w:tr>
        <w:trPr/>
        <w:tc>
          <w:tcPr>
            <w:tcW w:w="5791" w:type="dxa"/>
            <w:tcBorders/>
            <w:shd w:fill="CCEEFF" w:val="clear"/>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Net 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155,099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874,490</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Purchases of marketable investment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(93,666)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(17,987)</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Sales and maturities of marketable 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60,577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34,118</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Purchases of property and equipment (Note 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(687,077)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(977,141)</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Capitalized interest related to regulatory authorizations (Note 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(550,172)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(491,094)</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Purchases of regulatory authorizations, including deposits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(1,104)</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 of Assets to EchoStar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245,800</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700 MHz Spectrum Sale to EchoStar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1,036,500</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Liberty Puerto Rico asset sale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95,435</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Sale of Fiber business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47,207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2,207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(36,429)</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Net 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(1,220,924)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(111,902)</w:t>
            </w:r>
          </w:p>
        </w:tc>
      </w:tr>
      <w:tr>
        <w:trPr/>
        <w:tc>
          <w:tcPr>
            <w:tcW w:w="5791" w:type="dxa"/>
            <w:tcBorders/>
            <w:shd w:fill="CCEEFF" w:val="clear"/>
            <w:vAlign w:val="center"/>
          </w:tcPr>
          <w:p>
            <w:pPr>
              <w:pStyle w:val="TableContents"/>
              <w:bidi w:val="0"/>
              <w:spacing w:before="0" w:after="0"/>
              <w:ind w:left="0" w:right="0" w:hanging="0"/>
              <w:jc w:val="both"/>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left"/>
              <w:rPr/>
            </w:pPr>
            <w:r>
              <w:rPr/>
              <w:t>​</w:t>
            </w:r>
          </w:p>
        </w:tc>
      </w:tr>
      <w:tr>
        <w:trPr/>
        <w:tc>
          <w:tcPr>
            <w:tcW w:w="5791" w:type="dxa"/>
            <w:tcBorders/>
            <w:vAlign w:val="center"/>
          </w:tcPr>
          <w:p>
            <w:pPr>
              <w:pStyle w:val="TableContents"/>
              <w:bidi w:val="0"/>
              <w:spacing w:before="0" w:after="0"/>
              <w:ind w:left="0" w:right="0" w:hanging="0"/>
              <w:jc w:val="both"/>
              <w:rPr>
                <w:rFonts w:ascii="Arial;Helvetica;sans-serif" w:hAnsi="Arial;Helvetica;sans-serif"/>
                <w:b/>
                <w:sz w:val="14"/>
              </w:rPr>
            </w:pPr>
            <w:r>
              <w:rPr>
                <w:rFonts w:ascii="Arial;Helvetica;sans-serif" w:hAnsi="Arial;Helvetica;sans-serif"/>
                <w:b/>
                <w:sz w:val="14"/>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Repayment of long-term debt, finance lease and other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(45,131)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(97,205)</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Redemption and repurchases of term loans, convertible and senior notes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(951,170)</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Proceeds from New DISH DBS Financing</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2,500,000</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Debt issuance costs and debt (discount) premium from New DISH DBS Financing</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(136,208)</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Proceeds from EchoStar 2024 Intercompany Loan (Note 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2,201,895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net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 xml:space="preserve">Net cash flows from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1,656,792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1,315,356</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left"/>
              <w:rPr/>
            </w:pPr>
            <w:r>
              <w:rPr/>
              <w:t>​</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Net increase (decrease) in cash, cash equivalents, restricted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590,967</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2,077,944</w:t>
            </w:r>
          </w:p>
        </w:tc>
      </w:tr>
      <w:tr>
        <w:trPr/>
        <w:tc>
          <w:tcPr>
            <w:tcW w:w="579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cash equivalents, restricted cash and cash equivalents, beginning of period (Note 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730,789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462,748</w:t>
            </w:r>
          </w:p>
        </w:tc>
      </w:tr>
      <w:tr>
        <w:trPr/>
        <w:tc>
          <w:tcPr>
            <w:tcW w:w="579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cash equivalents, restricted cash and cash equivalents, end of period (Note 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1,321,756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4"/>
              </w:rPr>
            </w:pPr>
            <w:r>
              <w:rPr>
                <w:rFonts w:ascii="Arial;Helvetica;sans-serif" w:hAnsi="Arial;Helvetica;sans-serif"/>
                <w:sz w:val="14"/>
              </w:rPr>
              <w:t>2,540,692</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spacing w:val="-2"/>
          <w:sz w:val="18"/>
        </w:rPr>
      </w:pPr>
      <w:r>
        <w:rPr>
          <w:rFonts w:ascii="Arial;Helvetica;sans-serif" w:hAnsi="Arial;Helvetica;sans-serif"/>
          <w:spacing w:val="-2"/>
          <w:sz w:val="18"/>
        </w:rPr>
        <w:t>The accompanying notes are an integral part of these condensed consolidated financial statements.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NOTES TO CONDENSED CONSOLIDATED FINANCIAL STATEMENTS</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bookmarkStart w:id="833" w:name="a1OrganizationandBusinessActivities_8590"/>
      <w:bookmarkEnd w:id="833"/>
      <w:r>
        <w:rPr>
          <w:rFonts w:ascii="Arial;Helvetica;sans-serif" w:hAnsi="Arial;Helvetica;sans-serif"/>
          <w:b/>
          <w:i w:val="false"/>
          <w:caps w:val="false"/>
          <w:smallCaps w:val="false"/>
          <w:spacing w:val="-2"/>
          <w:sz w:val="20"/>
        </w:rPr>
        <w:t>1.</w:t>
      </w:r>
      <w:r>
        <w:rPr>
          <w:rFonts w:ascii="Arial;Helvetica;sans-serif" w:hAnsi="Arial;Helvetica;sans-serif"/>
          <w:b/>
          <w:spacing w:val="-2"/>
          <w:sz w:val="20"/>
        </w:rPr>
        <w:t>Organization and Business Activities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spacing w:val="-2"/>
          <w:sz w:val="20"/>
        </w:rPr>
      </w:pPr>
      <w:r>
        <w:rPr>
          <w:rFonts w:ascii="Arial;Helvetica;sans-serif" w:hAnsi="Arial;Helvetica;sans-serif"/>
          <w:b/>
          <w:spacing w:val="-2"/>
          <w:sz w:val="20"/>
        </w:rPr>
        <w:t>Principal Business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DISH Network Corporation is a holding company. Its subsidiaries (which together with DISH Network Corporation are referred to as “DISH Network,” the “Company,” “we,” “us” and/or “our,” unless otherwise required by the context) currently operate two</w:t>
      </w:r>
      <w:r>
        <w:rPr>
          <w:rFonts w:ascii="Times New Roman;Times;serif" w:hAnsi="Times New Roman;Times;serif"/>
          <w:spacing w:val="-2"/>
          <w:sz w:val="18"/>
        </w:rPr>
        <w:t xml:space="preserve"> </w:t>
      </w:r>
      <w:r>
        <w:rPr>
          <w:rFonts w:ascii="Arial;Helvetica;sans-serif" w:hAnsi="Arial;Helvetica;sans-serif"/>
          <w:spacing w:val="-2"/>
          <w:sz w:val="20"/>
        </w:rPr>
        <w:t>primary business segments. DISH Network is a wholly-owned subsidiary of EchoStar Corporation (“EchoStar”), a publicly traded company listed on the NASDAQ Global Select Market (“NASDAQ”) under the symbol “SATS.”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9"/>
        <w:jc w:val="left"/>
        <w:rPr>
          <w:rFonts w:ascii="Arial;Helvetica;sans-serif" w:hAnsi="Arial;Helvetica;sans-serif"/>
          <w:b/>
          <w:spacing w:val="-2"/>
          <w:sz w:val="20"/>
        </w:rPr>
      </w:pPr>
      <w:r>
        <w:rPr>
          <w:rFonts w:ascii="Arial;Helvetica;sans-serif" w:hAnsi="Arial;Helvetica;sans-serif"/>
          <w:b/>
          <w:spacing w:val="-2"/>
          <w:sz w:val="20"/>
        </w:rPr>
        <w:t xml:space="preserve">Recent Developments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FCC Review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 the third quarter of 2025, we and EchoStar resolved the previously disclosed review by the Federal Communications Commission (the “FCC”) into EchoStar’s and our compliance with the build-out milestones and other obligations regarding EchoStar’s and our federal spectrum licenses. EchoStar had previously received a letter from the FCC on May 9, 2025, indicating that the FCC was beginning a review of </w:t>
      </w:r>
      <w:r>
        <w:rPr>
          <w:rFonts w:ascii="Arial;Helvetica;sans-serif" w:hAnsi="Arial;Helvetica;sans-serif"/>
          <w:color w:val="222222"/>
          <w:sz w:val="20"/>
        </w:rPr>
        <w:t xml:space="preserve">EchoStar’s and our </w:t>
      </w:r>
      <w:r>
        <w:rPr>
          <w:rFonts w:ascii="Arial;Helvetica;sans-serif" w:hAnsi="Arial;Helvetica;sans-serif"/>
          <w:sz w:val="20"/>
        </w:rPr>
        <w:t xml:space="preserve">compliance with certain obligations to provide 5G broadband service and raising certain questions regarding the September 2024 build-out extension granted by the FCC and mobile-satellite service (“MSS”) utilization in the 2 GHz band (the “May 9 Letter”). We collectively responded to the FCC’s subsequent public notices with filings on May 27, 2025 and June 6,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second quarter and the beginning of the third quarter of 2025, the potential ramifications of the FCC review to our business required us to, among other things, reevaluate the deployment of our resources and as a result, we elected not to make interest payments on a certain portion of our long-term senior notes on their respective scheduled due dates. We subsequently made such payments, including interest on the defaulted interest, within the applicable 30-day grace periods. See Note 8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FCC review introduced the possibility of reversing prior FCC grants of authority to us and EchoStar. The FCC made it clear that it viewed EchoStar’s and our spectrum as being underutilized and deemed EchoStar’s and our continued ownership of such spectrum licenses inconsistent with the public interest, and that we and EchoStar must sell a material amount of spectrum licenses or face a wide-ranging license revocation. Accordingly, as a result of these unforeseeable actions by the FCC that were outside of EchoStar’s and our control, we and EchoStar entered into the AT&amp;T Transactions and SpaceX Transactions, as defined below, whereby we agreed to sell a material amount of EchoStar’s and our spectrum licenses. In August 2025, following these transactions, we began the abandonment and decommission process for certain portions of our 5G Network that will not be utilized in our Hybrid MNO business, as defined in “</w:t>
      </w:r>
      <w:r>
        <w:rPr>
          <w:rFonts w:ascii="Arial;Helvetica;sans-serif" w:hAnsi="Arial;Helvetica;sans-serif"/>
          <w:i/>
          <w:sz w:val="20"/>
        </w:rPr>
        <w:t>Segments-Wireless</w:t>
      </w:r>
      <w:r>
        <w:rPr>
          <w:rFonts w:ascii="Times New Roman;Times;serif" w:hAnsi="Times New Roman;Times;serif"/>
          <w:sz w:val="20"/>
        </w:rPr>
        <w:t xml:space="preserve">” </w:t>
      </w:r>
      <w:r>
        <w:rPr>
          <w:rFonts w:ascii="Arial;Helvetica;sans-serif" w:hAnsi="Arial;Helvetica;sans-serif"/>
          <w:sz w:val="20"/>
        </w:rPr>
        <w:t>below. Furthermore, we and EchoStar believe the FCC’s actions and the resulting AT&amp;T Transactions and SpaceX Transactions constitute one or more force majeure events under certain of EchoStar’s and our 5G Network-related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AT&amp;T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August 25, 2025, we and EchoStar</w:t>
      </w:r>
      <w:r>
        <w:rPr>
          <w:rFonts w:ascii="Times New Roman;Times;serif" w:hAnsi="Times New Roman;Times;serif"/>
          <w:sz w:val="20"/>
        </w:rPr>
        <w:t xml:space="preserve"> </w:t>
      </w:r>
      <w:r>
        <w:rPr>
          <w:rFonts w:ascii="Arial;Helvetica;sans-serif" w:hAnsi="Arial;Helvetica;sans-serif"/>
          <w:sz w:val="20"/>
        </w:rPr>
        <w:t>and AT&amp;T Mobility II LLC, a Delaware limited liability company, and subsidiary of AT&amp;T Inc. (“AT&amp;T”) entered into a License Purchase Agreement (the “AT&amp;T License Purchase Agreement,” and the transactions contemplated thereby,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Pursuant to the terms and subject to the conditions set forth in the AT&amp;T License Purchase Agreement, we and EchoStar</w:t>
      </w:r>
      <w:r>
        <w:rPr>
          <w:rFonts w:ascii="Times New Roman;Times;serif" w:hAnsi="Times New Roman;Times;serif"/>
          <w:sz w:val="20"/>
        </w:rPr>
        <w:t xml:space="preserve"> </w:t>
      </w:r>
      <w:r>
        <w:rPr>
          <w:rFonts w:ascii="Arial;Helvetica;sans-serif" w:hAnsi="Arial;Helvetica;sans-serif"/>
          <w:sz w:val="20"/>
        </w:rPr>
        <w:t>have agreed to sell all 3.45–3.55 GHz and 600 MHz spectrum licenses (collectively, the “3.45 GHz and 600 MHz Licenses”), and to a 99-year</w:t>
      </w:r>
      <w:r>
        <w:rPr>
          <w:rFonts w:ascii="Times New Roman;Times;serif" w:hAnsi="Times New Roman;Times;serif"/>
          <w:sz w:val="20"/>
        </w:rPr>
        <w:t xml:space="preserve"> </w:t>
      </w:r>
      <w:r>
        <w:rPr>
          <w:rFonts w:ascii="Arial;Helvetica;sans-serif" w:hAnsi="Arial;Helvetica;sans-serif"/>
          <w:sz w:val="20"/>
        </w:rPr>
        <w:t>extension of existing leases for AT&amp;T’s exclusive use of certain wireless spectrum licenses in Hawaii for an aggregate purchase price of $22.650</w:t>
      </w:r>
      <w:r>
        <w:rPr>
          <w:rFonts w:ascii="Times New Roman;Times;serif" w:hAnsi="Times New Roman;Times;serif"/>
          <w:sz w:val="20"/>
        </w:rPr>
        <w:t xml:space="preserve"> </w:t>
      </w:r>
      <w:r>
        <w:rPr>
          <w:rFonts w:ascii="Arial;Helvetica;sans-serif" w:hAnsi="Arial;Helvetica;sans-serif"/>
          <w:sz w:val="20"/>
        </w:rPr>
        <w:t>billion in cash, subject to certain potential adjustments (the “Closing Purchase Price”). The AT&amp;T License Purchase Agreement also extends to AT&amp;T the right to lease certain 3.45 GHz licenses from us and EchoStar, which AT&amp;T exercised, subject to a short-term spectrum manager lease, at the end of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Closing Purchase Price is subject to downward adjustment in the event certain 3.45 GHz and 600 MHz Licenses are ultimately excluded by either us or EchoStar, or AT&amp;T, under certain circumstances. We and EchoStar are not obligated to consummate the AT&amp;T Transactions if the Closing Purchase Price, after giving effect to the aggregate amount of any such adjustments, is less than $18.6</w:t>
      </w:r>
      <w:r>
        <w:rPr>
          <w:rFonts w:ascii="Times New Roman;Times;serif" w:hAnsi="Times New Roman;Times;serif"/>
          <w:sz w:val="20"/>
        </w:rPr>
        <w:t xml:space="preserve"> </w:t>
      </w:r>
      <w:r>
        <w:rPr>
          <w:rFonts w:ascii="Arial;Helvetica;sans-serif" w:hAnsi="Arial;Helvetica;sans-serif"/>
          <w:sz w:val="20"/>
        </w:rPr>
        <w:t>billion (the “Minimum Purchase Price”). However, if the aggregate amount of such reductions would otherwise reduce the Closing Purchase Price below the Minimum Purchase Price, AT&amp;T may elect to pay the Minimum Purchase Price at closing, in which case this condition will be deemed satisfied.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AT&amp;T License Purchase Agreement provides that, at the closing of the AT&amp;T Transactions, any amounts outstanding under that certain Loan and Security Agreement, dated November 26, 2021, between DISH DBS as lender and DISH Network will be repaid in full using proceeds from the AT&amp;T Transactions to the respective holders of the DISH 2021 Intercompany Loan (the “DISH 2021 Intercompany Loan Payoff”). The DISH 2021 Intercompany Loan Payoff includes $2.844</w:t>
      </w:r>
      <w:r>
        <w:rPr>
          <w:rFonts w:ascii="Times New Roman;Times;serif" w:hAnsi="Times New Roman;Times;serif"/>
          <w:sz w:val="20"/>
        </w:rPr>
        <w:t xml:space="preserve"> </w:t>
      </w:r>
      <w:r>
        <w:rPr>
          <w:rFonts w:ascii="Arial;Helvetica;sans-serif" w:hAnsi="Arial;Helvetica;sans-serif"/>
          <w:sz w:val="20"/>
        </w:rPr>
        <w:t>billion due to DISH DBS as of September 30, 2025 for the DISH 2021 Intercompany Loan 2028 Tranche.</w:t>
      </w:r>
      <w:r>
        <w:rPr>
          <w:rFonts w:ascii="Times New Roman;Times;serif" w:hAnsi="Times New Roman;Times;serif"/>
          <w:sz w:val="20"/>
        </w:rPr>
        <w:t xml:space="preserve"> </w:t>
      </w:r>
      <w:r>
        <w:rPr>
          <w:rFonts w:ascii="Arial;Helvetica;sans-serif" w:hAnsi="Arial;Helvetica;sans-serif"/>
          <w:sz w:val="20"/>
        </w:rPr>
        <w:t>The DISH 2021 Intercompany Loan is secured by the 3.45 GHz Licenses and certain other wireless spectrum licenses. See Note 8</w:t>
      </w:r>
      <w:r>
        <w:rPr>
          <w:rFonts w:ascii="Times New Roman;Times;serif" w:hAnsi="Times New Roman;Times;serif"/>
          <w:color w:val="0A0A0A"/>
          <w:sz w:val="20"/>
        </w:rPr>
        <w:t xml:space="preserve"> </w:t>
      </w:r>
      <w:r>
        <w:rPr>
          <w:rFonts w:ascii="Arial;Helvetica;sans-serif" w:hAnsi="Arial;Helvetica;sans-serif"/>
          <w:color w:val="0A0A0A"/>
          <w:sz w:val="20"/>
        </w:rPr>
        <w:t>for definitions and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 addition, all outstanding </w:t>
      </w:r>
      <w:r>
        <w:rPr>
          <w:rFonts w:ascii="Arial;Helvetica;sans-serif" w:hAnsi="Arial;Helvetica;sans-serif"/>
          <w:b w:val="false"/>
          <w:i w:val="false"/>
          <w:caps w:val="false"/>
          <w:smallCaps w:val="false"/>
          <w:sz w:val="20"/>
        </w:rPr>
        <w:t>11 3/4%</w:t>
      </w:r>
      <w:r>
        <w:rPr>
          <w:rFonts w:ascii="Times New Roman;Times;serif" w:hAnsi="Times New Roman;Times;serif"/>
          <w:sz w:val="20"/>
        </w:rPr>
        <w:t xml:space="preserve"> </w:t>
      </w:r>
      <w:r>
        <w:rPr>
          <w:rFonts w:ascii="Arial;Helvetica;sans-serif" w:hAnsi="Arial;Helvetica;sans-serif"/>
          <w:sz w:val="20"/>
        </w:rPr>
        <w:t xml:space="preserve">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September 30, 2025, the aggregate principal amount outstanding of our </w:t>
      </w:r>
      <w:r>
        <w:rPr>
          <w:rFonts w:ascii="Arial;Helvetica;sans-serif" w:hAnsi="Arial;Helvetica;sans-serif"/>
          <w:b w:val="false"/>
          <w:i w:val="false"/>
          <w:caps w:val="false"/>
          <w:smallCaps w:val="false"/>
          <w:sz w:val="20"/>
        </w:rPr>
        <w:t>11 3/4%</w:t>
      </w:r>
      <w:r>
        <w:rPr>
          <w:rFonts w:ascii="Times New Roman;Times;serif" w:hAnsi="Times New Roman;Times;serif"/>
          <w:sz w:val="20"/>
        </w:rPr>
        <w:t xml:space="preserve"> </w:t>
      </w:r>
      <w:r>
        <w:rPr>
          <w:rFonts w:ascii="Arial;Helvetica;sans-serif" w:hAnsi="Arial;Helvetica;sans-serif"/>
          <w:sz w:val="20"/>
        </w:rPr>
        <w:t>Senior Secured Notes due November 15, 2027 was $3.5</w:t>
      </w:r>
      <w:r>
        <w:rPr>
          <w:rFonts w:ascii="Times New Roman;Times;serif" w:hAnsi="Times New Roman;Times;serif"/>
          <w:sz w:val="20"/>
        </w:rPr>
        <w:t xml:space="preserve"> </w:t>
      </w:r>
      <w:r>
        <w:rPr>
          <w:rFonts w:ascii="Arial;Helvetica;sans-serif" w:hAnsi="Arial;Helvetica;sans-serif"/>
          <w:sz w:val="20"/>
        </w:rPr>
        <w:t xml:space="preserve">billion and is secured by the 600 MHz 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AT&amp;T Transactions are subject to a number of terms and conditions set forth in the AT&amp;T License Purchase Agreement. The completion of the AT&amp;T Transactions are subject to the satisfaction or waiver of customary closing conditions, including, but not limited to, certain government approvals, including, among other things, receipt of certain consents and approvals from the FCC and the United States Department of Justice (the “DOJ”). The AT&amp;T License Purchase Agreement also provides for specified termination rights by each party in certain circumstances. The closing is expected to occur in the first half of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description of the AT&amp;T License Purchase Agreement is not complete and is qualified in its entirety by reference to the License Purchase Agreement filed as an exhibit </w:t>
      </w:r>
      <w:r>
        <w:rPr>
          <w:rFonts w:ascii="Arial;Helvetica;sans-serif" w:hAnsi="Arial;Helvetica;sans-serif"/>
          <w:sz w:val="20"/>
          <w:shd w:fill="FFFFFF" w:val="clear"/>
        </w:rPr>
        <w:t xml:space="preserve">to EchoStar’s </w:t>
      </w:r>
      <w:r>
        <w:rPr>
          <w:rFonts w:ascii="Arial;Helvetica;sans-serif" w:hAnsi="Arial;Helvetica;sans-serif"/>
          <w:sz w:val="20"/>
        </w:rPr>
        <w:t>Quarterly Report on Form 10-Q for the quarter ended September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Amendments to the Network Services Agreement</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Simultaneously with the execution of the AT&amp;T License Purchase Agreement, DISH Wireless L.L.C., our subsidiary and AT&amp;T Mobility LLC, a subsidiary of AT&amp;T, entered into the Fifth Amendment (the “Fifth Amendment”) and the Sixth Amendment (the “Sixth Amendment”) to the Network Services Agreement dated as of July 14, 2021 by and among DISH Wireless L.L.C. and AT&amp;T Mobility LLC (as amended, the “NSA”). The term of the Fifth Amendment is scheduled to begin on January 1, 2026 and extends certain terms and conditions under the NSA that were previously available only through the end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Sixth Amendment sets forth new terms including reduced rates if we meet certain minimum data thresholds while transitioning to a Hybrid MNO. Under a Hybrid MNO we operate certain portions of the network infrastructure such as the network core and billing and provisioning software, while our network partner, AT&amp;T, provides certain elements including base stations, radios, radio access network (RAN) software and spectrum frequencies. We plan to transition to a Hybrid MNO and trigger the Sixth Amendment rates as early as the fourth quarter of 2025 and AT&amp;T has agreed to provide these services to us through December 31, 2031. We are not obligated to transition to a Hybrid MNO or meet the specified data thresholds, but will not be entitled to the terms of the Sixth Amendment unless we have met such thresholds. In the fourth quarter of 2025, we gave notice to AT&amp;T that we expect to meet such thresholds and intend to trigger the Sixth Amendment and as such, we have commenced the transition to a Hybrid MNO.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term of the Sixth Amendment, we have the option to extend the Sixth Amendment up to two</w:t>
      </w:r>
      <w:r>
        <w:rPr>
          <w:rFonts w:ascii="Times New Roman;Times;serif" w:hAnsi="Times New Roman;Times;serif"/>
          <w:sz w:val="20"/>
        </w:rPr>
        <w:t xml:space="preserve"> </w:t>
      </w:r>
      <w:r>
        <w:rPr>
          <w:rFonts w:ascii="Arial;Helvetica;sans-serif" w:hAnsi="Arial;Helvetica;sans-serif"/>
          <w:sz w:val="20"/>
        </w:rPr>
        <w:t xml:space="preserve">times for additional extension terms of </w:t>
      </w:r>
      <w:r>
        <w:rPr>
          <w:rFonts w:ascii="Arial;Helvetica;sans-serif" w:hAnsi="Arial;Helvetica;sans-serif"/>
          <w:b w:val="false"/>
          <w:i w:val="false"/>
          <w:caps w:val="false"/>
          <w:smallCaps w:val="false"/>
          <w:sz w:val="20"/>
        </w:rPr>
        <w:t>2-years</w:t>
      </w:r>
      <w:r>
        <w:rPr>
          <w:rFonts w:ascii="Times New Roman;Times;serif" w:hAnsi="Times New Roman;Times;serif"/>
          <w:sz w:val="20"/>
        </w:rPr>
        <w:t xml:space="preserve"> </w:t>
      </w:r>
      <w:r>
        <w:rPr>
          <w:rFonts w:ascii="Arial;Helvetica;sans-serif" w:hAnsi="Arial;Helvetica;sans-serif"/>
          <w:sz w:val="20"/>
        </w:rPr>
        <w:t>each, until either December 31, 2033 or December 31, 2035 (each an “Extension Term”). The Fifth and Sixth amendments, in addition to any Extension Term we exercise, also contain certain minimum purchase 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SpaceX License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“SpaceX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Pursuant to the terms and subject to the conditions set forth in the SpaceX License Purchase Agreement, EchoStar agreed to sell to SpaceX its rights and licenses related to an aggregate of 50 MHz of spectrum in frequency ranges 2000–2020, 2180–2200, 1915–1920 and 1995– 2000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 xml:space="preserve">Licenses” and such spectrum, “the Spectrum”) granted by the FCC, together with certain international authorizations, filings, concessions, licenses, rights and priorities related to that spectrum and certain assets associated therewith (collectively, the “Foreign Assets”).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transfer of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 xml:space="preserve">Licenses will occur in two steps: first,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 xml:space="preserve">Licenses will be transferred by EchoStar to the Trust (the “Spectrum Transfer Closing”), and second,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consideration for the SpaceX Transactions payable at the Spectrum Acquisition Closing to EchoStar is $17</w:t>
      </w:r>
      <w:r>
        <w:rPr>
          <w:rFonts w:ascii="Times New Roman;Times;serif" w:hAnsi="Times New Roman;Times;serif"/>
          <w:sz w:val="20"/>
        </w:rPr>
        <w:t xml:space="preserve"> </w:t>
      </w:r>
      <w:r>
        <w:rPr>
          <w:rFonts w:ascii="Arial;Helvetica;sans-serif" w:hAnsi="Arial;Helvetica;sans-serif"/>
          <w:sz w:val="20"/>
        </w:rPr>
        <w:t xml:space="preserve">billion (the “Total Consideration Amount”). A portion of the Total Consideration Amount (such amount, the “Total Payoff Consideration Amount”) will be used to: (i) fully pay off all outstanding amounts owed on the EchoStar </w:t>
      </w:r>
      <w:r>
        <w:rPr>
          <w:rFonts w:ascii="Arial;Helvetica;sans-serif" w:hAnsi="Arial;Helvetica;sans-serif"/>
          <w:b w:val="false"/>
          <w:i w:val="false"/>
          <w:caps w:val="false"/>
          <w:smallCaps w:val="false"/>
          <w:sz w:val="20"/>
        </w:rPr>
        <w:t>10 3/4%</w:t>
      </w:r>
      <w:r>
        <w:rPr>
          <w:rFonts w:ascii="Times New Roman;Times;serif" w:hAnsi="Times New Roman;Times;serif"/>
          <w:sz w:val="20"/>
        </w:rPr>
        <w:t xml:space="preserve"> </w:t>
      </w:r>
      <w:r>
        <w:rPr>
          <w:rFonts w:ascii="Arial;Helvetica;sans-serif" w:hAnsi="Arial;Helvetica;sans-serif"/>
          <w:sz w:val="20"/>
        </w:rPr>
        <w:t>Senior Secured Notes due 2029 (the “</w:t>
      </w:r>
      <w:r>
        <w:rPr>
          <w:rFonts w:ascii="Arial;Helvetica;sans-serif" w:hAnsi="Arial;Helvetica;sans-serif"/>
          <w:b w:val="false"/>
          <w:i w:val="false"/>
          <w:caps w:val="false"/>
          <w:smallCaps w:val="false"/>
          <w:sz w:val="20"/>
        </w:rPr>
        <w:t>10 3/4%</w:t>
      </w:r>
      <w:r>
        <w:rPr>
          <w:rFonts w:ascii="Times New Roman;Times;serif" w:hAnsi="Times New Roman;Times;serif"/>
          <w:sz w:val="20"/>
        </w:rPr>
        <w:t xml:space="preserve"> </w:t>
      </w:r>
      <w:r>
        <w:rPr>
          <w:rFonts w:ascii="Arial;Helvetica;sans-serif" w:hAnsi="Arial;Helvetica;sans-serif"/>
          <w:sz w:val="20"/>
        </w:rPr>
        <w:t xml:space="preserve">Secured Notes”) and the EchoStar </w:t>
      </w:r>
      <w:r>
        <w:rPr>
          <w:rFonts w:ascii="Arial;Helvetica;sans-serif" w:hAnsi="Arial;Helvetica;sans-serif"/>
          <w:b w:val="false"/>
          <w:i w:val="false"/>
          <w:caps w:val="false"/>
          <w:smallCaps w:val="false"/>
          <w:sz w:val="20"/>
        </w:rPr>
        <w:t>6 3/4%</w:t>
      </w:r>
      <w:r>
        <w:rPr>
          <w:rFonts w:ascii="Times New Roman;Times;serif" w:hAnsi="Times New Roman;Times;serif"/>
          <w:sz w:val="20"/>
        </w:rPr>
        <w:t xml:space="preserve"> </w:t>
      </w:r>
      <w:r>
        <w:rPr>
          <w:rFonts w:ascii="Arial;Helvetica;sans-serif" w:hAnsi="Arial;Helvetica;sans-serif"/>
          <w:sz w:val="20"/>
        </w:rPr>
        <w:t>Senior Secured due 2030 (the “</w:t>
      </w:r>
      <w:r>
        <w:rPr>
          <w:rFonts w:ascii="Arial;Helvetica;sans-serif" w:hAnsi="Arial;Helvetica;sans-serif"/>
          <w:b w:val="false"/>
          <w:i w:val="false"/>
          <w:caps w:val="false"/>
          <w:smallCaps w:val="false"/>
          <w:sz w:val="20"/>
        </w:rPr>
        <w:t>6 3/4%</w:t>
      </w:r>
      <w:r>
        <w:rPr>
          <w:rFonts w:ascii="Times New Roman;Times;serif" w:hAnsi="Times New Roman;Times;serif"/>
          <w:sz w:val="20"/>
        </w:rPr>
        <w:t xml:space="preserve"> </w:t>
      </w:r>
      <w:r>
        <w:rPr>
          <w:rFonts w:ascii="Arial;Helvetica;sans-serif" w:hAnsi="Arial;Helvetica;sans-serif"/>
          <w:sz w:val="20"/>
        </w:rPr>
        <w:t xml:space="preserve">Secured Notes”) and (ii) settle the anticipated redemption and conversions of the EchoStar </w:t>
      </w:r>
      <w:r>
        <w:rPr>
          <w:rFonts w:ascii="Arial;Helvetica;sans-serif" w:hAnsi="Arial;Helvetica;sans-serif"/>
          <w:b w:val="false"/>
          <w:i w:val="false"/>
          <w:caps w:val="false"/>
          <w:smallCaps w:val="false"/>
          <w:sz w:val="20"/>
        </w:rPr>
        <w:t>3 7/8%</w:t>
      </w:r>
      <w:r>
        <w:rPr>
          <w:rFonts w:ascii="Times New Roman;Times;serif" w:hAnsi="Times New Roman;Times;serif"/>
          <w:sz w:val="20"/>
        </w:rPr>
        <w:t xml:space="preserve"> </w:t>
      </w:r>
      <w:r>
        <w:rPr>
          <w:rFonts w:ascii="Arial;Helvetica;sans-serif" w:hAnsi="Arial;Helvetica;sans-serif"/>
          <w:sz w:val="20"/>
        </w:rPr>
        <w:t xml:space="preserve">Convertible Secured Notes due 2030 (the “Convertible Notes due 2030” and, together with the </w:t>
      </w:r>
      <w:r>
        <w:rPr>
          <w:rFonts w:ascii="Arial;Helvetica;sans-serif" w:hAnsi="Arial;Helvetica;sans-serif"/>
          <w:b w:val="false"/>
          <w:i w:val="false"/>
          <w:caps w:val="false"/>
          <w:smallCaps w:val="false"/>
          <w:sz w:val="20"/>
        </w:rPr>
        <w:t>10 3/4%</w:t>
      </w:r>
      <w:r>
        <w:rPr>
          <w:rFonts w:ascii="Times New Roman;Times;serif" w:hAnsi="Times New Roman;Times;serif"/>
          <w:sz w:val="20"/>
        </w:rPr>
        <w:t xml:space="preserve"> </w:t>
      </w:r>
      <w:r>
        <w:rPr>
          <w:rFonts w:ascii="Arial;Helvetica;sans-serif" w:hAnsi="Arial;Helvetica;sans-serif"/>
          <w:sz w:val="20"/>
        </w:rPr>
        <w:t xml:space="preserve">Secured Notes and the </w:t>
      </w:r>
      <w:r>
        <w:rPr>
          <w:rFonts w:ascii="Arial;Helvetica;sans-serif" w:hAnsi="Arial;Helvetica;sans-serif"/>
          <w:b w:val="false"/>
          <w:i w:val="false"/>
          <w:caps w:val="false"/>
          <w:smallCaps w:val="false"/>
          <w:sz w:val="20"/>
        </w:rPr>
        <w:t>6 3/4%</w:t>
      </w:r>
      <w:r>
        <w:rPr>
          <w:rFonts w:ascii="Times New Roman;Times;serif" w:hAnsi="Times New Roman;Times;serif"/>
          <w:sz w:val="20"/>
        </w:rPr>
        <w:t xml:space="preserve"> </w:t>
      </w:r>
      <w:r>
        <w:rPr>
          <w:rFonts w:ascii="Arial;Helvetica;sans-serif" w:hAnsi="Arial;Helvetica;sans-serif"/>
          <w:sz w:val="20"/>
        </w:rPr>
        <w:t>Secured Notes, the “EchoStar Seller Notes”). The remaining amount after paying off the EchoStar Seller Notes (the “Purchase Price”) will be paid by SpaceX to EchoStar as follows: (i) up to $8.5</w:t>
      </w:r>
      <w:r>
        <w:rPr>
          <w:rFonts w:ascii="Times New Roman;Times;serif" w:hAnsi="Times New Roman;Times;serif"/>
          <w:sz w:val="20"/>
        </w:rPr>
        <w:t xml:space="preserve"> </w:t>
      </w:r>
      <w:r>
        <w:rPr>
          <w:rFonts w:ascii="Arial;Helvetica;sans-serif" w:hAnsi="Arial;Helvetica;sans-serif"/>
          <w:sz w:val="20"/>
        </w:rPr>
        <w:t>billion will be paid in SpaceX’s Class A Common Stock, valued at $212</w:t>
      </w:r>
      <w:r>
        <w:rPr>
          <w:rFonts w:ascii="Times New Roman;Times;serif" w:hAnsi="Times New Roman;Times;serif"/>
          <w:sz w:val="20"/>
        </w:rPr>
        <w:t xml:space="preserve"> </w:t>
      </w:r>
      <w:r>
        <w:rPr>
          <w:rFonts w:ascii="Arial;Helvetica;sans-serif" w:hAnsi="Arial;Helvetica;sans-serif"/>
          <w:sz w:val="20"/>
        </w:rPr>
        <w:t>per share (the “Equity Amount”); and (ii) any amount of the Purchase Price exceeding $8.5</w:t>
      </w:r>
      <w:r>
        <w:rPr>
          <w:rFonts w:ascii="Times New Roman;Times;serif" w:hAnsi="Times New Roman;Times;serif"/>
          <w:sz w:val="20"/>
        </w:rPr>
        <w:t xml:space="preserve"> </w:t>
      </w:r>
      <w:r>
        <w:rPr>
          <w:rFonts w:ascii="Arial;Helvetica;sans-serif" w:hAnsi="Arial;Helvetica;sans-serif"/>
          <w:sz w:val="20"/>
        </w:rPr>
        <w:t>billion will be paid in cash. If the Total Payoff Consideration Amount exceeds $8.5</w:t>
      </w:r>
      <w:r>
        <w:rPr>
          <w:rFonts w:ascii="Times New Roman;Times;serif" w:hAnsi="Times New Roman;Times;serif"/>
          <w:sz w:val="20"/>
        </w:rPr>
        <w:t xml:space="preserve"> </w:t>
      </w:r>
      <w:r>
        <w:rPr>
          <w:rFonts w:ascii="Arial;Helvetica;sans-serif" w:hAnsi="Arial;Helvetica;sans-serif"/>
          <w:sz w:val="20"/>
        </w:rPr>
        <w:t>billion, EchoStar may elect to pay the excess in cash, its Class A Common Stock (with respect to the Convertible Notes due 2030), or both, to maintain its receipt of the full Equity Amount. However, if EchoStar elects not to pay such excess amount, the Equity Amount will be reduced dollar-for-dollar to ensure that the combined Equity Amount and Total Payoff Consideration Amount do not exceed the Total Consideration Amount. As of September 30, 2025, the aggregate principal amount outstanding of the EchoStar Seller Notes</w:t>
      </w:r>
      <w:r>
        <w:rPr>
          <w:rFonts w:ascii="Times New Roman;Times;serif" w:hAnsi="Times New Roman;Times;serif"/>
          <w:sz w:val="20"/>
        </w:rPr>
        <w:t xml:space="preserve"> </w:t>
      </w:r>
      <w:r>
        <w:rPr>
          <w:rFonts w:ascii="Arial;Helvetica;sans-serif" w:hAnsi="Arial;Helvetica;sans-serif"/>
          <w:sz w:val="20"/>
        </w:rPr>
        <w:t>was $9.826</w:t>
      </w:r>
      <w:r>
        <w:rPr>
          <w:rFonts w:ascii="Times New Roman;Times;serif" w:hAnsi="Times New Roman;Times;serif"/>
          <w:sz w:val="20"/>
        </w:rPr>
        <w:t xml:space="preserve"> </w:t>
      </w:r>
      <w:r>
        <w:rPr>
          <w:rFonts w:ascii="Arial;Helvetica;sans-serif" w:hAnsi="Arial;Helvetica;sans-serif"/>
          <w:sz w:val="20"/>
        </w:rPr>
        <w:t xml:space="preserve">billion and is secured by the </w:t>
      </w:r>
      <w:r>
        <w:rPr>
          <w:rFonts w:ascii="Arial;Helvetica;sans-serif" w:hAnsi="Arial;Helvetica;sans-serif"/>
          <w:color w:val="222222"/>
          <w:sz w:val="20"/>
        </w:rPr>
        <w:t>AWS-4 and AWS-3</w:t>
      </w:r>
      <w:r>
        <w:rPr>
          <w:rFonts w:ascii="Times New Roman;Times;serif" w:hAnsi="Times New Roman;Times;serif"/>
          <w:sz w:val="20"/>
        </w:rPr>
        <w:t xml:space="preserve"> </w:t>
      </w:r>
      <w:r>
        <w:rPr>
          <w:rFonts w:ascii="Arial;Helvetica;sans-serif" w:hAnsi="Arial;Helvetica;sans-serif"/>
          <w:sz w:val="20"/>
        </w:rPr>
        <w:t xml:space="preserve">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Spectrum Acquisition Closing is expected to occur on or about November 30, 2027, following the expiration of the make-whole period for the EchoStar</w:t>
      </w:r>
      <w:r>
        <w:rPr>
          <w:rFonts w:ascii="Times New Roman;Times;serif" w:hAnsi="Times New Roman;Times;serif"/>
          <w:sz w:val="20"/>
        </w:rPr>
        <w:t xml:space="preserve"> </w:t>
      </w:r>
      <w:r>
        <w:rPr>
          <w:rFonts w:ascii="Arial;Helvetica;sans-serif" w:hAnsi="Arial;Helvetica;sans-serif"/>
          <w:sz w:val="20"/>
        </w:rPr>
        <w:t>Seller Notes and the date on which the Convertible Notes due 2030 become eligible for redemption. If SpaceX elects to proceed with the Spectrum Acquisition Closing prior to November 30, 2027, SpaceX will be responsible for any additional amounts required to satisfy the EchoStar</w:t>
      </w:r>
      <w:r>
        <w:rPr>
          <w:rFonts w:ascii="Times New Roman;Times;serif" w:hAnsi="Times New Roman;Times;serif"/>
          <w:sz w:val="20"/>
        </w:rPr>
        <w:t xml:space="preserve"> </w:t>
      </w:r>
      <w:r>
        <w:rPr>
          <w:rFonts w:ascii="Arial;Helvetica;sans-serif" w:hAnsi="Arial;Helvetica;sans-serif"/>
          <w:sz w:val="20"/>
        </w:rPr>
        <w:t>Seller Notes, other than additional amounts payable as a result of a default under the EchoStar</w:t>
      </w:r>
      <w:r>
        <w:rPr>
          <w:rFonts w:ascii="Times New Roman;Times;serif" w:hAnsi="Times New Roman;Times;serif"/>
          <w:sz w:val="20"/>
        </w:rPr>
        <w:t xml:space="preserve"> </w:t>
      </w:r>
      <w:r>
        <w:rPr>
          <w:rFonts w:ascii="Arial;Helvetica;sans-serif" w:hAnsi="Arial;Helvetica;sans-serif"/>
          <w:sz w:val="20"/>
        </w:rPr>
        <w:t>Seller Notes.</w:t>
      </w:r>
    </w:p>
    <w:p>
      <w:pPr>
        <w:pStyle w:val="TextBody"/>
        <w:bidi w:val="0"/>
        <w:spacing w:lineRule="atLeast" w:line="18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Additionally, in connection with the SpaceX License Purchase Agreement and the SpaceX Transactions, on September 7, 2025, SpaceX and the Trust entered into a Credit Agreement, pursuant to which SpaceX has agreed upon the Spectrum Transfer Closing to loan to the Trust (via automatically cancellable loans) amounts sufficient to make debt service payments on the EchoStar Seller Notes through at least November 30, 2027 (the “Interim Debt Service”), which will be secured on a junior lien basis by the AWS-4 and H-Block Licenses. The aggregate amount of payments for the Interim Debt Service through November 30, 2027 will equal approximately $2</w:t>
      </w:r>
      <w:r>
        <w:rPr>
          <w:rFonts w:ascii="Times New Roman;Times;serif" w:hAnsi="Times New Roman;Times;serif"/>
          <w:sz w:val="20"/>
        </w:rPr>
        <w:t xml:space="preserve"> </w:t>
      </w:r>
      <w:r>
        <w:rPr>
          <w:rFonts w:ascii="Arial;Helvetica;sans-serif" w:hAnsi="Arial;Helvetica;sans-serif"/>
          <w:sz w:val="20"/>
        </w:rPr>
        <w:t>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DOJ. The SpaceX License Purchase Agreement also provides for specified termination rights.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SpaceX License Purchase Agreement also provides for future long-term commercial agreements that will enable EchoStar to offer our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EchoStar refer existing HughesNet customers and new Starlink customers to SpaceX.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description of the SpaceX License Purchase Agreement is not complete and is qualified in its entirety by reference to the License Purchase Agreement filed as an exhibit </w:t>
      </w:r>
      <w:r>
        <w:rPr>
          <w:rFonts w:ascii="Arial;Helvetica;sans-serif" w:hAnsi="Arial;Helvetica;sans-serif"/>
          <w:sz w:val="20"/>
          <w:shd w:fill="FFFFFF" w:val="clear"/>
        </w:rPr>
        <w:t xml:space="preserve">to EchoStar’s </w:t>
      </w:r>
      <w:r>
        <w:rPr>
          <w:rFonts w:ascii="Arial;Helvetica;sans-serif" w:hAnsi="Arial;Helvetica;sans-serif"/>
          <w:sz w:val="20"/>
        </w:rPr>
        <w:t>Quarterly Report on Form 10-Q for the quarter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See Note 13 </w:t>
      </w:r>
      <w:r>
        <w:rPr>
          <w:rFonts w:ascii="Arial;Helvetica;sans-serif" w:hAnsi="Arial;Helvetica;sans-serif"/>
          <w:color w:val="0A0A0A"/>
          <w:sz w:val="20"/>
        </w:rPr>
        <w:t xml:space="preserve">for further information regarding amendments to the </w:t>
      </w:r>
      <w:r>
        <w:rPr>
          <w:rFonts w:ascii="Arial;Helvetica;sans-serif" w:hAnsi="Arial;Helvetica;sans-serif"/>
          <w:sz w:val="20"/>
        </w:rPr>
        <w:t>SpaceX License Purchase Agreement subsequent to September 30, 2025</w:t>
      </w:r>
      <w:r>
        <w:rPr>
          <w:rFonts w:ascii="Arial;Helvetica;sans-serif" w:hAnsi="Arial;Helvetica;sans-serif"/>
          <w:color w:val="0A0A0A"/>
          <w:sz w:val="20"/>
        </w:rPr>
        <w:t xml:space="preserve">. </w:t>
      </w:r>
    </w:p>
    <w:p>
      <w:pPr>
        <w:pStyle w:val="TextBody"/>
        <w:bidi w:val="0"/>
        <w:spacing w:before="0" w:after="0"/>
        <w:ind w:left="0" w:right="0" w:hanging="9"/>
        <w:jc w:val="left"/>
        <w:rPr>
          <w:spacing w:val="-2"/>
        </w:rPr>
      </w:pPr>
      <w:r>
        <w:rPr>
          <w:spacing w:val="-2"/>
        </w:rPr>
        <w:t>​</w:t>
      </w:r>
    </w:p>
    <w:p>
      <w:pPr>
        <w:pStyle w:val="TextBody"/>
        <w:bidi w:val="0"/>
        <w:spacing w:before="40" w:after="0"/>
        <w:ind w:left="0" w:right="0" w:hanging="0"/>
        <w:jc w:val="left"/>
        <w:rPr>
          <w:rFonts w:ascii="Arial;Helvetica;sans-serif" w:hAnsi="Arial;Helvetica;sans-serif"/>
          <w:b/>
          <w:color w:val="000000"/>
          <w:spacing w:val="-2"/>
          <w:sz w:val="20"/>
        </w:rPr>
      </w:pPr>
      <w:r>
        <w:rPr>
          <w:rFonts w:ascii="Arial;Helvetica;sans-serif" w:hAnsi="Arial;Helvetica;sans-serif"/>
          <w:b/>
          <w:color w:val="000000"/>
          <w:spacing w:val="-2"/>
          <w:sz w:val="20"/>
        </w:rPr>
        <w:t>Future Capital Requirements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bidi w:val="0"/>
        <w:spacing w:before="0" w:after="0"/>
        <w:ind w:left="0" w:right="0" w:hanging="9"/>
        <w:jc w:val="left"/>
        <w:rPr>
          <w:spacing w:val="-2"/>
        </w:rPr>
      </w:pPr>
      <w:r>
        <w:rPr>
          <w:spacing w:val="-2"/>
        </w:rPr>
        <w:t>​</w:t>
      </w:r>
    </w:p>
    <w:p>
      <w:pPr>
        <w:pStyle w:val="TextBody"/>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Our cash and cash equivalents and marketable investment securities totaled $1.119</w:t>
      </w:r>
      <w:r>
        <w:rPr>
          <w:rFonts w:ascii="Times New Roman;Times;serif" w:hAnsi="Times New Roman;Times;serif"/>
          <w:spacing w:val="-2"/>
          <w:sz w:val="18"/>
        </w:rPr>
        <w:t xml:space="preserve"> </w:t>
      </w:r>
      <w:r>
        <w:rPr>
          <w:rFonts w:ascii="Arial;Helvetica;sans-serif" w:hAnsi="Arial;Helvetica;sans-serif"/>
          <w:spacing w:val="-2"/>
          <w:sz w:val="20"/>
        </w:rPr>
        <w:t>billion as of September 30, 2025 (“Cash on Hand”). As reflected in the condensed consolidated financial statements as of September 30, 2025, we have $2.0</w:t>
      </w:r>
      <w:r>
        <w:rPr>
          <w:rFonts w:ascii="Times New Roman;Times;serif" w:hAnsi="Times New Roman;Times;serif"/>
          <w:spacing w:val="-2"/>
          <w:sz w:val="18"/>
        </w:rPr>
        <w:t xml:space="preserve"> </w:t>
      </w:r>
      <w:r>
        <w:rPr>
          <w:rFonts w:ascii="Arial;Helvetica;sans-serif" w:hAnsi="Arial;Helvetica;sans-serif"/>
          <w:spacing w:val="-2"/>
          <w:sz w:val="20"/>
        </w:rPr>
        <w:t>billion of debt maturing in July 2026. In addition, the re-auction of certain AWS-3 licenses previously awarded to Northstar Wireless and SNR Wireless has been designated as Auction 113 and the FCC is required to initiate Auction 113 by June 23, 2026. We cannot predict with any degree of certainty the outcome of Auction 113, however, we may be required to make a maximum payment up to approximately $2.921</w:t>
      </w:r>
      <w:r>
        <w:rPr>
          <w:rFonts w:ascii="Times New Roman;Times;serif" w:hAnsi="Times New Roman;Times;serif"/>
          <w:spacing w:val="-2"/>
          <w:sz w:val="18"/>
        </w:rPr>
        <w:t xml:space="preserve"> </w:t>
      </w:r>
      <w:r>
        <w:rPr>
          <w:rFonts w:ascii="Arial;Helvetica;sans-serif" w:hAnsi="Arial;Helvetica;sans-serif"/>
          <w:spacing w:val="-2"/>
          <w:sz w:val="20"/>
        </w:rPr>
        <w:t>billion for the Northstar Re-Auction Payment and SNR Re-Auction Payment. See Note 9</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for definitions and further information.</w:t>
      </w:r>
      <w:r>
        <w:rPr>
          <w:rFonts w:ascii="Times New Roman;Times;serif" w:hAnsi="Times New Roman;Times;serif"/>
          <w:spacing w:val="-2"/>
          <w:sz w:val="18"/>
        </w:rPr>
        <w:t xml:space="preserve"> </w:t>
      </w:r>
    </w:p>
    <w:p>
      <w:pPr>
        <w:pStyle w:val="TextBody"/>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As detailed above, upon the closing of the AT&amp;T Transactions, subject to certain conditions and adjustments, we and our parent, EchoStar, will receive $22.650</w:t>
      </w:r>
      <w:r>
        <w:rPr>
          <w:rFonts w:ascii="Times New Roman;Times;serif" w:hAnsi="Times New Roman;Times;serif"/>
          <w:sz w:val="20"/>
        </w:rPr>
        <w:t xml:space="preserve"> </w:t>
      </w:r>
      <w:r>
        <w:rPr>
          <w:rFonts w:ascii="Arial;Helvetica;sans-serif" w:hAnsi="Arial;Helvetica;sans-serif"/>
          <w:sz w:val="20"/>
        </w:rPr>
        <w:t>billion in cash. The AT&amp;T Transactions also contemplate the repayment of certain of our debt as described above in “</w:t>
      </w:r>
      <w:r>
        <w:rPr>
          <w:rFonts w:ascii="Arial;Helvetica;sans-serif" w:hAnsi="Arial;Helvetica;sans-serif"/>
          <w:i/>
          <w:sz w:val="20"/>
        </w:rPr>
        <w:t>AT&amp;T Transactions</w:t>
      </w:r>
      <w:r>
        <w:rPr>
          <w:rFonts w:ascii="Arial;Helvetica;sans-serif" w:hAnsi="Arial;Helvetica;sans-serif"/>
          <w:sz w:val="20"/>
        </w:rPr>
        <w:t>.” However, until the closing of the AT&amp;T Transactions, which are subject to receipt of government approvals and other customary conditions, funding is not deemed committed and 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and EchoStar cannot provide assurances that the AT&amp;T Transactions will be approved and consummated on the predicted timeline or at all.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condensed consolidated financial statements do not include any adjustments to the amount and classification of assets and liabilities that may be necessary should we not continue as a going concern.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Impairments and 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 xml:space="preserve">Impairment of Indefinite-Lived Intangible Assets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do not amortize indefinite-lived intangible assets, primarily consisting of FCC licenses, but test these assets for impairment annually, during the fourth quarter or more often if indicators of impairment arise. We have the option to first perform a qualitative assessment to determine whether it is necessary to perform a quantitative impairment test. However, we may elect to bypass the qualitative assessment in any period and proceed directly to performing the quantitative impairment test.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Management has the option to perform a qualitative assessment or go directly to a quantitative assessment that utilizes the market approach or the income approach to determine whether it is more likely than not that the fair value of these licenses exceeds the carrying amount. The market approach assesses the value of our spectrum using benchmarks, based on market transactions, which may include spectrum auctions and secondary market transactions, such as acquisitions of spectrum or of businesses for which spectrum values can reliably be inferred.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third quarter of 2025, as a result of the AT&amp;T Transactions and SpaceX Transactions, we began the abandonment and decommission process for certain portions of our 5G Network that will not be utilized in our Hybrid MNO business model resulting in a significant adverse change in the intended use of such assets. These developments were considered triggering events and resulted in the performance of an impairment assessment of our Wireless segment spectrum licenses. Historically, we determined that substantially all of our spectrum assets were acquired to construct a single asset and as such were treated as one unit of accounting for impairment testing. However, as certain bands of our Wireless segment spectrum licenses are being or could be sold independent of our other holdings, each band of spectrum licenses (each a “Spectrum Asset”) is now considered a separate unit of accounting. Accordingly, the carrying value of each Spectrum Asset, which consists of the original purchase price plus capitalized interest, was tested for impairment individually.</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September 30, 2025, management performed a quantitative assessment to determine whether the fair value of each Spectrum Asset exceeded its respective carrying amount. The quantitative assessment consisted of a market approach performed by a third-party and reviewed by management using benchmarks, based on market transactions, which may include spectrum auctions and secondary market transactions, either acquisitions of spectrum or of businesses for which spectrum values can be reliably inferred. Through this assessment, we concluded that the fair value was less than the carrying amount, which is inclusive of cumulative capitalized interest. This conclusion was made in connection with the preparation and review of the financial statements required to be included in this Quarterly Report on Form 10-Q. As a result, we partially impaired certain Spectrum Assets related to our Wireless segment resulting in non-cash impairment charges in “Impairments and other” on our Condensed Consolidated Statements of Operations and Comprehensive Income (Loss). None of the Spectrum Assets included in the AT&amp;T Transactions were impaired based on their respective sale price.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Impairment of Long-Lived Assets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review our long-lived assets for impairment whenever events or changes in circumstances indicate that the carrying amount of an asset may not be recoverable. For assets which are held and used in operations, the asset may not be recoverable if the carrying amount of the asset (or asset group) exceeds its undiscounted future net cash flows. When an asset fails the recoverability test, the actual impairment recognized is the difference between the carrying amount and the fair value as estimated using one of the following approaches: income, cost and/or market. In the event of an impairment, a loss is recorded in “Impairments and other” on our Condensed Consolidated Statements of Operations and Comprehensive Income (Loss) based on the amount by which the carrying amount exceeds the fair value of the long-lived asset or asset group. Assets which are to be disposed of are reported at the lower of the carrying amount or fair value less costs to sell.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Fair value, using the income approach, is determined primarily using a discounted cash flow model that uses the estimated cash flows associated with the asset or asset group under review, discounted at a rate commensurate with the risk involved. Fair value, utilizing the cost approach, is determined based on the replacement cost of the asset reduced for, among other things, depreciation and obsolescence. Fair value, utilizing the market approach, is determined by estimating the amount that a market participant would receive when selling the asset.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third quarter of 2025, as a result of the AT&amp;T Transactions and SpaceX Transactions, we began the abandonment and decommission process for certain portions of our 5G Network that will not be utilized in our Hybrid MNO business model resulting in a significant adverse change in the intended use of such assets. These developments were considered triggering events and resulted in our review for impairment of the capitalized costs of our right of use (“ROU”) lease assets associated with the 5G Network, 5G Network equipment and other assets such as software and capitalized asset retirement costs, that will not be utilized in our Hybrid MNO business</w:t>
      </w:r>
      <w:r>
        <w:rPr>
          <w:rFonts w:ascii="Arial;Helvetica;sans-serif" w:hAnsi="Arial;Helvetica;sans-serif"/>
          <w:color w:val="222222"/>
          <w:sz w:val="20"/>
          <w:shd w:fill="FFFFFF" w:val="clear"/>
        </w:rPr>
        <w:t xml:space="preserve">, </w:t>
      </w:r>
      <w:r>
        <w:rPr>
          <w:rFonts w:ascii="Arial;Helvetica;sans-serif" w:hAnsi="Arial;Helvetica;sans-serif"/>
          <w:sz w:val="20"/>
        </w:rPr>
        <w:t xml:space="preserve">as an asset or asset group. Management determined based on our undiscounted future net cash flows that the carrying amount of certain assets, individually or as part of an asset group were not recoverable. This conclusion was made in connection with the preparation and review of the financial statements required to be included in this Quarterly Report on Form 10-Q. Management then determined the fair value of certain assets or asset groups using the market approach. Due to the specialized use and company specific nature of each asset or asset group, management determined the fair values to be nominal, resulting in non-cash impairment charges in “Impairments and other” on our Condensed Consolidated Statements of Operations and Comprehensive Income (Loss).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834" w:name="Tc_bWTVi4-KRkiRfkWcBEPnnw_8_8"/>
      <w:bookmarkStart w:id="835" w:name="Tc_zqP2sHxvPkSliVz68AO-vw_8_5"/>
      <w:bookmarkStart w:id="836" w:name="Tc_wfLAq65l4ky6Sx-_YkmSiQ_8_2"/>
      <w:bookmarkStart w:id="837" w:name="Tc_RKlxHtgQa0qyjpsPAgIVrQ_8_0"/>
      <w:bookmarkStart w:id="838" w:name="Tc_kONKS3bneUq7Cf3fHXKz9Q_7_3"/>
      <w:bookmarkStart w:id="839" w:name="Tc_8qn-0xPpLkaigxtwZluvzQ_7_0"/>
      <w:bookmarkStart w:id="840" w:name="Tc_ATLcaa00pkShcvLXGMCdWg_6_3"/>
      <w:bookmarkStart w:id="841" w:name="Tc_ylcOcf4dJ0CiKWc58-Mk_g_6_0"/>
      <w:bookmarkStart w:id="842" w:name="Tc_ORlOPDMSPkamtnL6H1UVYQ_5_0"/>
      <w:bookmarkStart w:id="843" w:name="Tc_XX2fcr_gB0KBUgWgQLqo9w_4_0"/>
      <w:bookmarkStart w:id="844" w:name="Tc_KmUkfAfMqUywe5fm5Fging_3_9"/>
      <w:bookmarkStart w:id="845" w:name="Tc_PF9Nd2NOI02MStqLam4PvQ_3_8"/>
      <w:bookmarkStart w:id="846" w:name="Tc_Tnf92p7pxE-EYUtCENyFIQ_3_6"/>
      <w:bookmarkStart w:id="847" w:name="Tc_eY1VHFerrUy0_KofwOyHvw_3_5"/>
      <w:bookmarkStart w:id="848" w:name="Tc_RMKIzQyo3U2djomz5VSAgQ_3_3"/>
      <w:bookmarkStart w:id="849" w:name="Tc_o7GvRzuWQkqIURfha7LOdg_3_2"/>
      <w:bookmarkStart w:id="850" w:name="Tc_JrbP0XccQEaoTyf_vnFfBA_3_0"/>
      <w:bookmarkStart w:id="851" w:name="Tc_mb_c3TJdeEWygWImlFRUfQ_2_2"/>
      <w:bookmarkStart w:id="852" w:name="Tc_yDoKfaqgD0OZFT7ZMM2TBg_1_8"/>
      <w:bookmarkStart w:id="853" w:name="Tc_cIiT-zIQa0SjkKTPuofvsw_1_5"/>
      <w:bookmarkStart w:id="854" w:name="Tc_OQhnl75jNU-U6Dg8eXlU5g_1_2"/>
      <w:bookmarkStart w:id="855" w:name="_d91f3679_b03e_414f_ac81_e5f88a5b1b63"/>
      <w:bookmarkStart w:id="856" w:name="Tc_hRbsVGctl0mq2Gg51Lc9Dw_9_2"/>
      <w:bookmarkStart w:id="857" w:name="Tc_5SjNgWMib0iEtj-100ea0Q_9_0"/>
      <w:bookmarkStart w:id="858" w:name="Tc_d5NpwowuV0S_zdVcg7C6HA_8_0"/>
      <w:bookmarkStart w:id="859" w:name="Tc_g-7kC65sWUmmkXedwoo10g_7_0"/>
      <w:bookmarkStart w:id="860" w:name="Tc_HeLsNSe-nUSkESRvGsCQNg_6_0"/>
      <w:bookmarkStart w:id="861" w:name="Tc_9e5la4_aBUyP6lf2r8vLUw_5_0"/>
      <w:bookmarkStart w:id="862" w:name="Tc_ASRzhRgvJkSXSAmtCroxAA_4_2"/>
      <w:bookmarkStart w:id="863" w:name="Tc__GVcIDnN502TupNY9-l3wA_4_0"/>
      <w:bookmarkStart w:id="864" w:name="Tc_tv5DEGf7vEOKR571Xl-MyA_3_2"/>
      <w:bookmarkStart w:id="865" w:name="Tc_w9Hce2FoCUiTwbN4hx2P8A_2_2"/>
      <w:bookmarkStart w:id="866" w:name="Tc_H7hbEXKItkCKk-l-YVneHg_1_2"/>
      <w:bookmarkStart w:id="867" w:name="_eb98057c_df68_4a9d_b329_e589d97ad4ce"/>
      <w:bookmarkStart w:id="868" w:name="_e4e2e64f_d84f_444d_9f43_f5a920ab6a20"/>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r>
        <w:rPr>
          <w:spacing w:val="-2"/>
        </w:rPr>
        <w:t>​</w:t>
      </w:r>
    </w:p>
    <w:p>
      <w:pPr>
        <w:pStyle w:val="TextBody"/>
        <w:bidi w:val="0"/>
        <w:spacing w:before="0" w:after="0"/>
        <w:ind w:left="0" w:right="0" w:hanging="0"/>
        <w:jc w:val="left"/>
        <w:rPr/>
      </w:pPr>
      <w:r>
        <w:rPr/>
        <w:t>“</w:t>
      </w:r>
      <w:r>
        <w:rPr>
          <w:rFonts w:ascii="Arial;Helvetica;sans-serif" w:hAnsi="Arial;Helvetica;sans-serif"/>
          <w:sz w:val="20"/>
        </w:rPr>
        <w:t xml:space="preserve">Impairments and other” recorded on our Condensed Consolidated Statements of Operations and Comprehensive Income (Loss) during the three and nine months ended September 30, 2025, related to our Wireless segment, consisted of the following: </w:t>
      </w:r>
    </w:p>
    <w:tbl>
      <w:tblPr>
        <w:tblW w:w="6447" w:type="dxa"/>
        <w:jc w:val="left"/>
        <w:tblInd w:w="0" w:type="dxa"/>
        <w:tblLayout w:type="fixed"/>
        <w:tblCellMar>
          <w:top w:w="0" w:type="dxa"/>
          <w:left w:w="0" w:type="dxa"/>
          <w:bottom w:w="0" w:type="dxa"/>
          <w:right w:w="0" w:type="dxa"/>
        </w:tblCellMar>
      </w:tblPr>
      <w:tblGrid>
        <w:gridCol w:w="2431"/>
        <w:gridCol w:w="326"/>
        <w:gridCol w:w="558"/>
        <w:gridCol w:w="3132"/>
      </w:tblGrid>
      <w:tr>
        <w:trPr/>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543685" cy="175895"/>
                      <wp:effectExtent l="0" t="0" r="0" b="0"/>
                      <wp:wrapNone/>
                      <wp:docPr id="65" name="Frame65"/>
                      <a:graphic xmlns:a="http://schemas.openxmlformats.org/drawingml/2006/main">
                        <a:graphicData uri="http://schemas.microsoft.com/office/word/2010/wordprocessingShape">
                          <wps:wsp>
                            <wps:cNvSpPr txBox="1"/>
                            <wps:spPr>
                              <a:xfrm>
                                <a:off x="0" y="0"/>
                                <a:ext cx="15436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895"/>
                      <wp:effectExtent l="0" t="0" r="0" b="0"/>
                      <wp:wrapNone/>
                      <wp:docPr id="66" name="Frame6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54330" cy="175895"/>
                      <wp:effectExtent l="0" t="0" r="0" b="0"/>
                      <wp:wrapNone/>
                      <wp:docPr id="67" name="Frame67"/>
                      <a:graphic xmlns:a="http://schemas.openxmlformats.org/drawingml/2006/main">
                        <a:graphicData uri="http://schemas.microsoft.com/office/word/2010/wordprocessingShape">
                          <wps:wsp>
                            <wps:cNvSpPr txBox="1"/>
                            <wps:spPr>
                              <a:xfrm>
                                <a:off x="0" y="0"/>
                                <a:ext cx="35433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988820" cy="175895"/>
                      <wp:effectExtent l="0" t="0" r="0" b="0"/>
                      <wp:wrapNone/>
                      <wp:docPr id="68" name="Frame68"/>
                      <a:graphic xmlns:a="http://schemas.openxmlformats.org/drawingml/2006/main">
                        <a:graphicData uri="http://schemas.microsoft.com/office/word/2010/wordprocessingShape">
                          <wps:wsp>
                            <wps:cNvSpPr txBox="1"/>
                            <wps:spPr>
                              <a:xfrm>
                                <a:off x="0" y="0"/>
                                <a:ext cx="198882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6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243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left"/>
              <w:rPr/>
            </w:pPr>
            <w:r>
              <w:rPr/>
              <w:t>​</w:t>
            </w:r>
          </w:p>
        </w:tc>
        <w:tc>
          <w:tcPr>
            <w:tcW w:w="3690" w:type="dxa"/>
            <w:gridSpan w:val="2"/>
            <w:tcBorders/>
            <w:vAlign w:val="center"/>
          </w:tcPr>
          <w:p>
            <w:pPr>
              <w:pStyle w:val="TableContents"/>
              <w:bidi w:val="0"/>
              <w:spacing w:before="1" w:after="0"/>
              <w:ind w:left="0" w:right="0" w:hanging="0"/>
              <w:jc w:val="center"/>
              <w:rPr>
                <w:rFonts w:ascii="Arial;Helvetica;sans-serif" w:hAnsi="Arial;Helvetica;sans-serif"/>
                <w:b/>
                <w:sz w:val="20"/>
              </w:rPr>
            </w:pPr>
            <w:r>
              <w:rPr>
                <w:rFonts w:ascii="Arial;Helvetica;sans-serif" w:hAnsi="Arial;Helvetica;sans-serif"/>
                <w:b/>
                <w:sz w:val="20"/>
              </w:rPr>
              <w:t>For the Three and Nine Months Ended</w:t>
            </w:r>
          </w:p>
        </w:tc>
      </w:tr>
      <w:tr>
        <w:trPr/>
        <w:tc>
          <w:tcPr>
            <w:tcW w:w="243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left"/>
              <w:rPr/>
            </w:pPr>
            <w:r>
              <w:rPr/>
              <w:t>    </w:t>
            </w:r>
          </w:p>
        </w:tc>
        <w:tc>
          <w:tcPr>
            <w:tcW w:w="3690" w:type="dxa"/>
            <w:gridSpan w:val="2"/>
            <w:tcBorders>
              <w:bottom w:val="single" w:sz="12" w:space="0" w:color="000000"/>
            </w:tcBorders>
            <w:tcMar>
              <w:bottom w:w="28" w:type="dxa"/>
            </w:tcMar>
            <w:vAlign w:val="center"/>
          </w:tcPr>
          <w:p>
            <w:pPr>
              <w:pStyle w:val="TableContents"/>
              <w:bidi w:val="0"/>
              <w:spacing w:before="1" w:after="0"/>
              <w:ind w:left="0" w:right="0" w:hanging="0"/>
              <w:jc w:val="center"/>
              <w:rPr>
                <w:rFonts w:ascii="Arial;Helvetica;sans-serif" w:hAnsi="Arial;Helvetica;sans-serif"/>
                <w:b/>
                <w:sz w:val="20"/>
              </w:rPr>
            </w:pPr>
            <w:r>
              <w:rPr>
                <w:rFonts w:ascii="Arial;Helvetica;sans-serif" w:hAnsi="Arial;Helvetica;sans-serif"/>
                <w:b/>
                <w:sz w:val="20"/>
              </w:rPr>
              <w:t>September 30, 2025</w:t>
            </w:r>
          </w:p>
        </w:tc>
      </w:tr>
      <w:tr>
        <w:trPr/>
        <w:tc>
          <w:tcPr>
            <w:tcW w:w="243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left"/>
              <w:rPr/>
            </w:pPr>
            <w:r>
              <w:rPr/>
              <w:t>​</w:t>
            </w:r>
          </w:p>
        </w:tc>
        <w:tc>
          <w:tcPr>
            <w:tcW w:w="3690" w:type="dxa"/>
            <w:gridSpan w:val="2"/>
            <w:tcBorders/>
            <w:vAlign w:val="center"/>
          </w:tcPr>
          <w:p>
            <w:pPr>
              <w:pStyle w:val="TableContents"/>
              <w:bidi w:val="0"/>
              <w:spacing w:before="1" w:after="0"/>
              <w:ind w:left="0" w:right="0" w:hanging="0"/>
              <w:jc w:val="center"/>
              <w:rPr>
                <w:rFonts w:ascii="Arial;Helvetica;sans-serif" w:hAnsi="Arial;Helvetica;sans-serif"/>
                <w:sz w:val="20"/>
              </w:rPr>
            </w:pPr>
            <w:r>
              <w:rPr>
                <w:rFonts w:ascii="Arial;Helvetica;sans-serif" w:hAnsi="Arial;Helvetica;sans-serif"/>
                <w:sz w:val="20"/>
              </w:rPr>
              <w:t>(In thousands)</w:t>
            </w:r>
          </w:p>
        </w:tc>
      </w:tr>
      <w:tr>
        <w:trPr/>
        <w:tc>
          <w:tcPr>
            <w:tcW w:w="243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Prepaids and other (1)</w:t>
            </w:r>
          </w:p>
        </w:tc>
        <w:tc>
          <w:tcPr>
            <w:tcW w:w="326" w:type="dxa"/>
            <w:tcBorders/>
            <w:shd w:fill="CCEEFF" w:val="clear"/>
            <w:vAlign w:val="center"/>
          </w:tcPr>
          <w:p>
            <w:pPr>
              <w:pStyle w:val="TableContents"/>
              <w:bidi w:val="0"/>
              <w:spacing w:before="1" w:after="0"/>
              <w:ind w:left="0" w:right="0" w:hanging="0"/>
              <w:jc w:val="left"/>
              <w:rPr/>
            </w:pPr>
            <w:r>
              <w:rPr/>
              <w:t>​</w:t>
            </w:r>
          </w:p>
        </w:tc>
        <w:tc>
          <w:tcPr>
            <w:tcW w:w="558" w:type="dxa"/>
            <w:tcBorders/>
            <w:shd w:fill="CCEEFF" w:val="clear"/>
            <w:vAlign w:val="center"/>
          </w:tcPr>
          <w:p>
            <w:pPr>
              <w:pStyle w:val="TableContents"/>
              <w:bidi w:val="0"/>
              <w:spacing w:before="1" w:after="0"/>
              <w:ind w:left="0" w:right="0" w:hanging="0"/>
              <w:jc w:val="left"/>
              <w:rPr>
                <w:rFonts w:ascii="Arial;Helvetica;sans-serif" w:hAnsi="Arial;Helvetica;sans-serif"/>
                <w:sz w:val="20"/>
              </w:rPr>
            </w:pPr>
            <w:r>
              <w:rPr>
                <w:rFonts w:ascii="Arial;Helvetica;sans-serif" w:hAnsi="Arial;Helvetica;sans-serif"/>
                <w:sz w:val="20"/>
              </w:rPr>
              <w:t>$</w:t>
            </w:r>
          </w:p>
        </w:tc>
        <w:tc>
          <w:tcPr>
            <w:tcW w:w="3132" w:type="dxa"/>
            <w:tcBorders/>
            <w:shd w:fill="CCEEFF" w:val="clear"/>
            <w:vAlign w:val="center"/>
          </w:tcPr>
          <w:p>
            <w:pPr>
              <w:pStyle w:val="TableContents"/>
              <w:bidi w:val="0"/>
              <w:spacing w:before="1" w:after="0"/>
              <w:ind w:left="0" w:right="0" w:hanging="0"/>
              <w:jc w:val="right"/>
              <w:rPr>
                <w:rFonts w:ascii="Arial;Helvetica;sans-serif" w:hAnsi="Arial;Helvetica;sans-serif"/>
                <w:sz w:val="20"/>
              </w:rPr>
            </w:pPr>
            <w:r>
              <w:rPr>
                <w:rFonts w:ascii="Arial;Helvetica;sans-serif" w:hAnsi="Arial;Helvetica;sans-serif"/>
                <w:sz w:val="20"/>
              </w:rPr>
              <w:t>391,431</w:t>
            </w:r>
          </w:p>
        </w:tc>
      </w:tr>
      <w:tr>
        <w:trPr/>
        <w:tc>
          <w:tcPr>
            <w:tcW w:w="243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Regulatory authorizations</w:t>
            </w:r>
          </w:p>
        </w:tc>
        <w:tc>
          <w:tcPr>
            <w:tcW w:w="326" w:type="dxa"/>
            <w:tcBorders/>
            <w:vAlign w:val="center"/>
          </w:tcPr>
          <w:p>
            <w:pPr>
              <w:pStyle w:val="TableContents"/>
              <w:bidi w:val="0"/>
              <w:spacing w:before="1" w:after="0"/>
              <w:ind w:left="0" w:right="0" w:hanging="0"/>
              <w:jc w:val="left"/>
              <w:rPr/>
            </w:pPr>
            <w:r>
              <w:rPr/>
              <w:t>​</w:t>
            </w:r>
          </w:p>
        </w:tc>
        <w:tc>
          <w:tcPr>
            <w:tcW w:w="558" w:type="dxa"/>
            <w:tcBorders/>
            <w:vAlign w:val="center"/>
          </w:tcPr>
          <w:p>
            <w:pPr>
              <w:pStyle w:val="TableContents"/>
              <w:bidi w:val="0"/>
              <w:spacing w:before="1" w:after="0"/>
              <w:ind w:left="0" w:right="0" w:hanging="0"/>
              <w:jc w:val="left"/>
              <w:rPr/>
            </w:pPr>
            <w:r>
              <w:rPr/>
              <w:t>​</w:t>
            </w:r>
          </w:p>
        </w:tc>
        <w:tc>
          <w:tcPr>
            <w:tcW w:w="3132" w:type="dxa"/>
            <w:tcBorders/>
            <w:vAlign w:val="center"/>
          </w:tcPr>
          <w:p>
            <w:pPr>
              <w:pStyle w:val="TableContents"/>
              <w:bidi w:val="0"/>
              <w:spacing w:before="1" w:after="0"/>
              <w:ind w:left="0" w:right="0" w:hanging="0"/>
              <w:jc w:val="right"/>
              <w:rPr>
                <w:rFonts w:ascii="Arial;Helvetica;sans-serif" w:hAnsi="Arial;Helvetica;sans-serif"/>
                <w:sz w:val="20"/>
              </w:rPr>
            </w:pPr>
            <w:r>
              <w:rPr>
                <w:rFonts w:ascii="Arial;Helvetica;sans-serif" w:hAnsi="Arial;Helvetica;sans-serif"/>
                <w:sz w:val="20"/>
              </w:rPr>
              <w:t>5,195,868</w:t>
            </w:r>
          </w:p>
        </w:tc>
      </w:tr>
      <w:tr>
        <w:trPr/>
        <w:tc>
          <w:tcPr>
            <w:tcW w:w="243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Property and equipment, net</w:t>
            </w:r>
          </w:p>
        </w:tc>
        <w:tc>
          <w:tcPr>
            <w:tcW w:w="326" w:type="dxa"/>
            <w:tcBorders/>
            <w:shd w:fill="CCEEFF" w:val="clear"/>
            <w:vAlign w:val="center"/>
          </w:tcPr>
          <w:p>
            <w:pPr>
              <w:pStyle w:val="TableContents"/>
              <w:bidi w:val="0"/>
              <w:spacing w:before="1" w:after="0"/>
              <w:ind w:left="0" w:right="0" w:hanging="0"/>
              <w:jc w:val="left"/>
              <w:rPr/>
            </w:pPr>
            <w:r>
              <w:rPr/>
              <w:t>​</w:t>
            </w:r>
          </w:p>
        </w:tc>
        <w:tc>
          <w:tcPr>
            <w:tcW w:w="558" w:type="dxa"/>
            <w:tcBorders/>
            <w:shd w:fill="CCEEFF" w:val="clear"/>
            <w:vAlign w:val="center"/>
          </w:tcPr>
          <w:p>
            <w:pPr>
              <w:pStyle w:val="TableContents"/>
              <w:bidi w:val="0"/>
              <w:spacing w:before="1" w:after="0"/>
              <w:ind w:left="0" w:right="0" w:hanging="0"/>
              <w:jc w:val="left"/>
              <w:rPr/>
            </w:pPr>
            <w:r>
              <w:rPr/>
              <w:t>​</w:t>
            </w:r>
          </w:p>
        </w:tc>
        <w:tc>
          <w:tcPr>
            <w:tcW w:w="3132" w:type="dxa"/>
            <w:tcBorders/>
            <w:shd w:fill="CCEEFF" w:val="clear"/>
            <w:vAlign w:val="center"/>
          </w:tcPr>
          <w:p>
            <w:pPr>
              <w:pStyle w:val="TableContents"/>
              <w:bidi w:val="0"/>
              <w:spacing w:before="1" w:after="0"/>
              <w:ind w:left="0" w:right="0" w:hanging="0"/>
              <w:jc w:val="right"/>
              <w:rPr>
                <w:rFonts w:ascii="Arial;Helvetica;sans-serif" w:hAnsi="Arial;Helvetica;sans-serif"/>
                <w:sz w:val="20"/>
              </w:rPr>
            </w:pPr>
            <w:r>
              <w:rPr>
                <w:rFonts w:ascii="Arial;Helvetica;sans-serif" w:hAnsi="Arial;Helvetica;sans-serif"/>
                <w:sz w:val="20"/>
              </w:rPr>
              <w:t>5,487,286</w:t>
            </w:r>
          </w:p>
        </w:tc>
      </w:tr>
      <w:tr>
        <w:trPr/>
        <w:tc>
          <w:tcPr>
            <w:tcW w:w="243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Operating lease assets (1)</w:t>
            </w:r>
          </w:p>
        </w:tc>
        <w:tc>
          <w:tcPr>
            <w:tcW w:w="326" w:type="dxa"/>
            <w:tcBorders/>
            <w:vAlign w:val="center"/>
          </w:tcPr>
          <w:p>
            <w:pPr>
              <w:pStyle w:val="TableContents"/>
              <w:bidi w:val="0"/>
              <w:spacing w:before="1" w:after="0"/>
              <w:ind w:left="0" w:right="0" w:hanging="0"/>
              <w:jc w:val="left"/>
              <w:rPr/>
            </w:pPr>
            <w:r>
              <w:rPr/>
              <w:t>​</w:t>
            </w:r>
          </w:p>
        </w:tc>
        <w:tc>
          <w:tcPr>
            <w:tcW w:w="558" w:type="dxa"/>
            <w:tcBorders/>
            <w:vAlign w:val="center"/>
          </w:tcPr>
          <w:p>
            <w:pPr>
              <w:pStyle w:val="TableContents"/>
              <w:bidi w:val="0"/>
              <w:spacing w:before="1" w:after="0"/>
              <w:ind w:left="0" w:right="0" w:hanging="0"/>
              <w:jc w:val="left"/>
              <w:rPr/>
            </w:pPr>
            <w:r>
              <w:rPr/>
              <w:t>​</w:t>
            </w:r>
          </w:p>
        </w:tc>
        <w:tc>
          <w:tcPr>
            <w:tcW w:w="3132" w:type="dxa"/>
            <w:tcBorders/>
            <w:vAlign w:val="center"/>
          </w:tcPr>
          <w:p>
            <w:pPr>
              <w:pStyle w:val="TableContents"/>
              <w:bidi w:val="0"/>
              <w:spacing w:before="1" w:after="0"/>
              <w:ind w:left="0" w:right="0" w:hanging="0"/>
              <w:jc w:val="right"/>
              <w:rPr>
                <w:rFonts w:ascii="Arial;Helvetica;sans-serif" w:hAnsi="Arial;Helvetica;sans-serif"/>
                <w:sz w:val="20"/>
              </w:rPr>
            </w:pPr>
            <w:r>
              <w:rPr>
                <w:rFonts w:ascii="Arial;Helvetica;sans-serif" w:hAnsi="Arial;Helvetica;sans-serif"/>
                <w:sz w:val="20"/>
              </w:rPr>
              <w:t>4,191,133</w:t>
            </w:r>
          </w:p>
        </w:tc>
      </w:tr>
      <w:tr>
        <w:trPr/>
        <w:tc>
          <w:tcPr>
            <w:tcW w:w="243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Exit and disposal costs (2)</w:t>
            </w:r>
          </w:p>
        </w:tc>
        <w:tc>
          <w:tcPr>
            <w:tcW w:w="326" w:type="dxa"/>
            <w:tcBorders/>
            <w:shd w:fill="CCEEFF" w:val="clear"/>
            <w:vAlign w:val="center"/>
          </w:tcPr>
          <w:p>
            <w:pPr>
              <w:pStyle w:val="TableContents"/>
              <w:bidi w:val="0"/>
              <w:spacing w:before="1" w:after="0"/>
              <w:ind w:left="0" w:right="0" w:hanging="0"/>
              <w:jc w:val="left"/>
              <w:rPr/>
            </w:pPr>
            <w:r>
              <w:rPr/>
              <w:t>​</w:t>
            </w:r>
          </w:p>
        </w:tc>
        <w:tc>
          <w:tcPr>
            <w:tcW w:w="558" w:type="dxa"/>
            <w:tcBorders>
              <w:bottom w:val="single" w:sz="2" w:space="0" w:color="000000"/>
            </w:tcBorders>
            <w:shd w:fill="CCEEFF" w:val="clear"/>
            <w:tcMar>
              <w:bottom w:w="28" w:type="dxa"/>
            </w:tcMar>
            <w:vAlign w:val="center"/>
          </w:tcPr>
          <w:p>
            <w:pPr>
              <w:pStyle w:val="TableContents"/>
              <w:bidi w:val="0"/>
              <w:spacing w:before="1" w:after="0"/>
              <w:ind w:left="0" w:right="0" w:hanging="0"/>
              <w:jc w:val="left"/>
              <w:rPr/>
            </w:pPr>
            <w:r>
              <w:rPr/>
              <w:t>​</w:t>
            </w:r>
          </w:p>
        </w:tc>
        <w:tc>
          <w:tcPr>
            <w:tcW w:w="3132" w:type="dxa"/>
            <w:tcBorders>
              <w:bottom w:val="single" w:sz="2" w:space="0" w:color="000000"/>
            </w:tcBorders>
            <w:shd w:fill="CCEEFF" w:val="clear"/>
            <w:tcMar>
              <w:bottom w:w="28" w:type="dxa"/>
            </w:tcMar>
            <w:vAlign w:val="center"/>
          </w:tcPr>
          <w:p>
            <w:pPr>
              <w:pStyle w:val="TableContents"/>
              <w:bidi w:val="0"/>
              <w:spacing w:before="1" w:after="0"/>
              <w:ind w:left="0" w:right="0" w:hanging="0"/>
              <w:jc w:val="right"/>
              <w:rPr>
                <w:rFonts w:ascii="Arial;Helvetica;sans-serif" w:hAnsi="Arial;Helvetica;sans-serif"/>
                <w:sz w:val="20"/>
              </w:rPr>
            </w:pPr>
            <w:r>
              <w:rPr>
                <w:rFonts w:ascii="Arial;Helvetica;sans-serif" w:hAnsi="Arial;Helvetica;sans-serif"/>
                <w:sz w:val="20"/>
              </w:rPr>
              <w:t>770,283</w:t>
            </w:r>
          </w:p>
        </w:tc>
      </w:tr>
      <w:tr>
        <w:trPr/>
        <w:tc>
          <w:tcPr>
            <w:tcW w:w="2431" w:type="dxa"/>
            <w:tcBorders/>
            <w:vAlign w:val="center"/>
          </w:tcPr>
          <w:p>
            <w:pPr>
              <w:pStyle w:val="TableContents"/>
              <w:bidi w:val="0"/>
              <w:spacing w:before="1" w:after="0"/>
              <w:ind w:left="0" w:right="0" w:hanging="0"/>
              <w:jc w:val="left"/>
              <w:rPr>
                <w:rFonts w:ascii="Arial;Helvetica;sans-serif" w:hAnsi="Arial;Helvetica;sans-serif"/>
                <w:b/>
                <w:sz w:val="18"/>
              </w:rPr>
            </w:pPr>
            <w:r>
              <w:rPr>
                <w:rFonts w:ascii="Arial;Helvetica;sans-serif" w:hAnsi="Arial;Helvetica;sans-serif"/>
                <w:b/>
                <w:sz w:val="18"/>
              </w:rPr>
              <w:t>Impairments and other</w:t>
            </w:r>
          </w:p>
        </w:tc>
        <w:tc>
          <w:tcPr>
            <w:tcW w:w="326" w:type="dxa"/>
            <w:tcBorders/>
            <w:vAlign w:val="center"/>
          </w:tcPr>
          <w:p>
            <w:pPr>
              <w:pStyle w:val="TableContents"/>
              <w:bidi w:val="0"/>
              <w:spacing w:before="1" w:after="0"/>
              <w:ind w:left="0" w:right="0" w:hanging="0"/>
              <w:jc w:val="left"/>
              <w:rPr/>
            </w:pPr>
            <w:r>
              <w:rPr/>
              <w:t>​</w:t>
            </w:r>
          </w:p>
        </w:tc>
        <w:tc>
          <w:tcPr>
            <w:tcW w:w="558" w:type="dxa"/>
            <w:tcBorders>
              <w:bottom w:val="double" w:sz="6" w:space="0" w:color="000000"/>
            </w:tcBorders>
            <w:tcMar>
              <w:bottom w:w="28" w:type="dxa"/>
            </w:tcMar>
            <w:vAlign w:val="center"/>
          </w:tcPr>
          <w:p>
            <w:pPr>
              <w:pStyle w:val="TableContents"/>
              <w:bidi w:val="0"/>
              <w:spacing w:before="1" w:after="0"/>
              <w:ind w:left="0" w:right="0" w:hanging="0"/>
              <w:jc w:val="left"/>
              <w:rPr>
                <w:rFonts w:ascii="Arial;Helvetica;sans-serif" w:hAnsi="Arial;Helvetica;sans-serif"/>
                <w:sz w:val="20"/>
              </w:rPr>
            </w:pPr>
            <w:r>
              <w:rPr>
                <w:rFonts w:ascii="Arial;Helvetica;sans-serif" w:hAnsi="Arial;Helvetica;sans-serif"/>
                <w:sz w:val="20"/>
              </w:rPr>
              <w:t>$</w:t>
            </w:r>
          </w:p>
        </w:tc>
        <w:tc>
          <w:tcPr>
            <w:tcW w:w="3132" w:type="dxa"/>
            <w:tcBorders>
              <w:bottom w:val="double" w:sz="6" w:space="0" w:color="000000"/>
            </w:tcBorders>
            <w:tcMar>
              <w:bottom w:w="28" w:type="dxa"/>
            </w:tcMar>
            <w:vAlign w:val="center"/>
          </w:tcPr>
          <w:p>
            <w:pPr>
              <w:pStyle w:val="TableContents"/>
              <w:bidi w:val="0"/>
              <w:spacing w:before="1" w:after="0"/>
              <w:ind w:left="0" w:right="72" w:hanging="0"/>
              <w:jc w:val="right"/>
              <w:rPr>
                <w:rFonts w:ascii="Arial;Helvetica;sans-serif" w:hAnsi="Arial;Helvetica;sans-serif"/>
                <w:sz w:val="20"/>
              </w:rPr>
            </w:pPr>
            <w:r>
              <w:rPr>
                <w:rFonts w:ascii="Arial;Helvetica;sans-serif" w:hAnsi="Arial;Helvetica;sans-serif"/>
                <w:sz w:val="20"/>
              </w:rPr>
              <w:t>16,036,001</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 developments discussed above resulted in, among other things, our review of communication tower lease obligations related to our 5G Network, through which we determined we will no longer take on any new communication tower leases, including those under our take or pay arrangements with certain vendors. Consequently, all future cash flows associated with certain communication tower leases not previously commenced under the take or pay arrangements were attributed to existing leases and certain lease liabilities were remeasured and we recorded $1.284</w:t>
            </w:r>
            <w:r>
              <w:rPr>
                <w:caps w:val="false"/>
                <w:smallCaps w:val="false"/>
              </w:rPr>
              <w:t xml:space="preserve"> </w:t>
            </w:r>
            <w:r>
              <w:rPr>
                <w:rFonts w:ascii="Arial;Helvetica;sans-serif" w:hAnsi="Arial;Helvetica;sans-serif"/>
                <w:b w:val="false"/>
                <w:i w:val="false"/>
                <w:caps w:val="false"/>
                <w:smallCaps w:val="false"/>
                <w:sz w:val="20"/>
              </w:rPr>
              <w:t>billion as an ROU asset and liability</w:t>
            </w:r>
            <w:r>
              <w:rPr>
                <w:caps w:val="false"/>
                <w:smallCaps w:val="false"/>
              </w:rPr>
              <w:t xml:space="preserve"> </w:t>
            </w:r>
            <w:r>
              <w:rPr>
                <w:rFonts w:ascii="Arial;Helvetica;sans-serif" w:hAnsi="Arial;Helvetica;sans-serif"/>
                <w:b w:val="false"/>
                <w:i w:val="false"/>
                <w:caps w:val="false"/>
                <w:smallCaps w:val="false"/>
                <w:sz w:val="20"/>
              </w:rPr>
              <w:t>on our Condensed Consolidated Balance Sheets as of September 30, 2025, and the ROU assets associated with such remeasured leases were impaired in the same period. As a result, a one-time charge for variable lease payment expense resulting from this remeasurement event of $457</w:t>
            </w:r>
            <w:r>
              <w:rPr>
                <w:caps w:val="false"/>
                <w:smallCaps w:val="false"/>
              </w:rPr>
              <w:t xml:space="preserve"> </w:t>
            </w:r>
            <w:r>
              <w:rPr>
                <w:rFonts w:ascii="Arial;Helvetica;sans-serif" w:hAnsi="Arial;Helvetica;sans-serif"/>
                <w:b w:val="false"/>
                <w:i w:val="false"/>
                <w:caps w:val="false"/>
                <w:smallCaps w:val="false"/>
                <w:sz w:val="20"/>
              </w:rPr>
              <w:t>million, which is included in “Prepaids and other,” and “Operating lease assets”</w:t>
            </w:r>
            <w:r>
              <w:rPr>
                <w:caps w:val="false"/>
                <w:smallCaps w:val="false"/>
              </w:rPr>
              <w:t xml:space="preserve"> </w:t>
            </w:r>
            <w:r>
              <w:rPr>
                <w:rFonts w:ascii="Arial;Helvetica;sans-serif" w:hAnsi="Arial;Helvetica;sans-serif"/>
                <w:b w:val="false"/>
                <w:i w:val="false"/>
                <w:caps w:val="false"/>
                <w:smallCaps w:val="false"/>
                <w:sz w:val="20"/>
              </w:rPr>
              <w:t>related to our 5G Network</w:t>
            </w:r>
            <w:r>
              <w:rPr>
                <w:caps w:val="false"/>
                <w:smallCaps w:val="false"/>
              </w:rPr>
              <w:t xml:space="preserve"> </w:t>
            </w:r>
            <w:r>
              <w:rPr>
                <w:rFonts w:ascii="Arial;Helvetica;sans-serif" w:hAnsi="Arial;Helvetica;sans-serif"/>
                <w:b w:val="false"/>
                <w:i w:val="false"/>
                <w:caps w:val="false"/>
                <w:smallCaps w:val="false"/>
                <w:sz w:val="20"/>
              </w:rPr>
              <w:t>was recorded in "Impairments and other" on our Condensed Consolidated Statements of Operations and Comprehensive Income (Loss).</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Exit and disposal costs include, among other things, one-time employee termination benefits, costs to terminate contracts that are not a lease and other exit and disposal costs.</w:t>
            </w:r>
            <w:r>
              <w:rPr>
                <w:caps w:val="false"/>
                <w:smallCaps w:val="false"/>
              </w:rPr>
              <w:t xml:space="preserve"> </w:t>
            </w:r>
          </w:p>
        </w:tc>
      </w:tr>
    </w:tbl>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10"/>
        <w:jc w:val="left"/>
        <w:rPr>
          <w:rFonts w:ascii="Arial;Helvetica;sans-serif" w:hAnsi="Arial;Helvetica;sans-serif"/>
          <w:spacing w:val="-2"/>
          <w:sz w:val="20"/>
        </w:rPr>
      </w:pPr>
      <w:r>
        <w:rPr>
          <w:rFonts w:ascii="Arial;Helvetica;sans-serif" w:hAnsi="Arial;Helvetica;sans-serif"/>
          <w:spacing w:val="-2"/>
          <w:sz w:val="20"/>
        </w:rPr>
        <w:t>The following table presents the activity relating to our exit and disposal costs, included in “Other accrued expenses and liabilities” and “Long-term deferred revenue and other long-term liabilities” on our Condensed Consolidated Balance Sheets:</w:t>
      </w:r>
    </w:p>
    <w:p>
      <w:pPr>
        <w:pStyle w:val="TextBody"/>
        <w:pBdr/>
        <w:bidi w:val="0"/>
        <w:spacing w:before="0" w:after="0"/>
        <w:ind w:left="0" w:right="0" w:hanging="1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081"/>
        <w:gridCol w:w="109"/>
        <w:gridCol w:w="800"/>
        <w:gridCol w:w="2575"/>
        <w:gridCol w:w="109"/>
        <w:gridCol w:w="492"/>
        <w:gridCol w:w="1830"/>
        <w:gridCol w:w="109"/>
        <w:gridCol w:w="211"/>
        <w:gridCol w:w="889"/>
      </w:tblGrid>
      <w:tr>
        <w:trPr/>
        <w:tc>
          <w:tcPr>
            <w:tcW w:w="3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956435" cy="175260"/>
                      <wp:effectExtent l="0" t="0" r="0" b="0"/>
                      <wp:wrapNone/>
                      <wp:docPr id="69" name="Frame69"/>
                      <a:graphic xmlns:a="http://schemas.openxmlformats.org/drawingml/2006/main">
                        <a:graphicData uri="http://schemas.microsoft.com/office/word/2010/wordprocessingShape">
                          <wps:wsp>
                            <wps:cNvSpPr txBox="1"/>
                            <wps:spPr>
                              <a:xfrm>
                                <a:off x="0" y="0"/>
                                <a:ext cx="195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08000" cy="175260"/>
                      <wp:effectExtent l="0" t="0" r="0" b="0"/>
                      <wp:wrapNone/>
                      <wp:docPr id="71" name="Frame71"/>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35125" cy="175260"/>
                      <wp:effectExtent l="0" t="0" r="0" b="0"/>
                      <wp:wrapNone/>
                      <wp:docPr id="72" name="Frame72"/>
                      <a:graphic xmlns:a="http://schemas.openxmlformats.org/drawingml/2006/main">
                        <a:graphicData uri="http://schemas.microsoft.com/office/word/2010/wordprocessingShape">
                          <wps:wsp>
                            <wps:cNvSpPr txBox="1"/>
                            <wps:spPr>
                              <a:xfrm>
                                <a:off x="0" y="0"/>
                                <a:ext cx="163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9215" cy="175260"/>
                      <wp:effectExtent l="0" t="0" r="0" b="0"/>
                      <wp:wrapNone/>
                      <wp:docPr id="73" name="Frame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12420" cy="175260"/>
                      <wp:effectExtent l="0" t="0" r="0" b="0"/>
                      <wp:wrapNone/>
                      <wp:docPr id="74" name="Frame74"/>
                      <a:graphic xmlns:a="http://schemas.openxmlformats.org/drawingml/2006/main">
                        <a:graphicData uri="http://schemas.microsoft.com/office/word/2010/wordprocessingShape">
                          <wps:wsp>
                            <wps:cNvSpPr txBox="1"/>
                            <wps:spPr>
                              <a:xfrm>
                                <a:off x="0" y="0"/>
                                <a:ext cx="312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162050" cy="175260"/>
                      <wp:effectExtent l="0" t="0" r="0" b="0"/>
                      <wp:wrapNone/>
                      <wp:docPr id="75" name="Frame75"/>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9215" cy="175260"/>
                      <wp:effectExtent l="0" t="0" r="0" b="0"/>
                      <wp:wrapNone/>
                      <wp:docPr id="76" name="Frame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64515" cy="175260"/>
                      <wp:effectExtent l="0" t="0" r="0" b="0"/>
                      <wp:wrapNone/>
                      <wp:docPr id="78" name="Frame7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One-Time Employee Termination Benefits</w:t>
            </w:r>
          </w:p>
        </w:tc>
        <w:tc>
          <w:tcPr>
            <w:tcW w:w="109" w:type="dxa"/>
            <w:tcBorders/>
            <w:vAlign w:val="center"/>
          </w:tcPr>
          <w:p>
            <w:pPr>
              <w:pStyle w:val="TableContents"/>
              <w:bidi w:val="0"/>
              <w:spacing w:before="0" w:after="0"/>
              <w:ind w:left="0" w:right="0" w:hanging="0"/>
              <w:jc w:val="left"/>
              <w:rPr/>
            </w:pPr>
            <w:r>
              <w:rPr/>
              <w:t>​</w:t>
            </w:r>
          </w:p>
        </w:tc>
        <w:tc>
          <w:tcPr>
            <w:tcW w:w="2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Contract Termination Costs</w:t>
            </w:r>
          </w:p>
        </w:tc>
        <w:tc>
          <w:tcPr>
            <w:tcW w:w="109" w:type="dxa"/>
            <w:tcBorders/>
            <w:vAlign w:val="center"/>
          </w:tcPr>
          <w:p>
            <w:pPr>
              <w:pStyle w:val="TableContents"/>
              <w:bidi w:val="0"/>
              <w:spacing w:before="0" w:after="0"/>
              <w:ind w:left="0" w:right="0" w:hanging="0"/>
              <w:jc w:val="left"/>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0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015"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0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July 1, 2025</w:t>
            </w:r>
          </w:p>
        </w:tc>
        <w:tc>
          <w:tcPr>
            <w:tcW w:w="109"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57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830"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9" w:type="dxa"/>
            <w:tcBorders/>
            <w:shd w:fill="CCEEFF" w:val="clear"/>
            <w:vAlign w:val="center"/>
          </w:tcPr>
          <w:p>
            <w:pPr>
              <w:pStyle w:val="TableContents"/>
              <w:bidi w:val="0"/>
              <w:spacing w:before="0" w:after="0"/>
              <w:ind w:left="0" w:right="0" w:hanging="0"/>
              <w:jc w:val="right"/>
              <w:rPr/>
            </w:pPr>
            <w:r>
              <w:rPr/>
              <w:t>—</w:t>
            </w:r>
          </w:p>
        </w:tc>
      </w:tr>
      <w:tr>
        <w:trPr/>
        <w:tc>
          <w:tcPr>
            <w:tcW w:w="30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Costs incurred and charged to expense</w:t>
            </w:r>
          </w:p>
        </w:tc>
        <w:tc>
          <w:tcPr>
            <w:tcW w:w="109"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left"/>
              <w:rPr/>
            </w:pPr>
            <w:r>
              <w:rPr/>
              <w:t>​</w:t>
            </w:r>
          </w:p>
        </w:tc>
        <w:tc>
          <w:tcPr>
            <w:tcW w:w="257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12,463</w:t>
            </w:r>
          </w:p>
        </w:tc>
        <w:tc>
          <w:tcPr>
            <w:tcW w:w="10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left"/>
              <w:rPr/>
            </w:pPr>
            <w:r>
              <w:rPr/>
              <w:t>​</w:t>
            </w:r>
          </w:p>
        </w:tc>
        <w:tc>
          <w:tcPr>
            <w:tcW w:w="18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757,820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770,283</w:t>
            </w:r>
          </w:p>
        </w:tc>
      </w:tr>
      <w:tr>
        <w:trPr/>
        <w:tc>
          <w:tcPr>
            <w:tcW w:w="30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Costs paid or settled</w:t>
            </w:r>
          </w:p>
        </w:tc>
        <w:tc>
          <w:tcPr>
            <w:tcW w:w="109" w:type="dxa"/>
            <w:tcBorders/>
            <w:shd w:fill="CCEEFF" w:val="clear"/>
            <w:vAlign w:val="center"/>
          </w:tcPr>
          <w:p>
            <w:pPr>
              <w:pStyle w:val="TableContents"/>
              <w:bidi w:val="0"/>
              <w:spacing w:before="0" w:after="0"/>
              <w:ind w:left="0" w:right="0" w:hanging="0"/>
              <w:jc w:val="left"/>
              <w:rPr/>
            </w:pPr>
            <w:r>
              <w:rPr/>
              <w:t>​</w:t>
            </w:r>
          </w:p>
        </w:tc>
        <w:tc>
          <w:tcPr>
            <w:tcW w:w="800" w:type="dxa"/>
            <w:tcBorders/>
            <w:shd w:fill="CCEEFF" w:val="clear"/>
            <w:vAlign w:val="center"/>
          </w:tcPr>
          <w:p>
            <w:pPr>
              <w:pStyle w:val="TableContents"/>
              <w:bidi w:val="0"/>
              <w:spacing w:before="0" w:after="0"/>
              <w:ind w:left="0" w:right="0" w:hanging="0"/>
              <w:jc w:val="left"/>
              <w:rPr/>
            </w:pPr>
            <w:r>
              <w:rPr/>
              <w:t>​</w:t>
            </w:r>
          </w:p>
        </w:tc>
        <w:tc>
          <w:tcPr>
            <w:tcW w:w="257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(2,505)</w:t>
            </w:r>
          </w:p>
        </w:tc>
        <w:tc>
          <w:tcPr>
            <w:tcW w:w="109" w:type="dxa"/>
            <w:tcBorders/>
            <w:shd w:fill="CCEEFF" w:val="clear"/>
            <w:vAlign w:val="center"/>
          </w:tcPr>
          <w:p>
            <w:pPr>
              <w:pStyle w:val="TableContents"/>
              <w:bidi w:val="0"/>
              <w:spacing w:before="0" w:after="0"/>
              <w:ind w:left="0" w:right="0" w:hanging="0"/>
              <w:jc w:val="left"/>
              <w:rPr/>
            </w:pPr>
            <w:r>
              <w:rPr/>
              <w:t>​</w:t>
            </w:r>
          </w:p>
        </w:tc>
        <w:tc>
          <w:tcPr>
            <w:tcW w:w="492" w:type="dxa"/>
            <w:tcBorders/>
            <w:shd w:fill="CCEEFF" w:val="clear"/>
            <w:vAlign w:val="center"/>
          </w:tcPr>
          <w:p>
            <w:pPr>
              <w:pStyle w:val="TableContents"/>
              <w:bidi w:val="0"/>
              <w:spacing w:before="0" w:after="0"/>
              <w:ind w:left="0" w:right="0" w:hanging="0"/>
              <w:jc w:val="left"/>
              <w:rPr/>
            </w:pPr>
            <w:r>
              <w:rPr/>
              <w:t>​</w:t>
            </w:r>
          </w:p>
        </w:tc>
        <w:tc>
          <w:tcPr>
            <w:tcW w:w="183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(6,489)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(8,994)</w:t>
            </w:r>
          </w:p>
        </w:tc>
      </w:tr>
      <w:tr>
        <w:trPr/>
        <w:tc>
          <w:tcPr>
            <w:tcW w:w="30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adjustments (1)</w:t>
            </w:r>
          </w:p>
        </w:tc>
        <w:tc>
          <w:tcPr>
            <w:tcW w:w="109" w:type="dxa"/>
            <w:tcBorders/>
            <w:vAlign w:val="center"/>
          </w:tcPr>
          <w:p>
            <w:pPr>
              <w:pStyle w:val="TableContents"/>
              <w:bidi w:val="0"/>
              <w:spacing w:before="0" w:after="0"/>
              <w:ind w:left="0" w:right="0" w:hanging="0"/>
              <w:jc w:val="left"/>
              <w:rPr/>
            </w:pPr>
            <w:r>
              <w:rPr/>
              <w:t>​</w:t>
            </w:r>
          </w:p>
        </w:tc>
        <w:tc>
          <w:tcPr>
            <w:tcW w:w="800" w:type="dxa"/>
            <w:tcBorders/>
            <w:vAlign w:val="center"/>
          </w:tcPr>
          <w:p>
            <w:pPr>
              <w:pStyle w:val="TableContents"/>
              <w:bidi w:val="0"/>
              <w:spacing w:before="0" w:after="0"/>
              <w:ind w:left="0" w:right="0" w:hanging="0"/>
              <w:jc w:val="left"/>
              <w:rPr/>
            </w:pPr>
            <w:r>
              <w:rPr/>
              <w:t>​</w:t>
            </w:r>
          </w:p>
        </w:tc>
        <w:tc>
          <w:tcPr>
            <w:tcW w:w="257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92" w:type="dxa"/>
            <w:tcBorders/>
            <w:vAlign w:val="center"/>
          </w:tcPr>
          <w:p>
            <w:pPr>
              <w:pStyle w:val="TableContents"/>
              <w:bidi w:val="0"/>
              <w:spacing w:before="0" w:after="0"/>
              <w:ind w:left="0" w:right="0" w:hanging="0"/>
              <w:jc w:val="left"/>
              <w:rPr/>
            </w:pPr>
            <w:r>
              <w:rPr/>
              <w:t>​</w:t>
            </w:r>
          </w:p>
        </w:tc>
        <w:tc>
          <w:tcPr>
            <w:tcW w:w="183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48,402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48,402</w:t>
            </w:r>
          </w:p>
        </w:tc>
      </w:tr>
      <w:tr>
        <w:trPr/>
        <w:tc>
          <w:tcPr>
            <w:tcW w:w="30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Accretion</w:t>
            </w:r>
          </w:p>
        </w:tc>
        <w:tc>
          <w:tcPr>
            <w:tcW w:w="109" w:type="dxa"/>
            <w:tcBorders/>
            <w:shd w:fill="CCEEFF" w:val="clear"/>
            <w:vAlign w:val="center"/>
          </w:tcPr>
          <w:p>
            <w:pPr>
              <w:pStyle w:val="TableContents"/>
              <w:bidi w:val="0"/>
              <w:spacing w:before="0" w:after="0"/>
              <w:ind w:left="0" w:right="0" w:hanging="0"/>
              <w:jc w:val="left"/>
              <w:rPr/>
            </w:pPr>
            <w:r>
              <w:rPr/>
              <w:t>​</w:t>
            </w:r>
          </w:p>
        </w:tc>
        <w:tc>
          <w:tcPr>
            <w:tcW w:w="8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8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4,475</w:t>
            </w:r>
          </w:p>
        </w:tc>
      </w:tr>
      <w:tr>
        <w:trPr/>
        <w:tc>
          <w:tcPr>
            <w:tcW w:w="30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September 30, 2025</w:t>
            </w:r>
          </w:p>
        </w:tc>
        <w:tc>
          <w:tcPr>
            <w:tcW w:w="109" w:type="dxa"/>
            <w:tcBorders/>
            <w:vAlign w:val="center"/>
          </w:tcPr>
          <w:p>
            <w:pPr>
              <w:pStyle w:val="TableContents"/>
              <w:bidi w:val="0"/>
              <w:spacing w:before="0" w:after="0"/>
              <w:ind w:left="0" w:right="0" w:hanging="0"/>
              <w:jc w:val="left"/>
              <w:rPr/>
            </w:pPr>
            <w:r>
              <w:rPr/>
              <w:t>​</w:t>
            </w:r>
          </w:p>
        </w:tc>
        <w:tc>
          <w:tcPr>
            <w:tcW w:w="80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57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9,958</w:t>
            </w:r>
          </w:p>
        </w:tc>
        <w:tc>
          <w:tcPr>
            <w:tcW w:w="109" w:type="dxa"/>
            <w:tcBorders/>
            <w:vAlign w:val="center"/>
          </w:tcPr>
          <w:p>
            <w:pPr>
              <w:pStyle w:val="TableContents"/>
              <w:bidi w:val="0"/>
              <w:spacing w:before="0" w:after="0"/>
              <w:ind w:left="0" w:right="0" w:hanging="0"/>
              <w:jc w:val="left"/>
              <w:rPr/>
            </w:pPr>
            <w:r>
              <w:rPr/>
              <w:t>​</w:t>
            </w:r>
          </w:p>
        </w:tc>
        <w:tc>
          <w:tcPr>
            <w:tcW w:w="492"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830"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804,208</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9"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814,166</w:t>
            </w:r>
          </w:p>
        </w:tc>
      </w:tr>
    </w:tbl>
    <w:p>
      <w:pPr>
        <w:pStyle w:val="TextBody"/>
        <w:pBdr/>
        <w:bidi w:val="0"/>
        <w:spacing w:before="0" w:after="0"/>
        <w:ind w:left="0" w:right="0" w:hanging="1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92"/>
        <w:gridCol w:w="9789"/>
      </w:tblGrid>
      <w:tr>
        <w:trPr/>
        <w:tc>
          <w:tcPr>
            <w:tcW w:w="124" w:type="dxa"/>
            <w:tcBorders/>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789"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Primarily includes amounts for contracts previously accrued that are included in our exit and disposal costs as a result of the abandonment and decommission process for certain portions of our 5G Network that will not be utilized in our Hybrid MNO business model, discussed above. </w:t>
            </w:r>
          </w:p>
        </w:tc>
      </w:tr>
    </w:tbl>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Segments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currently operate two</w:t>
      </w:r>
      <w:r>
        <w:rPr>
          <w:rFonts w:ascii="Times New Roman;Times;serif" w:hAnsi="Times New Roman;Times;serif"/>
          <w:spacing w:val="-2"/>
          <w:sz w:val="18"/>
        </w:rPr>
        <w:t xml:space="preserve"> </w:t>
      </w:r>
      <w:r>
        <w:rPr>
          <w:rFonts w:ascii="Arial;Helvetica;sans-serif" w:hAnsi="Arial;Helvetica;sans-serif"/>
          <w:spacing w:val="-2"/>
          <w:sz w:val="20"/>
        </w:rPr>
        <w:t xml:space="preserve">primary business segments: (1) Pay-TV; and (2) Wireless.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i/>
          <w:spacing w:val="-2"/>
          <w:sz w:val="20"/>
        </w:rPr>
      </w:pPr>
      <w:r>
        <w:rPr>
          <w:rFonts w:ascii="Arial;Helvetica;sans-serif" w:hAnsi="Arial;Helvetica;sans-serif"/>
          <w:b/>
          <w:i/>
          <w:spacing w:val="-2"/>
          <w:sz w:val="20"/>
        </w:rPr>
        <w:t>Pay-TV</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September 30, 2025, we had 7.166</w:t>
      </w:r>
      <w:r>
        <w:rPr>
          <w:rFonts w:ascii="Times New Roman;Times;serif" w:hAnsi="Times New Roman;Times;serif"/>
          <w:spacing w:val="-2"/>
          <w:sz w:val="18"/>
        </w:rPr>
        <w:t xml:space="preserve"> </w:t>
      </w:r>
      <w:r>
        <w:rPr>
          <w:rFonts w:ascii="Arial;Helvetica;sans-serif" w:hAnsi="Arial;Helvetica;sans-serif"/>
          <w:spacing w:val="-2"/>
          <w:sz w:val="20"/>
        </w:rPr>
        <w:t>million Pay-TV subscribers in the United States, including 5.171</w:t>
      </w:r>
      <w:r>
        <w:rPr>
          <w:rFonts w:ascii="Times New Roman;Times;serif" w:hAnsi="Times New Roman;Times;serif"/>
          <w:spacing w:val="-2"/>
          <w:sz w:val="18"/>
        </w:rPr>
        <w:t xml:space="preserve"> </w:t>
      </w:r>
      <w:r>
        <w:rPr>
          <w:rFonts w:ascii="Arial;Helvetica;sans-serif" w:hAnsi="Arial;Helvetica;sans-serif"/>
          <w:spacing w:val="-2"/>
          <w:sz w:val="20"/>
        </w:rPr>
        <w:t>million DISH TV subscribers and 1.995</w:t>
      </w:r>
      <w:r>
        <w:rPr>
          <w:rFonts w:ascii="Times New Roman;Times;serif" w:hAnsi="Times New Roman;Times;serif"/>
          <w:spacing w:val="-2"/>
          <w:sz w:val="18"/>
        </w:rPr>
        <w:t xml:space="preserve"> </w:t>
      </w:r>
      <w:r>
        <w:rPr>
          <w:rFonts w:ascii="Arial;Helvetica;sans-serif" w:hAnsi="Arial;Helvetica;sans-serif"/>
          <w:spacing w:val="-2"/>
          <w:sz w:val="20"/>
        </w:rPr>
        <w:t xml:space="preserve">million SLING TV subscribers.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Wireless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September 30, 2025, we had 7.520</w:t>
      </w:r>
      <w:r>
        <w:rPr>
          <w:rFonts w:ascii="Times New Roman;Times;serif" w:hAnsi="Times New Roman;Times;serif"/>
          <w:spacing w:val="-2"/>
          <w:sz w:val="18"/>
        </w:rPr>
        <w:t xml:space="preserve"> </w:t>
      </w:r>
      <w:r>
        <w:rPr>
          <w:rFonts w:ascii="Arial;Helvetica;sans-serif" w:hAnsi="Arial;Helvetica;sans-serif"/>
          <w:spacing w:val="-2"/>
          <w:sz w:val="20"/>
        </w:rPr>
        <w:t xml:space="preserve">million Wireless subscribers.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have terminated our deployment of the nation’s first cloud-native, Open Radio Access Network (“O-RAN”) based 5G VoNR and broadband network</w:t>
      </w:r>
      <w:r>
        <w:rPr>
          <w:rFonts w:ascii="Times New Roman;Times;serif" w:hAnsi="Times New Roman;Times;serif"/>
          <w:sz w:val="20"/>
        </w:rPr>
        <w:t xml:space="preserve"> </w:t>
      </w:r>
      <w:r>
        <w:rPr>
          <w:rFonts w:ascii="Arial;Helvetica;sans-serif" w:hAnsi="Arial;Helvetica;sans-serif"/>
          <w:sz w:val="20"/>
        </w:rPr>
        <w:t>(our “5G Network”),</w:t>
      </w:r>
      <w:r>
        <w:rPr>
          <w:rFonts w:ascii="Times New Roman;Times;serif" w:hAnsi="Times New Roman;Times;serif"/>
          <w:sz w:val="20"/>
        </w:rPr>
        <w:t xml:space="preserve"> </w:t>
      </w:r>
      <w:r>
        <w:rPr>
          <w:rFonts w:ascii="Arial;Helvetica;sans-serif" w:hAnsi="Arial;Helvetica;sans-serif"/>
          <w:sz w:val="20"/>
        </w:rPr>
        <w:t>after meeting certain interim and final build-out requirements established by the FCC. We had commenced our transition to a mobile network operator (“MNO”)</w:t>
      </w:r>
      <w:r>
        <w:rPr>
          <w:rFonts w:ascii="Times New Roman;Times;serif" w:hAnsi="Times New Roman;Times;serif"/>
          <w:sz w:val="20"/>
        </w:rPr>
        <w:t xml:space="preserve"> </w:t>
      </w:r>
      <w:r>
        <w:rPr>
          <w:rFonts w:ascii="Arial;Helvetica;sans-serif" w:hAnsi="Arial;Helvetica;sans-serif"/>
          <w:sz w:val="20"/>
        </w:rPr>
        <w:t>as our 5G Network became commercially available and we grew our customer base on our 5G Network.</w:t>
      </w:r>
    </w:p>
    <w:p>
      <w:pPr>
        <w:pStyle w:val="TextBody"/>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August 2025, we began the abandonment and decommission process for certain portions of our 5G Network that will not be utilized in our Hybrid MNO business model, as defined below. We are currently operating primarily as a mobile virtual network operator (“MVNO”). Within our MVNO operations, today we depend in part on either T-Mobile or AT&amp;T to provide us with network services under the amended Master Network Services Agreement (as amended, the “MNSA”) and Network Services Agreement (as amended, the “NSA”), respectively. In light of the AT&amp;T Transactions, we are transitioning to a hybrid MNO business model under which we will continue to operate our 5G Network core and utilize AT&amp;T’s network services (“Hybrid MNO”). We are actively migrating customer traffic from our 5G Network to AT&amp;T’s network as we transition to a Hybrid MNO.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pacing w:val="-2"/>
          <w:sz w:val="20"/>
        </w:rPr>
        <w:t>We initially invested a total of over $30</w:t>
      </w:r>
      <w:r>
        <w:rPr>
          <w:rFonts w:ascii="Times New Roman;Times;serif" w:hAnsi="Times New Roman;Times;serif"/>
          <w:spacing w:val="-2"/>
          <w:sz w:val="20"/>
        </w:rPr>
        <w:t xml:space="preserve"> </w:t>
      </w:r>
      <w:r>
        <w:rPr>
          <w:rFonts w:ascii="Arial;Helvetica;sans-serif" w:hAnsi="Arial;Helvetica;sans-serif"/>
          <w:spacing w:val="-2"/>
          <w:sz w:val="20"/>
        </w:rPr>
        <w:t xml:space="preserve">billion in Wireless spectrum licenses, and a portion of these licenses were included in the Wireless Spectrum License Exchange and the Sale and Transfer of Assets to EchoStar. Prior to the impairments </w:t>
      </w:r>
      <w:r>
        <w:rPr>
          <w:rFonts w:ascii="Arial;Helvetica;sans-serif" w:hAnsi="Arial;Helvetica;sans-serif"/>
          <w:sz w:val="20"/>
        </w:rPr>
        <w:t xml:space="preserve">during the third quarter of 2025 as </w:t>
      </w:r>
      <w:r>
        <w:rPr>
          <w:rFonts w:ascii="Arial;Helvetica;sans-serif" w:hAnsi="Arial;Helvetica;sans-serif"/>
          <w:spacing w:val="-2"/>
          <w:sz w:val="20"/>
        </w:rPr>
        <w:t>detailed above, we had $24</w:t>
      </w:r>
      <w:r>
        <w:rPr>
          <w:rFonts w:ascii="Times New Roman;Times;serif" w:hAnsi="Times New Roman;Times;serif"/>
          <w:spacing w:val="-2"/>
          <w:sz w:val="20"/>
        </w:rPr>
        <w:t xml:space="preserve"> </w:t>
      </w:r>
      <w:r>
        <w:rPr>
          <w:rFonts w:ascii="Arial;Helvetica;sans-serif" w:hAnsi="Arial;Helvetica;sans-serif"/>
          <w:spacing w:val="-2"/>
          <w:sz w:val="20"/>
        </w:rPr>
        <w:t>billion of investments related to Wireless spectrum licenses, which does not include $7</w:t>
      </w:r>
      <w:r>
        <w:rPr>
          <w:rFonts w:ascii="Times New Roman;Times;serif" w:hAnsi="Times New Roman;Times;serif"/>
          <w:spacing w:val="-2"/>
          <w:sz w:val="20"/>
        </w:rPr>
        <w:t xml:space="preserve"> </w:t>
      </w:r>
      <w:r>
        <w:rPr>
          <w:rFonts w:ascii="Arial;Helvetica;sans-serif" w:hAnsi="Arial;Helvetica;sans-serif"/>
          <w:spacing w:val="-2"/>
          <w:sz w:val="20"/>
        </w:rPr>
        <w:t xml:space="preserve">billion of capitalized interest related to the carrying value of such licenses. See Note 2, Note 9 and Note 12 for further information. </w:t>
      </w:r>
      <w:r>
        <w:rPr>
          <w:rFonts w:ascii="Arial;Helvetica;sans-serif" w:hAnsi="Arial;Helvetica;sans-serif"/>
          <w:sz w:val="20"/>
        </w:rPr>
        <w:t>A significant number of these licenses are included in the AT&amp;T Transactions announced during the third quarter of 2025 as detailed above in “</w:t>
      </w:r>
      <w:r>
        <w:rPr>
          <w:rFonts w:ascii="Arial;Helvetica;sans-serif" w:hAnsi="Arial;Helvetica;sans-serif"/>
          <w:i/>
          <w:sz w:val="20"/>
        </w:rPr>
        <w:t>Recent Developments</w:t>
      </w:r>
      <w:r>
        <w:rPr>
          <w:rFonts w:ascii="Arial;Helvetica;sans-serif" w:hAnsi="Arial;Helvetica;san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Extension Request) and the nationwide 80%</w:t>
      </w:r>
      <w:r>
        <w:rPr>
          <w:rFonts w:ascii="Times New Roman;Times;serif" w:hAnsi="Times New Roman;Times;serif"/>
          <w:spacing w:val="-2"/>
          <w:sz w:val="18"/>
        </w:rPr>
        <w:t xml:space="preserve"> </w:t>
      </w:r>
      <w:r>
        <w:rPr>
          <w:rFonts w:ascii="Arial;Helvetica;sans-serif" w:hAnsi="Arial;Helvetica;sans-serif"/>
          <w:spacing w:val="-2"/>
          <w:sz w:val="20"/>
        </w:rPr>
        <w:t xml:space="preserve">coverage obligations (Commitment #1 of the Extension Request) due by December 31, 2024. Thus, pursuant to the Extension Request, the final deployment deadlines for the licenses subject to the Extension Request (listed in Appendix G) shall be extended to December 14, 2026. </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w:t>
      </w:r>
      <w:r>
        <w:rPr>
          <w:rFonts w:ascii="Arial;Helvetica;sans-serif" w:hAnsi="Arial;Helvetica;sans-serif"/>
          <w:spacing w:val="-2"/>
          <w:sz w:val="20"/>
          <w:shd w:fill="FFFFFF" w:val="clear"/>
        </w:rPr>
        <w:t xml:space="preserve">shall be further extended to June 14, 2028 since we satisfied the remaining Extension Request commitments. </w:t>
      </w:r>
      <w:r>
        <w:rPr>
          <w:rFonts w:ascii="Arial;Helvetica;sans-serif" w:hAnsi="Arial;Helvetica;sans-serif"/>
          <w:spacing w:val="-2"/>
          <w:sz w:val="20"/>
        </w:rPr>
        <w:t>See Note 9 for definitions and further information</w:t>
      </w:r>
      <w:r>
        <w:rPr>
          <w:rFonts w:ascii="Arial;Helvetica;sans-serif" w:hAnsi="Arial;Helvetica;sans-serif"/>
          <w:color w:val="0A0A0A"/>
          <w:spacing w:val="-2"/>
          <w:sz w:val="20"/>
        </w:rPr>
        <w:t xml:space="preserve">. Also </w:t>
      </w:r>
      <w:r>
        <w:rPr>
          <w:rFonts w:ascii="Arial;Helvetica;sans-serif" w:hAnsi="Arial;Helvetica;sans-serif"/>
          <w:spacing w:val="-2"/>
          <w:sz w:val="20"/>
        </w:rPr>
        <w:t>see above “</w:t>
      </w:r>
      <w:r>
        <w:rPr>
          <w:rFonts w:ascii="Arial;Helvetica;sans-serif" w:hAnsi="Arial;Helvetica;sans-serif"/>
          <w:i/>
          <w:spacing w:val="-2"/>
          <w:sz w:val="20"/>
        </w:rPr>
        <w:t>Recent Developments</w:t>
      </w:r>
      <w:r>
        <w:rPr>
          <w:rFonts w:ascii="Times New Roman;Times;serif" w:hAnsi="Times New Roman;Times;serif"/>
          <w:spacing w:val="-2"/>
          <w:sz w:val="18"/>
        </w:rPr>
        <w:t xml:space="preserve">” </w:t>
      </w:r>
      <w:r>
        <w:rPr>
          <w:rFonts w:ascii="Arial;Helvetica;sans-serif" w:hAnsi="Arial;Helvetica;sans-serif"/>
          <w:spacing w:val="-2"/>
          <w:sz w:val="20"/>
        </w:rPr>
        <w:t>for further information on the FCC’s recently completed review of our compliance with our obligations regarding our federal spectrum licenses.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We may need to raise additional capital in the future, if the AT&amp;T Transactions are not completed, which may not be available on favorable terms or at all, to, among other things, make any potential Northstar Re-Auction Payment and SNR Re-Auction Payment for the AWS-3 licenses retained by the FCC. See Note 9 for definitions and further information.</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val="false"/>
          <w:caps w:val="false"/>
          <w:smallCaps w:val="false"/>
          <w:spacing w:val="-2"/>
          <w:sz w:val="20"/>
        </w:rPr>
        <w:t>2.</w:t>
      </w:r>
      <w:r>
        <w:rPr>
          <w:rFonts w:ascii="Arial;Helvetica;sans-serif" w:hAnsi="Arial;Helvetica;sans-serif"/>
          <w:b/>
          <w:spacing w:val="-2"/>
          <w:sz w:val="20"/>
        </w:rPr>
        <w:t>Summary of Significant Accounting Policies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Basis of Presentation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Principles of Consolidation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 xml:space="preserve">Redeemable Noncontrolling Interests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SNR Wireless.</w:t>
      </w:r>
      <w:r>
        <w:rPr>
          <w:rFonts w:ascii="Times New Roman;Times;serif" w:hAnsi="Times New Roman;Times;serif"/>
          <w:spacing w:val="-2"/>
          <w:sz w:val="18"/>
        </w:rPr>
        <w:t xml:space="preserve"> </w:t>
      </w:r>
      <w:r>
        <w:rPr>
          <w:rFonts w:ascii="Arial;Helvetica;sans-serif" w:hAnsi="Arial;Helvetica;sans-serif"/>
          <w:spacing w:val="-2"/>
          <w:sz w:val="20"/>
        </w:rPr>
        <w:t>SNR Wireless LicenseCo, LLC (“SNR Wireless”) is a wholly-owned subsidiary of SNR Wireless HoldCo, LLC (“SNR HoldCo”), which is an entity owned by us and our parent’s direct wholly-owned subsidiary, EchoStar SNR Holdco L.L.C. and, prior to February 16, 2024, by us and SNR Wireless Management, LLC</w:t>
      </w:r>
      <w:r>
        <w:rPr>
          <w:rFonts w:ascii="Times New Roman;Times;serif" w:hAnsi="Times New Roman;Times;serif"/>
          <w:spacing w:val="-2"/>
          <w:sz w:val="18"/>
        </w:rPr>
        <w:t xml:space="preserve"> </w:t>
      </w:r>
      <w:r>
        <w:rPr>
          <w:rFonts w:ascii="Arial;Helvetica;sans-serif" w:hAnsi="Arial;Helvetica;sans-serif"/>
          <w:spacing w:val="-2"/>
          <w:sz w:val="20"/>
        </w:rPr>
        <w:t>(“SNR Management”). On February 16, 2024, the FCC consented to the sale of SNR Management’s ownership interests in SNR HoldCo, which was purchased by EchoStar SNR HoldCo L.L.C. for a total of approximately $442</w:t>
      </w:r>
      <w:r>
        <w:rPr>
          <w:rFonts w:ascii="Times New Roman;Times;serif" w:hAnsi="Times New Roman;Times;serif"/>
          <w:spacing w:val="-2"/>
          <w:sz w:val="18"/>
        </w:rPr>
        <w:t xml:space="preserve"> </w:t>
      </w:r>
      <w:r>
        <w:rPr>
          <w:rFonts w:ascii="Arial;Helvetica;sans-serif" w:hAnsi="Arial;Helvetica;sans-serif"/>
          <w:spacing w:val="-2"/>
          <w:sz w:val="20"/>
        </w:rPr>
        <w:t>million. This purchase resulted in the conversion of our outstanding redeemable noncontrolling interest as it related to SNR HoldCo to noncontrolling interest, which is now held by our parent, EchoStar, as of the purchase date and we continue to consolidate the SNR Entities into our financial statements.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For further information, refer to the consolidated financial statements and notes thereto included in our Annual Report on Form 10-K for the year ended December 31, 2023.</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Use of Estimates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EchoStar’s stock-based compensation plans, fair value of assets and liabilities acquired in business combinations or as part of an asset acquisition, fair value of exit or disposal cost obligations, timing and amount of asset retirement obligations,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 xml:space="preserve">Capitalized Interest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substantially all activities related to the project are suspended.</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While we were commercializing our 5G Network, the interest expense was being capitalized based on the carrying amount of the 5G Network qualifying assets and the capitalization rate applied to those assets. As the qualifying assets, including markets within certain bands of wireless spectrum licenses, were placed into service with the deployment of our 5G Network, we no longer capitalized interest on those assets. As a result of the termination of the deployment of our 5G Network, we no longer have 5G Network activities that qualify for capitalization and as such ceased capitalizing interest on the 5G Network qualifying assets at the end of August 2025.</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Capitalized interest totaled $167</w:t>
      </w:r>
      <w:r>
        <w:rPr>
          <w:rFonts w:ascii="Times New Roman;Times;serif" w:hAnsi="Times New Roman;Times;serif"/>
          <w:spacing w:val="-2"/>
          <w:sz w:val="18"/>
        </w:rPr>
        <w:t xml:space="preserve"> </w:t>
      </w:r>
      <w:r>
        <w:rPr>
          <w:rFonts w:ascii="Arial;Helvetica;sans-serif" w:hAnsi="Arial;Helvetica;sans-serif"/>
          <w:spacing w:val="-2"/>
          <w:sz w:val="20"/>
        </w:rPr>
        <w:t>million and $232</w:t>
      </w:r>
      <w:r>
        <w:rPr>
          <w:rFonts w:ascii="Times New Roman;Times;serif" w:hAnsi="Times New Roman;Times;serif"/>
          <w:spacing w:val="-2"/>
          <w:sz w:val="18"/>
        </w:rPr>
        <w:t xml:space="preserve"> </w:t>
      </w:r>
      <w:r>
        <w:rPr>
          <w:rFonts w:ascii="Arial;Helvetica;sans-serif" w:hAnsi="Arial;Helvetica;sans-serif"/>
          <w:spacing w:val="-2"/>
          <w:sz w:val="20"/>
        </w:rPr>
        <w:t>million for the three months ended September 30, 2025 and 2024, respectively, and $680</w:t>
      </w:r>
      <w:r>
        <w:rPr>
          <w:rFonts w:ascii="Times New Roman;Times;serif" w:hAnsi="Times New Roman;Times;serif"/>
          <w:spacing w:val="-2"/>
          <w:sz w:val="18"/>
        </w:rPr>
        <w:t xml:space="preserve"> </w:t>
      </w:r>
      <w:r>
        <w:rPr>
          <w:rFonts w:ascii="Arial;Helvetica;sans-serif" w:hAnsi="Arial;Helvetica;sans-serif"/>
          <w:spacing w:val="-2"/>
          <w:sz w:val="20"/>
        </w:rPr>
        <w:t>million and $684</w:t>
      </w:r>
      <w:r>
        <w:rPr>
          <w:rFonts w:ascii="Times New Roman;Times;serif" w:hAnsi="Times New Roman;Times;serif"/>
          <w:spacing w:val="-2"/>
          <w:sz w:val="18"/>
        </w:rPr>
        <w:t xml:space="preserve"> </w:t>
      </w:r>
      <w:r>
        <w:rPr>
          <w:rFonts w:ascii="Arial;Helvetica;sans-serif" w:hAnsi="Arial;Helvetica;sans-serif"/>
          <w:spacing w:val="-2"/>
          <w:sz w:val="20"/>
        </w:rPr>
        <w:t xml:space="preserve">million for the nine months ended </w:t>
      </w:r>
      <w:r>
        <w:rPr>
          <w:rFonts w:ascii="Arial;Helvetica;sans-serif" w:hAnsi="Arial;Helvetica;sans-serif"/>
          <w:color w:val="222222"/>
          <w:spacing w:val="-2"/>
          <w:sz w:val="20"/>
        </w:rPr>
        <w:t>September 30, 2025</w:t>
      </w:r>
      <w:r>
        <w:rPr>
          <w:rFonts w:ascii="Times New Roman;Times;serif" w:hAnsi="Times New Roman;Times;serif"/>
          <w:spacing w:val="-2"/>
          <w:sz w:val="18"/>
        </w:rPr>
        <w:t xml:space="preserve"> </w:t>
      </w:r>
      <w:r>
        <w:rPr>
          <w:rFonts w:ascii="Arial;Helvetica;sans-serif" w:hAnsi="Arial;Helvetica;sans-serif"/>
          <w:spacing w:val="-2"/>
          <w:sz w:val="20"/>
        </w:rPr>
        <w:t>and 2024, respectively, which reduced “Interest expense, net of amounts capitalized” on our Condensed Consolidated Statements of Operations and Comprehensive Income (Loss). As of September 30, 2025, substantially all capitalized interest has ceased, except for capitalized interest on our satellites under construction.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Fair Value Measurements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pStyle w:val="TextBody"/>
        <w:bidi w:val="0"/>
        <w:spacing w:before="0" w:after="0"/>
        <w:ind w:left="0" w:right="0" w:hanging="0"/>
        <w:jc w:val="left"/>
        <w:rPr>
          <w:spacing w:val="-2"/>
        </w:rPr>
      </w:pPr>
      <w:r>
        <w:rPr>
          <w:spacing w:val="-2"/>
        </w:rPr>
        <w:t>​</w:t>
      </w:r>
    </w:p>
    <w:tbl>
      <w:tblPr>
        <w:tblW w:w="8856" w:type="dxa"/>
        <w:jc w:val="left"/>
        <w:tblInd w:w="0" w:type="dxa"/>
        <w:tblLayout w:type="fixed"/>
        <w:tblCellMar>
          <w:top w:w="28" w:type="dxa"/>
          <w:left w:w="28" w:type="dxa"/>
          <w:bottom w:w="28" w:type="dxa"/>
          <w:right w:w="28" w:type="dxa"/>
        </w:tblCellMar>
      </w:tblPr>
      <w:tblGrid>
        <w:gridCol w:w="124"/>
        <w:gridCol w:w="256"/>
        <w:gridCol w:w="8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7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1, defined as observable inputs being quoted prices in active markets for identical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Level 3, defined as unobservable inputs for which little or no market data exists, consistent with reasonably available assumptions made by other participants therefore requiring assumptions based on the best information available.</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As of September 30, 2025 and December 31, 2024,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bookmarkStart w:id="869" w:name="_DV_M269"/>
      <w:bookmarkEnd w:id="869"/>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4 for the fair value of our marketable investment securities and derivative instruments.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Furthermore, for any sale of a financial asset in a transaction among entities under common control the difference between the net carrying value and the fair value of the assets sold, if any, is recorded as a gain or loss on the sale of the financial asset in “Other, net” within “Other Income (Expense)” on our Condensed Consolidated Statements of Operations and Comprehensive Income (Loss).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8 for the fair value of our debt.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 xml:space="preserve">Assets Recognized Related to the Costs to Obtain a Contract with a Customer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Advertising Costs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recognize advertising expense when incurred as a component of</w:t>
      </w:r>
      <w:r>
        <w:rPr>
          <w:rFonts w:ascii="Times New Roman;Times;serif" w:hAnsi="Times New Roman;Times;serif"/>
          <w:spacing w:val="-2"/>
          <w:sz w:val="18"/>
        </w:rPr>
        <w:t xml:space="preserve"> “</w:t>
      </w:r>
      <w:r>
        <w:rPr>
          <w:rFonts w:ascii="Arial;Helvetica;sans-serif" w:hAnsi="Arial;Helvetica;sans-serif"/>
          <w:spacing w:val="-2"/>
          <w:sz w:val="20"/>
        </w:rPr>
        <w:t>Selling, general and administrative expenses” on our Condensed Consolidated Statements of Operations and Comprehensive Income (Loss).</w:t>
      </w:r>
      <w:r>
        <w:rPr>
          <w:rFonts w:ascii="Times New Roman;Times;serif" w:hAnsi="Times New Roman;Times;serif"/>
          <w:spacing w:val="-2"/>
          <w:sz w:val="18"/>
        </w:rPr>
        <w:t xml:space="preserve"> </w:t>
      </w:r>
      <w:r>
        <w:rPr>
          <w:rFonts w:ascii="Arial;Helvetica;sans-serif" w:hAnsi="Arial;Helvetica;sans-serif"/>
          <w:spacing w:val="-2"/>
          <w:sz w:val="20"/>
        </w:rPr>
        <w:t>Advertising expenses totaled $168</w:t>
      </w:r>
      <w:r>
        <w:rPr>
          <w:rFonts w:ascii="Times New Roman;Times;serif" w:hAnsi="Times New Roman;Times;serif"/>
          <w:spacing w:val="-2"/>
          <w:sz w:val="18"/>
        </w:rPr>
        <w:t xml:space="preserve"> </w:t>
      </w:r>
      <w:r>
        <w:rPr>
          <w:rFonts w:ascii="Arial;Helvetica;sans-serif" w:hAnsi="Arial;Helvetica;sans-serif"/>
          <w:spacing w:val="-2"/>
          <w:sz w:val="20"/>
        </w:rPr>
        <w:t>million and $173</w:t>
      </w:r>
      <w:r>
        <w:rPr>
          <w:rFonts w:ascii="Times New Roman;Times;serif" w:hAnsi="Times New Roman;Times;serif"/>
          <w:spacing w:val="-2"/>
          <w:sz w:val="18"/>
        </w:rPr>
        <w:t xml:space="preserve"> </w:t>
      </w:r>
      <w:r>
        <w:rPr>
          <w:rFonts w:ascii="Arial;Helvetica;sans-serif" w:hAnsi="Arial;Helvetica;sans-serif"/>
          <w:spacing w:val="-2"/>
          <w:sz w:val="20"/>
        </w:rPr>
        <w:t>million for the three months ended September 30, 2025 and 2024, respectively. Advertising expenses totaled $524</w:t>
      </w:r>
      <w:r>
        <w:rPr>
          <w:rFonts w:ascii="Times New Roman;Times;serif" w:hAnsi="Times New Roman;Times;serif"/>
          <w:spacing w:val="-2"/>
          <w:sz w:val="18"/>
        </w:rPr>
        <w:t xml:space="preserve"> </w:t>
      </w:r>
      <w:r>
        <w:rPr>
          <w:rFonts w:ascii="Arial;Helvetica;sans-serif" w:hAnsi="Arial;Helvetica;sans-serif"/>
          <w:spacing w:val="-2"/>
          <w:sz w:val="20"/>
        </w:rPr>
        <w:t>million and $422</w:t>
      </w:r>
      <w:r>
        <w:rPr>
          <w:rFonts w:ascii="Times New Roman;Times;serif" w:hAnsi="Times New Roman;Times;serif"/>
          <w:spacing w:val="-2"/>
          <w:sz w:val="18"/>
        </w:rPr>
        <w:t xml:space="preserve"> </w:t>
      </w:r>
      <w:r>
        <w:rPr>
          <w:rFonts w:ascii="Arial;Helvetica;sans-serif" w:hAnsi="Arial;Helvetica;sans-serif"/>
          <w:spacing w:val="-2"/>
          <w:sz w:val="20"/>
        </w:rPr>
        <w:t xml:space="preserve">million for the nine months ended </w:t>
      </w:r>
      <w:r>
        <w:rPr>
          <w:rFonts w:ascii="Arial;Helvetica;sans-serif" w:hAnsi="Arial;Helvetica;sans-serif"/>
          <w:color w:val="222222"/>
          <w:spacing w:val="-2"/>
          <w:sz w:val="20"/>
        </w:rPr>
        <w:t>September 30, 2025</w:t>
      </w:r>
      <w:r>
        <w:rPr>
          <w:rFonts w:ascii="Times New Roman;Times;serif" w:hAnsi="Times New Roman;Times;serif"/>
          <w:spacing w:val="-2"/>
          <w:sz w:val="18"/>
        </w:rPr>
        <w:t xml:space="preserve"> </w:t>
      </w:r>
      <w:r>
        <w:rPr>
          <w:rFonts w:ascii="Arial;Helvetica;sans-serif" w:hAnsi="Arial;Helvetica;sans-serif"/>
          <w:spacing w:val="-2"/>
          <w:sz w:val="20"/>
        </w:rPr>
        <w:t>and 2024, respectively.</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Arial;Helvetica;sans-serif" w:hAnsi="Arial;Helvetica;sans-serif"/>
          <w:b/>
          <w:i/>
          <w:spacing w:val="-2"/>
          <w:sz w:val="20"/>
        </w:rPr>
      </w:pPr>
      <w:bookmarkStart w:id="870" w:name="_DV_C468"/>
      <w:bookmarkEnd w:id="870"/>
      <w:r>
        <w:rPr>
          <w:rFonts w:ascii="Arial;Helvetica;sans-serif" w:hAnsi="Arial;Helvetica;sans-serif"/>
          <w:b/>
          <w:i/>
          <w:spacing w:val="-2"/>
          <w:sz w:val="20"/>
        </w:rPr>
        <w:t>Research and Development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Research and development costs, not incurred in connection with customer requirements, are expensed as incurred</w:t>
      </w:r>
      <w:r>
        <w:rPr>
          <w:rFonts w:ascii="Times New Roman;Times;serif" w:hAnsi="Times New Roman;Times;serif"/>
          <w:spacing w:val="-2"/>
          <w:sz w:val="18"/>
        </w:rPr>
        <w:t xml:space="preserve"> </w:t>
      </w:r>
      <w:r>
        <w:rPr>
          <w:rFonts w:ascii="Arial;Helvetica;sans-serif" w:hAnsi="Arial;Helvetica;sans-serif"/>
          <w:spacing w:val="-2"/>
          <w:sz w:val="20"/>
        </w:rPr>
        <w:t>and are included as a component of “Selling, general and administrative expenses” on our Condensed Consolidated Statements of Operations and Comprehensive Income (Loss). Research and development costs totaled $6</w:t>
      </w:r>
      <w:r>
        <w:rPr>
          <w:rFonts w:ascii="Times New Roman;Times;serif" w:hAnsi="Times New Roman;Times;serif"/>
          <w:spacing w:val="-2"/>
          <w:sz w:val="18"/>
        </w:rPr>
        <w:t xml:space="preserve"> </w:t>
      </w:r>
      <w:r>
        <w:rPr>
          <w:rFonts w:ascii="Arial;Helvetica;sans-serif" w:hAnsi="Arial;Helvetica;sans-serif"/>
          <w:spacing w:val="-2"/>
          <w:sz w:val="20"/>
        </w:rPr>
        <w:t>million and $6</w:t>
      </w:r>
      <w:r>
        <w:rPr>
          <w:rFonts w:ascii="Times New Roman;Times;serif" w:hAnsi="Times New Roman;Times;serif"/>
          <w:spacing w:val="-2"/>
          <w:sz w:val="18"/>
        </w:rPr>
        <w:t xml:space="preserve"> </w:t>
      </w:r>
      <w:r>
        <w:rPr>
          <w:rFonts w:ascii="Arial;Helvetica;sans-serif" w:hAnsi="Arial;Helvetica;sans-serif"/>
          <w:spacing w:val="-2"/>
          <w:sz w:val="20"/>
        </w:rPr>
        <w:t>million for the three months ended September 30, 2025 and 2024, respectively. Research and development costs totaled $19</w:t>
      </w:r>
      <w:r>
        <w:rPr>
          <w:rFonts w:ascii="Times New Roman;Times;serif" w:hAnsi="Times New Roman;Times;serif"/>
          <w:spacing w:val="-2"/>
          <w:sz w:val="18"/>
        </w:rPr>
        <w:t xml:space="preserve"> </w:t>
      </w:r>
      <w:r>
        <w:rPr>
          <w:rFonts w:ascii="Arial;Helvetica;sans-serif" w:hAnsi="Arial;Helvetica;sans-serif"/>
          <w:spacing w:val="-2"/>
          <w:sz w:val="20"/>
        </w:rPr>
        <w:t>million and $20</w:t>
      </w:r>
      <w:r>
        <w:rPr>
          <w:rFonts w:ascii="Times New Roman;Times;serif" w:hAnsi="Times New Roman;Times;serif"/>
          <w:spacing w:val="-2"/>
          <w:sz w:val="18"/>
        </w:rPr>
        <w:t xml:space="preserve"> </w:t>
      </w:r>
      <w:r>
        <w:rPr>
          <w:rFonts w:ascii="Arial;Helvetica;sans-serif" w:hAnsi="Arial;Helvetica;sans-serif"/>
          <w:spacing w:val="-2"/>
          <w:sz w:val="20"/>
        </w:rPr>
        <w:t xml:space="preserve">million for the nine months ended </w:t>
      </w:r>
      <w:r>
        <w:rPr>
          <w:rFonts w:ascii="Arial;Helvetica;sans-serif" w:hAnsi="Arial;Helvetica;sans-serif"/>
          <w:color w:val="222222"/>
          <w:spacing w:val="-2"/>
          <w:sz w:val="20"/>
        </w:rPr>
        <w:t>September 30, 2025</w:t>
      </w:r>
      <w:r>
        <w:rPr>
          <w:rFonts w:ascii="Times New Roman;Times;serif" w:hAnsi="Times New Roman;Times;serif"/>
          <w:spacing w:val="-2"/>
          <w:sz w:val="18"/>
        </w:rPr>
        <w:t xml:space="preserve"> </w:t>
      </w:r>
      <w:r>
        <w:rPr>
          <w:rFonts w:ascii="Arial;Helvetica;sans-serif" w:hAnsi="Arial;Helvetica;sans-serif"/>
          <w:spacing w:val="-2"/>
          <w:sz w:val="20"/>
        </w:rPr>
        <w:t>and 2024, respectively.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New Accounting Pronouncements</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Not Yet Adopted</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Income Taxes</w:t>
      </w:r>
      <w:r>
        <w:rPr>
          <w:rFonts w:ascii="Arial;Helvetica;sans-serif" w:hAnsi="Arial;Helvetica;sans-serif"/>
          <w:spacing w:val="-2"/>
          <w:sz w:val="20"/>
        </w:rPr>
        <w:t xml:space="preserve">. On December 14, 2023, the FASB issued ASU 2023-9, </w:t>
      </w:r>
      <w:r>
        <w:rPr>
          <w:rFonts w:ascii="Arial;Helvetica;sans-serif" w:hAnsi="Arial;Helvetica;sans-serif"/>
          <w:i/>
          <w:spacing w:val="-2"/>
          <w:sz w:val="20"/>
        </w:rPr>
        <w:t>Income Taxes (Topic 740)</w:t>
      </w:r>
      <w:r>
        <w:rPr>
          <w:rFonts w:ascii="Arial;Helvetica;sans-serif" w:hAnsi="Arial;Helvetica;sans-serif"/>
          <w:spacing w:val="-2"/>
          <w:sz w:val="20"/>
        </w:rPr>
        <w:t xml:space="preserve">: </w:t>
      </w:r>
      <w:r>
        <w:rPr>
          <w:rFonts w:ascii="Arial;Helvetica;sans-serif" w:hAnsi="Arial;Helvetica;sans-serif"/>
          <w:i/>
          <w:spacing w:val="-2"/>
          <w:sz w:val="20"/>
        </w:rPr>
        <w:t>Improvements to Income Tax Disclosures</w:t>
      </w:r>
      <w:r>
        <w:rPr>
          <w:rFonts w:ascii="Times New Roman;Times;serif" w:hAnsi="Times New Roman;Times;serif"/>
          <w:spacing w:val="-2"/>
          <w:sz w:val="18"/>
        </w:rPr>
        <w:t xml:space="preserve"> </w:t>
      </w:r>
      <w:r>
        <w:rPr>
          <w:rFonts w:ascii="Arial;Helvetica;sans-serif" w:hAnsi="Arial;Helvetica;sans-serif"/>
          <w:spacing w:val="-2"/>
          <w:sz w:val="20"/>
        </w:rPr>
        <w:t>(“ASU 2023-09”), which will enhance income tax disclosures. ASU 2023-09 requires among other items disaggregated information in a reporting entity’s rate reconciliation table, clarification on uncertain tax positions and the related financial statement impact as well as information on income taxes paid on a disaggregated basis. This standard is effective for fiscal years beginning after December 15, 2024. We will adopt the standard when it becomes effective for us beginning in our fiscal year 2025 annual financial statements, and the adoption of the standard will impact certain of our income tax disclosures.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Disaggregation of Income Statement Expenses</w:t>
      </w:r>
      <w:r>
        <w:rPr>
          <w:rFonts w:ascii="Arial;Helvetica;sans-serif" w:hAnsi="Arial;Helvetica;sans-serif"/>
          <w:sz w:val="20"/>
        </w:rPr>
        <w:t xml:space="preserve">. On November 5, 2024, the FASB issued ASU 2024-03, </w:t>
      </w:r>
      <w:r>
        <w:rPr>
          <w:rFonts w:ascii="Arial;Helvetica;sans-serif" w:hAnsi="Arial;Helvetica;sans-serif"/>
          <w:i/>
          <w:sz w:val="20"/>
        </w:rPr>
        <w:t>Income Statement – Reporting Comprehensive Income – Expense Disaggregation Disclosures (Subtopic 220-40)</w:t>
      </w:r>
      <w:r>
        <w:rPr>
          <w:rFonts w:ascii="Times New Roman;Times;serif" w:hAnsi="Times New Roman;Times;serif"/>
          <w:sz w:val="20"/>
        </w:rPr>
        <w:t xml:space="preserve"> </w:t>
      </w:r>
      <w:r>
        <w:rPr>
          <w:rFonts w:ascii="Arial;Helvetica;sans-serif" w:hAnsi="Arial;Helvetica;sans-serif"/>
          <w:sz w:val="20"/>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Financial Instruments – Credit Losses.</w:t>
      </w:r>
      <w:r>
        <w:rPr>
          <w:rFonts w:ascii="Times New Roman;Times;serif" w:hAnsi="Times New Roman;Times;serif"/>
          <w:sz w:val="20"/>
        </w:rPr>
        <w:t xml:space="preserve"> </w:t>
      </w:r>
      <w:r>
        <w:rPr>
          <w:rFonts w:ascii="Arial;Helvetica;sans-serif" w:hAnsi="Arial;Helvetica;sans-serif"/>
          <w:sz w:val="20"/>
        </w:rPr>
        <w:t xml:space="preserve">On July 30, 2025, the FASB issued ASU 2025-05, </w:t>
      </w:r>
      <w:r>
        <w:rPr>
          <w:rFonts w:ascii="Arial;Helvetica;sans-serif" w:hAnsi="Arial;Helvetica;sans-serif"/>
          <w:i/>
          <w:sz w:val="20"/>
        </w:rPr>
        <w:t>Financial Instruments – Credit Losses (Topic 326): Measurement of Credit Losses for Accounts Receivable and Contract Assets</w:t>
      </w:r>
      <w:r>
        <w:rPr>
          <w:rFonts w:ascii="Times New Roman;Times;serif" w:hAnsi="Times New Roman;Times;serif"/>
          <w:sz w:val="20"/>
        </w:rPr>
        <w:t xml:space="preserve"> </w:t>
      </w:r>
      <w:r>
        <w:rPr>
          <w:rFonts w:ascii="Arial;Helvetica;sans-serif" w:hAnsi="Arial;Helvetica;sans-serif"/>
          <w:sz w:val="20"/>
        </w:rPr>
        <w:t xml:space="preserve">(“ASU 2025-05”), which allows entities to elect a practical expedient to assume current conditions as of the balance sheet date do not change for the remaining life of current accounts receivable and current contract assets arising from transactions under Topic 606 on revenue from contracts with customers. This standard is effective for fiscal years beginning after December 15, 2025. Early adoption is permitted. We plan to adopt the standard in our 2025 annual financial statements, and we expect the adoption of the standard will have an immaterial impact on our allowance for credit losses.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Intangibles – Goodwill and Other – Internal-Use Software.</w:t>
      </w:r>
      <w:r>
        <w:rPr>
          <w:rFonts w:ascii="Times New Roman;Times;serif" w:hAnsi="Times New Roman;Times;serif"/>
          <w:sz w:val="20"/>
        </w:rPr>
        <w:t xml:space="preserve"> </w:t>
      </w:r>
      <w:r>
        <w:rPr>
          <w:rFonts w:ascii="Arial;Helvetica;sans-serif" w:hAnsi="Arial;Helvetica;sans-serif"/>
          <w:sz w:val="20"/>
        </w:rPr>
        <w:t xml:space="preserve">On September 18, 2025, the FASB issued ASU 2025-06, </w:t>
      </w:r>
      <w:r>
        <w:rPr>
          <w:rFonts w:ascii="Arial;Helvetica;sans-serif" w:hAnsi="Arial;Helvetica;sans-serif"/>
          <w:i/>
          <w:sz w:val="20"/>
        </w:rPr>
        <w:t>Intangibles – Goodwill and Other – Internal-Use Software (Subtopic 350-40): Targeted Improvements to the Accounting for Internal-Use Software</w:t>
      </w:r>
      <w:r>
        <w:rPr>
          <w:rFonts w:ascii="Times New Roman;Times;serif" w:hAnsi="Times New Roman;Times;serif"/>
          <w:sz w:val="20"/>
        </w:rPr>
        <w:t xml:space="preserve"> </w:t>
      </w:r>
      <w:r>
        <w:rPr>
          <w:rFonts w:ascii="Arial;Helvetica;sans-serif" w:hAnsi="Arial;Helvetica;sans-serif"/>
          <w:sz w:val="20"/>
        </w:rPr>
        <w:t>(“ASU 2025-06”), which removes the references to the sequential software development stages from the guidance in Subtopic 350-40. 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and related disclosures.</w:t>
      </w:r>
      <w:r>
        <w:rPr>
          <w:rFonts w:ascii="Times New Roman;Times;serif" w:hAnsi="Times New Roman;Times;serif"/>
          <w:sz w:val="20"/>
        </w:rPr>
        <w:t xml:space="preser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bookmarkStart w:id="871" w:name="Tc_v0QFVUUpHE6grcWRx7eg7Q_15_3"/>
      <w:bookmarkStart w:id="872" w:name="Tc_q1_zw3cIbUCaw-9-7BAsxA_15_0"/>
      <w:bookmarkStart w:id="873" w:name="Tc_K6J5mEPNU0G0PX3DuCC1sg_14_3"/>
      <w:bookmarkStart w:id="874" w:name="Tc_RWsMYADtZkmCLGAaXoYTEw_14_0"/>
      <w:bookmarkStart w:id="875" w:name="Tc_PUIUB9Shk0SFskN6e9ICLA_13_3"/>
      <w:bookmarkStart w:id="876" w:name="Tc_5lUE_OlSEE2pE2nsgx1wNg_13_0"/>
      <w:bookmarkStart w:id="877" w:name="Tc_EOPXKgZ7mkiQtT9ZBl_OqQ_12_6"/>
      <w:bookmarkStart w:id="878" w:name="Tc_71egyLp0SkKN5XKzoBWeCg_12_0"/>
      <w:bookmarkStart w:id="879" w:name="Tc_WZ0J3wP0AUCtkWRFZf5MYw_11_0"/>
      <w:bookmarkStart w:id="880" w:name="Tc_pNVASvHkxEeRCS3bwTsSYw_10_6"/>
      <w:bookmarkStart w:id="881" w:name="Tc_g-ga1SjNl06GuEdTcVtDbw_10_0"/>
      <w:bookmarkStart w:id="882" w:name="Tc__rV7SzrGREC-Q1xhc7wDBA_9_0"/>
      <w:bookmarkStart w:id="883" w:name="Tc_mAbVcv93mk-P-quZIAKqXQ_8_0"/>
      <w:bookmarkStart w:id="884" w:name="Tc_xIipCOJCG0CKxy3mxJLZvA_7_0"/>
      <w:bookmarkStart w:id="885" w:name="Tc_2WeEP3kOMUuTbLaBu0_iPw_6_0"/>
      <w:bookmarkStart w:id="886" w:name="Tc_T63GtLOm5EG1vb1mg9WeyA_5_5"/>
      <w:bookmarkStart w:id="887" w:name="Tc_CUV9eW1fIEiIgOn_okc-gw_5_2"/>
      <w:bookmarkStart w:id="888" w:name="Tc_87X7wRUg9kSn-NyURExMpA_5_0"/>
      <w:bookmarkStart w:id="889" w:name="Tc_6ZkK7rJIlU6kziq3uf1h3w_4_2"/>
      <w:bookmarkStart w:id="890" w:name="Tc_zqy5GGLuLUiIHeT1igsPhg_3_5"/>
      <w:bookmarkStart w:id="891" w:name="Tc_GmFQXhq2o0iFTCkMoqc9ng_3_2"/>
      <w:bookmarkStart w:id="892" w:name="Tc_56fuBAF6UE-K46kyHPnpFQ_2_2"/>
      <w:bookmarkStart w:id="893" w:name="Tc_fJCsUiKYcUSZJB9X_qDiMA_1_2"/>
      <w:bookmarkStart w:id="894" w:name="_a0a44008_2f97_4280_a600_6272bbbcbf17"/>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rPr>
          <w:rFonts w:ascii="Arial;Helvetica;sans-serif" w:hAnsi="Arial;Helvetica;sans-serif"/>
          <w:b/>
          <w:i w:val="false"/>
          <w:caps w:val="false"/>
          <w:smallCaps w:val="false"/>
          <w:spacing w:val="-2"/>
          <w:sz w:val="20"/>
        </w:rPr>
        <w:t>3.</w:t>
      </w:r>
      <w:r>
        <w:rPr>
          <w:rFonts w:ascii="Arial;Helvetica;sans-serif" w:hAnsi="Arial;Helvetica;sans-serif"/>
          <w:b/>
          <w:spacing w:val="-2"/>
          <w:sz w:val="20"/>
        </w:rPr>
        <w:t xml:space="preserve">Supplemental Data </w:t>
      </w:r>
      <w:r>
        <w:rPr>
          <w:rFonts w:ascii="Arial;Helvetica;sans-serif" w:hAnsi="Arial;Helvetica;sans-serif"/>
          <w:b/>
          <w:i/>
          <w:spacing w:val="-2"/>
          <w:sz w:val="20"/>
        </w:rPr>
        <w:t>-</w:t>
      </w:r>
      <w:r>
        <w:rPr>
          <w:rFonts w:ascii="Times New Roman;Times;serif" w:hAnsi="Times New Roman;Times;serif"/>
          <w:spacing w:val="-2"/>
          <w:sz w:val="18"/>
        </w:rPr>
        <w:t xml:space="preserve"> </w:t>
      </w:r>
      <w:r>
        <w:rPr>
          <w:rFonts w:ascii="Arial;Helvetica;sans-serif" w:hAnsi="Arial;Helvetica;sans-serif"/>
          <w:b/>
          <w:spacing w:val="-2"/>
          <w:sz w:val="20"/>
        </w:rPr>
        <w:t xml:space="preserve">Statements of Cash Flows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The following table presents certain supplemental cash flow and other non-cash data. See Note 7 for supplemental cash flow and non-cash data related to leases.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19"/>
        <w:gridCol w:w="326"/>
        <w:gridCol w:w="211"/>
        <w:gridCol w:w="931"/>
        <w:gridCol w:w="326"/>
        <w:gridCol w:w="211"/>
        <w:gridCol w:w="1081"/>
      </w:tblGrid>
      <w:tr>
        <w:trPr/>
        <w:tc>
          <w:tcPr>
            <w:tcW w:w="7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520565" cy="175895"/>
                      <wp:effectExtent l="0" t="0" r="0" b="0"/>
                      <wp:wrapNone/>
                      <wp:docPr id="79" name="Frame79"/>
                      <a:graphic xmlns:a="http://schemas.openxmlformats.org/drawingml/2006/main">
                        <a:graphicData uri="http://schemas.microsoft.com/office/word/2010/wordprocessingShape">
                          <wps:wsp>
                            <wps:cNvSpPr txBox="1"/>
                            <wps:spPr>
                              <a:xfrm>
                                <a:off x="0" y="0"/>
                                <a:ext cx="452056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9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895"/>
                      <wp:effectExtent l="0" t="0" r="0" b="0"/>
                      <wp:wrapNone/>
                      <wp:docPr id="80" name="Frame8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895"/>
                      <wp:effectExtent l="0" t="0" r="0" b="0"/>
                      <wp:wrapNone/>
                      <wp:docPr id="81" name="Frame81"/>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895"/>
                      <wp:effectExtent l="0" t="0" r="0" b="0"/>
                      <wp:wrapNone/>
                      <wp:docPr id="82" name="Frame82"/>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895"/>
                      <wp:effectExtent l="0" t="0" r="0" b="0"/>
                      <wp:wrapNone/>
                      <wp:docPr id="83" name="Frame8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895"/>
                      <wp:effectExtent l="0" t="0" r="0" b="0"/>
                      <wp:wrapNone/>
                      <wp:docPr id="84" name="Frame84"/>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86435" cy="175895"/>
                      <wp:effectExtent l="0" t="0" r="0" b="0"/>
                      <wp:wrapNone/>
                      <wp:docPr id="85" name="Frame85"/>
                      <a:graphic xmlns:a="http://schemas.openxmlformats.org/drawingml/2006/main">
                        <a:graphicData uri="http://schemas.microsoft.com/office/word/2010/wordprocessingShape">
                          <wps:wsp>
                            <wps:cNvSpPr txBox="1"/>
                            <wps:spPr>
                              <a:xfrm>
                                <a:off x="0" y="0"/>
                                <a:ext cx="686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7119"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760" w:type="dxa"/>
            <w:gridSpan w:val="5"/>
            <w:tcBorders/>
            <w:vAlign w:val="center"/>
          </w:tcPr>
          <w:p>
            <w:pPr>
              <w:pStyle w:val="TableContents"/>
              <w:bidi w:val="0"/>
              <w:spacing w:before="1" w:after="1"/>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7119"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760" w:type="dxa"/>
            <w:gridSpan w:val="5"/>
            <w:tcBorders>
              <w:bottom w:val="single" w:sz="1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7119"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1" w:after="1"/>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119"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760" w:type="dxa"/>
            <w:gridSpan w:val="5"/>
            <w:tcBorders/>
            <w:vAlign w:val="center"/>
          </w:tcPr>
          <w:p>
            <w:pPr>
              <w:pStyle w:val="TableContents"/>
              <w:bidi w:val="0"/>
              <w:spacing w:before="1" w:after="1"/>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119"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Cash paid for interest (including capitalized interest)</w:t>
            </w:r>
          </w:p>
        </w:tc>
        <w:tc>
          <w:tcPr>
            <w:tcW w:w="326" w:type="dxa"/>
            <w:tcBorders/>
            <w:shd w:fill="CCEEFF" w:val="clear"/>
            <w:vAlign w:val="center"/>
          </w:tcPr>
          <w:p>
            <w:pPr>
              <w:pStyle w:val="TableContents"/>
              <w:bidi w:val="0"/>
              <w:spacing w:before="1" w:after="1"/>
              <w:ind w:left="0" w:right="0" w:hanging="0"/>
              <w:jc w:val="left"/>
              <w:rPr/>
            </w:pPr>
            <w:r>
              <w:rPr/>
              <w:t>    </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816,688</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w:t>
            </w:r>
          </w:p>
        </w:tc>
        <w:tc>
          <w:tcPr>
            <w:tcW w:w="108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798,598</w:t>
            </w:r>
          </w:p>
        </w:tc>
      </w:tr>
      <w:tr>
        <w:trPr/>
        <w:tc>
          <w:tcPr>
            <w:tcW w:w="7119" w:type="dxa"/>
            <w:tcBorders/>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Cash paid for interest DISH 2021 Intercompany Loan 2026 Tranche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131,100</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8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64,582</w:t>
            </w:r>
          </w:p>
        </w:tc>
      </w:tr>
      <w:tr>
        <w:trPr/>
        <w:tc>
          <w:tcPr>
            <w:tcW w:w="7119"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Cash paid for income taxes, net of (refunds)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19,354</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8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(22,268)</w:t>
            </w:r>
          </w:p>
        </w:tc>
      </w:tr>
      <w:tr>
        <w:trPr/>
        <w:tc>
          <w:tcPr>
            <w:tcW w:w="7119" w:type="dxa"/>
            <w:tcBorders/>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Total capitalized interest (1)</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680,312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8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684,204</w:t>
            </w:r>
          </w:p>
        </w:tc>
      </w:tr>
      <w:tr>
        <w:trPr/>
        <w:tc>
          <w:tcPr>
            <w:tcW w:w="7119"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Accrued capital expenditures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119,263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8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110,058</w:t>
            </w:r>
          </w:p>
        </w:tc>
      </w:tr>
      <w:tr>
        <w:trPr/>
        <w:tc>
          <w:tcPr>
            <w:tcW w:w="7119" w:type="dxa"/>
            <w:tcBorders/>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Remeasured right of use asset and liability (2)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1,283,916</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81" w:type="dxa"/>
            <w:tcBorders/>
            <w:vAlign w:val="center"/>
          </w:tcPr>
          <w:p>
            <w:pPr>
              <w:pStyle w:val="TableContents"/>
              <w:bidi w:val="0"/>
              <w:spacing w:before="1" w:after="1"/>
              <w:ind w:left="0" w:right="0" w:hanging="0"/>
              <w:jc w:val="right"/>
              <w:rPr/>
            </w:pPr>
            <w:r>
              <w:rPr/>
              <w:t>—</w:t>
            </w:r>
          </w:p>
        </w:tc>
      </w:tr>
      <w:tr>
        <w:trPr/>
        <w:tc>
          <w:tcPr>
            <w:tcW w:w="7119"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Asset retirement obligation (3)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85,681</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8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14,010</w:t>
            </w:r>
          </w:p>
        </w:tc>
      </w:tr>
      <w:tr>
        <w:trPr/>
        <w:tc>
          <w:tcPr>
            <w:tcW w:w="7119" w:type="dxa"/>
            <w:tcBorders/>
            <w:vAlign w:val="center"/>
          </w:tcPr>
          <w:p>
            <w:pPr>
              <w:pStyle w:val="TableContents"/>
              <w:bidi w:val="0"/>
              <w:spacing w:before="1" w:after="1"/>
              <w:ind w:left="0" w:right="0" w:hanging="0"/>
              <w:jc w:val="left"/>
              <w:rPr>
                <w:rFonts w:ascii="Times New Roman;Times;serif" w:hAnsi="Times New Roman;Times;serif"/>
                <w:sz w:val="18"/>
              </w:rPr>
            </w:pPr>
            <w:r>
              <w:rPr>
                <w:rFonts w:ascii="Arial;Helvetica;sans-serif" w:hAnsi="Arial;Helvetica;sans-serif"/>
                <w:sz w:val="18"/>
              </w:rPr>
              <w:t>Wireless Spectrum License Exchange, net of deferred taxes of $50,456</w:t>
            </w:r>
            <w:r>
              <w:rPr>
                <w:rFonts w:ascii="Times New Roman;Times;serif" w:hAnsi="Times New Roman;Times;serif"/>
                <w:sz w:val="18"/>
              </w:rPr>
              <w:t xml:space="preserve"> </w:t>
            </w:r>
            <w:r>
              <w:rPr>
                <w:rFonts w:ascii="Arial;Helvetica;sans-serif" w:hAnsi="Arial;Helvetica;sans-serif"/>
                <w:sz w:val="18"/>
              </w:rPr>
              <w:t>(4)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267,465</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81" w:type="dxa"/>
            <w:tcBorders/>
            <w:vAlign w:val="center"/>
          </w:tcPr>
          <w:p>
            <w:pPr>
              <w:pStyle w:val="TableContents"/>
              <w:bidi w:val="0"/>
              <w:spacing w:before="1" w:after="1"/>
              <w:ind w:left="0" w:right="0" w:hanging="0"/>
              <w:jc w:val="right"/>
              <w:rPr/>
            </w:pPr>
            <w:r>
              <w:rPr/>
              <w:t>—</w:t>
            </w:r>
          </w:p>
        </w:tc>
      </w:tr>
      <w:tr>
        <w:trPr/>
        <w:tc>
          <w:tcPr>
            <w:tcW w:w="7119"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Asset Transfer to EchoStar, including deferred taxes of $3,775,370</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81" w:type="dxa"/>
            <w:tcBorders/>
            <w:shd w:fill="CCEEFF" w:val="clear"/>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15,778,363</w:t>
            </w:r>
          </w:p>
        </w:tc>
      </w:tr>
      <w:tr>
        <w:trPr/>
        <w:tc>
          <w:tcPr>
            <w:tcW w:w="7119" w:type="dxa"/>
            <w:tcBorders/>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Conversion of outstanding redeemable noncontrolling interest in SNR HoldCo to noncontrolling interest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081" w:type="dxa"/>
            <w:tcBorders/>
            <w:vAlign w:val="center"/>
          </w:tcPr>
          <w:p>
            <w:pPr>
              <w:pStyle w:val="TableContents"/>
              <w:bidi w:val="0"/>
              <w:spacing w:before="1" w:after="1"/>
              <w:ind w:left="0" w:right="0" w:hanging="0"/>
              <w:jc w:val="right"/>
              <w:rPr>
                <w:rFonts w:ascii="Arial;Helvetica;sans-serif" w:hAnsi="Arial;Helvetica;sans-serif"/>
                <w:sz w:val="18"/>
              </w:rPr>
            </w:pPr>
            <w:r>
              <w:rPr>
                <w:rFonts w:ascii="Arial;Helvetica;sans-serif" w:hAnsi="Arial;Helvetica;sans-serif"/>
                <w:sz w:val="18"/>
              </w:rPr>
              <w:t>441,998</w:t>
            </w:r>
          </w:p>
        </w:tc>
      </w:tr>
      <w:tr>
        <w:trPr/>
        <w:tc>
          <w:tcPr>
            <w:tcW w:w="7119" w:type="dxa"/>
            <w:tcBorders/>
            <w:shd w:fill="CCEEFF" w:val="clear"/>
            <w:vAlign w:val="center"/>
          </w:tcPr>
          <w:p>
            <w:pPr>
              <w:pStyle w:val="TableContents"/>
              <w:bidi w:val="0"/>
              <w:spacing w:before="1" w:after="1"/>
              <w:ind w:left="0" w:right="0" w:hanging="0"/>
              <w:jc w:val="left"/>
              <w:rPr>
                <w:rFonts w:ascii="Arial;Helvetica;sans-serif" w:hAnsi="Arial;Helvetica;sans-serif"/>
                <w:sz w:val="18"/>
              </w:rPr>
            </w:pPr>
            <w:r>
              <w:rPr>
                <w:rFonts w:ascii="Arial;Helvetica;sans-serif" w:hAnsi="Arial;Helvetica;sans-serif"/>
                <w:sz w:val="18"/>
              </w:rPr>
              <w:t>Orbital II Transfer from EchoStar</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081" w:type="dxa"/>
            <w:tcBorders/>
            <w:shd w:fill="CCEEFF" w:val="clear"/>
            <w:vAlign w:val="center"/>
          </w:tcPr>
          <w:p>
            <w:pPr>
              <w:pStyle w:val="TableContents"/>
              <w:bidi w:val="0"/>
              <w:spacing w:before="1" w:after="1"/>
              <w:ind w:left="0" w:right="60" w:hanging="0"/>
              <w:jc w:val="right"/>
              <w:rPr>
                <w:rFonts w:ascii="Arial;Helvetica;sans-serif" w:hAnsi="Arial;Helvetica;sans-serif"/>
                <w:sz w:val="18"/>
              </w:rPr>
            </w:pPr>
            <w:r>
              <w:rPr>
                <w:rFonts w:ascii="Arial;Helvetica;sans-serif" w:hAnsi="Arial;Helvetica;sans-serif"/>
                <w:sz w:val="18"/>
              </w:rPr>
              <w:t>140,510</w:t>
            </w:r>
          </w:p>
        </w:tc>
      </w:tr>
    </w:tbl>
    <w:p>
      <w:pPr>
        <w:pStyle w:val="TextBody"/>
        <w:bidi w:val="0"/>
        <w:spacing w:before="0" w:after="0"/>
        <w:ind w:left="0" w:right="0" w:hanging="0"/>
        <w:jc w:val="left"/>
        <w:rPr>
          <w:spacing w:val="-2"/>
        </w:rPr>
      </w:pPr>
      <w:r>
        <w:rPr>
          <w:spacing w:val="-2"/>
        </w:rPr>
        <w:t>​</w:t>
      </w:r>
    </w:p>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2 for further information.</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7 for further information.</w:t>
            </w:r>
          </w:p>
        </w:tc>
      </w:tr>
    </w:tbl>
    <w:tbl>
      <w:tblPr>
        <w:tblW w:w="3452" w:type="dxa"/>
        <w:jc w:val="left"/>
        <w:tblInd w:w="0" w:type="dxa"/>
        <w:tblLayout w:type="fixed"/>
        <w:tblCellMar>
          <w:top w:w="0" w:type="dxa"/>
          <w:left w:w="0" w:type="dxa"/>
          <w:bottom w:w="0" w:type="dxa"/>
          <w:right w:w="0" w:type="dxa"/>
        </w:tblCellMar>
      </w:tblPr>
      <w:tblGrid>
        <w:gridCol w:w="346"/>
        <w:gridCol w:w="310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6 for further information.</w:t>
            </w:r>
          </w:p>
        </w:tc>
      </w:tr>
    </w:tbl>
    <w:tbl>
      <w:tblPr>
        <w:tblW w:w="3512" w:type="dxa"/>
        <w:jc w:val="left"/>
        <w:tblInd w:w="0" w:type="dxa"/>
        <w:tblLayout w:type="fixed"/>
        <w:tblCellMar>
          <w:top w:w="0" w:type="dxa"/>
          <w:left w:w="0" w:type="dxa"/>
          <w:bottom w:w="0" w:type="dxa"/>
          <w:right w:w="0" w:type="dxa"/>
        </w:tblCellMar>
      </w:tblPr>
      <w:tblGrid>
        <w:gridCol w:w="346"/>
        <w:gridCol w:w="31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3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See Note 9 for further information. </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Beginning in 2024, DISH Network and its domestic subsidiaries join with EchoStar in filing U.S. consolidated federal income tax returns and, in some states, combined or consolidated returns.  The income taxes of domestic and foreign subsidiaries not included in the United States tax group are presented in our consolidated financial statements on a separate return basis for each tax paying entity.  The federal and state income tax provisions or benefits recorded by DISH Network are generally those that would have been recorded if DISH Network and its domestic subsidiaries had filed returns as a consolidated group independent of EchoStar.  Cash is due and paid to EchoStar based on amounts that would be payable based on DISH Network consolidated or combined group filings.  During the three and nine months ended September 30, 2025 and 2024, no</w:t>
      </w:r>
      <w:r>
        <w:rPr>
          <w:rFonts w:ascii="Times New Roman;Times;serif" w:hAnsi="Times New Roman;Times;serif"/>
          <w:spacing w:val="-2"/>
          <w:sz w:val="18"/>
        </w:rPr>
        <w:t xml:space="preserve"> </w:t>
      </w:r>
      <w:r>
        <w:rPr>
          <w:rFonts w:ascii="Arial;Helvetica;sans-serif" w:hAnsi="Arial;Helvetica;sans-serif"/>
          <w:spacing w:val="-2"/>
          <w:sz w:val="20"/>
        </w:rPr>
        <w:t xml:space="preserve">payments were made to EchoStar for income taxes.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bookmarkStart w:id="895" w:name="Tc_yUspKB7QUkeqQW39SsmS7Q_21_5"/>
      <w:bookmarkStart w:id="896" w:name="Tc_dsgRnnUtl0CbrTt-xutaMA_21_2"/>
      <w:bookmarkStart w:id="897" w:name="Tc_NVxI1lzMrEKqnDOzKcuIew_21_0"/>
      <w:bookmarkStart w:id="898" w:name="Tc_Wsx7VCb_M0OLPqGJE48BUA_19_0"/>
      <w:bookmarkStart w:id="899" w:name="Tc_DbM_-aTnJ0eAyfeo9BNBQA_18_0"/>
      <w:bookmarkStart w:id="900" w:name="Tc_lgvEErJiUEmy9eALlFCRsw_17_0"/>
      <w:bookmarkStart w:id="901" w:name="Tc_l3rEwhSLJ06VtR9C5AnkJQ_16_0"/>
      <w:bookmarkStart w:id="902" w:name="Tc_F5yQ1W3PH029pIOYSDECQw_14_0"/>
      <w:bookmarkStart w:id="903" w:name="Tc_6vNoSUb-BEuurSmLYp0_jw_12_0"/>
      <w:bookmarkStart w:id="904" w:name="Tc_TRUsiEIQdk6TLY0aFjkKBg_11_0"/>
      <w:bookmarkStart w:id="905" w:name="Tc_NvABX4X-nUeZzj1BrOnkXw_10_0"/>
      <w:bookmarkStart w:id="906" w:name="Tc_Q1pZoRo7h0ev4TNDSjrY-g_9_3"/>
      <w:bookmarkStart w:id="907" w:name="Tc_UDpH3xoLvkuDANySDSbLdg_9_0"/>
      <w:bookmarkStart w:id="908" w:name="Tc_XUroH0ScD060U45DkPWNNg_8_0"/>
      <w:bookmarkStart w:id="909" w:name="Tc_DF5hiiQtq0aRB0QNLabz0A_7_5"/>
      <w:bookmarkStart w:id="910" w:name="Tc_7UrQgYlFwEKCVGl7Nx_3fQ_7_2"/>
      <w:bookmarkStart w:id="911" w:name="Tc_SZOeuOTCMUSV3cnXVerEiw_7_0"/>
      <w:bookmarkStart w:id="912" w:name="Tc_kne3pE6v1kurILUlJlLsrg_6_0"/>
      <w:bookmarkStart w:id="913" w:name="Tc_Doba1ApmDkOi2IvWLAXKkA_5_0"/>
      <w:bookmarkStart w:id="914" w:name="Tc_YP1K7rs0_kavHcePqftxmw_4_2"/>
      <w:bookmarkStart w:id="915" w:name="Tc_XgI-GGiWzEa1_oVZ82uicg_3_5"/>
      <w:bookmarkStart w:id="916" w:name="Tc_qemWj9Ze5UKnZ5bFr52AFw_3_2"/>
      <w:bookmarkStart w:id="917" w:name="Tc_2yDvEdcGfUib8OX0gxO-Sg_2_5"/>
      <w:bookmarkStart w:id="918" w:name="Tc_RAAARByaiEaUAN_Em87rsw_2_2"/>
      <w:bookmarkStart w:id="919" w:name="Tc_907u5T1yHECtfhRj6bU9wA_1_2"/>
      <w:bookmarkStart w:id="920" w:name="_b57fd8cd_df11_4bf8_8596_60de1db755fa"/>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r>
        <w:rPr>
          <w:rFonts w:ascii="Arial;Helvetica;sans-serif" w:hAnsi="Arial;Helvetica;sans-serif"/>
          <w:b/>
          <w:i w:val="false"/>
          <w:caps w:val="false"/>
          <w:smallCaps w:val="false"/>
          <w:spacing w:val="-2"/>
          <w:sz w:val="20"/>
        </w:rPr>
        <w:t>4.</w:t>
      </w:r>
      <w:r>
        <w:rPr>
          <w:rFonts w:ascii="Arial;Helvetica;sans-serif" w:hAnsi="Arial;Helvetica;sans-serif"/>
          <w:b/>
          <w:spacing w:val="-2"/>
          <w:sz w:val="20"/>
        </w:rPr>
        <w:t xml:space="preserve">Marketable Investment Securities, Restricted Cash and Cash Equivalents, and Other Investments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Our marketable investment securities, restricted cash and cash equivalents, and other investments consisted of the following: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29"/>
        <w:gridCol w:w="109"/>
        <w:gridCol w:w="290"/>
        <w:gridCol w:w="1079"/>
        <w:gridCol w:w="326"/>
        <w:gridCol w:w="263"/>
        <w:gridCol w:w="1109"/>
      </w:tblGrid>
      <w:tr>
        <w:trPr/>
        <w:tc>
          <w:tcPr>
            <w:tcW w:w="7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463415" cy="175260"/>
                      <wp:effectExtent l="0" t="0" r="0" b="0"/>
                      <wp:wrapNone/>
                      <wp:docPr id="86" name="Frame86"/>
                      <a:graphic xmlns:a="http://schemas.openxmlformats.org/drawingml/2006/main">
                        <a:graphicData uri="http://schemas.microsoft.com/office/word/2010/wordprocessingShape">
                          <wps:wsp>
                            <wps:cNvSpPr txBox="1"/>
                            <wps:spPr>
                              <a:xfrm>
                                <a:off x="0" y="0"/>
                                <a:ext cx="4463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84150" cy="175260"/>
                      <wp:effectExtent l="0" t="0" r="0" b="0"/>
                      <wp:wrapNone/>
                      <wp:docPr id="88" name="Frame88"/>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85165" cy="175260"/>
                      <wp:effectExtent l="0" t="0" r="0" b="0"/>
                      <wp:wrapNone/>
                      <wp:docPr id="89" name="Frame89"/>
                      <a:graphic xmlns:a="http://schemas.openxmlformats.org/drawingml/2006/main">
                        <a:graphicData uri="http://schemas.microsoft.com/office/word/2010/wordprocessingShape">
                          <wps:wsp>
                            <wps:cNvSpPr txBox="1"/>
                            <wps:spPr>
                              <a:xfrm>
                                <a:off x="0" y="0"/>
                                <a:ext cx="685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67005" cy="175260"/>
                      <wp:effectExtent l="0" t="0" r="0" b="0"/>
                      <wp:wrapNone/>
                      <wp:docPr id="91" name="Frame9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04215" cy="175260"/>
                      <wp:effectExtent l="0" t="0" r="0" b="0"/>
                      <wp:wrapNone/>
                      <wp:docPr id="92" name="Frame92"/>
                      <a:graphic xmlns:a="http://schemas.openxmlformats.org/drawingml/2006/main">
                        <a:graphicData uri="http://schemas.microsoft.com/office/word/2010/wordprocessingShape">
                          <wps:wsp>
                            <wps:cNvSpPr txBox="1"/>
                            <wps:spPr>
                              <a:xfrm>
                                <a:off x="0" y="0"/>
                                <a:ext cx="704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67"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70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9"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center"/>
              <w:rPr/>
            </w:pPr>
            <w:r>
              <w:rPr/>
              <w:t>​</w:t>
            </w:r>
          </w:p>
        </w:tc>
        <w:tc>
          <w:tcPr>
            <w:tcW w:w="137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70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70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67"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Marketable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left"/>
              <w:rPr/>
            </w:pPr>
            <w:r>
              <w:rPr/>
              <w:t>​</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marketable investment securities:</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left"/>
              <w:rPr/>
            </w:pPr>
            <w:r>
              <w:rPr/>
              <w:t>​</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Strategic - available-for-sale</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7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0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Strategic - trading/equity</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b/>
                <w:i/>
                <w:sz w:val="18"/>
              </w:rPr>
            </w:pPr>
            <w:r>
              <w:rPr>
                <w:rFonts w:ascii="Arial;Helvetica;sans-serif" w:hAnsi="Arial;Helvetica;sans-serif"/>
                <w:b/>
                <w:i/>
                <w:sz w:val="18"/>
              </w:rPr>
              <w:t>Total current marketable investment securities</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Restricted marketable investment securities (1)</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58,185</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23,882</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marketable investment securities</w:t>
            </w:r>
          </w:p>
        </w:tc>
        <w:tc>
          <w:tcPr>
            <w:tcW w:w="109"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58,246</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24,168</w:t>
            </w:r>
          </w:p>
        </w:tc>
      </w:tr>
      <w:tr>
        <w:trPr/>
        <w:tc>
          <w:tcPr>
            <w:tcW w:w="702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Restricted cash and cash equivalents (1)</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202,799</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254,714</w:t>
            </w:r>
          </w:p>
        </w:tc>
      </w:tr>
      <w:tr>
        <w:trPr/>
        <w:tc>
          <w:tcPr>
            <w:tcW w:w="702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pPr>
            <w:r>
              <w:rPr/>
              <w:t>​</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investments, net:</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Equity method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107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15,143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110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20,440</w:t>
            </w:r>
          </w:p>
        </w:tc>
      </w:tr>
      <w:tr>
        <w:trPr/>
        <w:tc>
          <w:tcPr>
            <w:tcW w:w="70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investments</w:t>
            </w:r>
          </w:p>
        </w:tc>
        <w:tc>
          <w:tcPr>
            <w:tcW w:w="109" w:type="dxa"/>
            <w:tcBorders/>
            <w:vAlign w:val="center"/>
          </w:tcPr>
          <w:p>
            <w:pPr>
              <w:pStyle w:val="TableContents"/>
              <w:bidi w:val="0"/>
              <w:spacing w:before="0" w:after="0"/>
              <w:ind w:left="0" w:right="0" w:hanging="0"/>
              <w:jc w:val="left"/>
              <w:rPr/>
            </w:pPr>
            <w:r>
              <w:rPr/>
              <w:t>​</w:t>
            </w:r>
          </w:p>
        </w:tc>
        <w:tc>
          <w:tcPr>
            <w:tcW w:w="2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3,210</w:t>
            </w:r>
          </w:p>
        </w:tc>
        <w:tc>
          <w:tcPr>
            <w:tcW w:w="326" w:type="dxa"/>
            <w:tcBorders/>
            <w:vAlign w:val="center"/>
          </w:tcPr>
          <w:p>
            <w:pPr>
              <w:pStyle w:val="TableContents"/>
              <w:bidi w:val="0"/>
              <w:spacing w:before="0" w:after="0"/>
              <w:ind w:left="0" w:right="0" w:hanging="0"/>
              <w:jc w:val="left"/>
              <w:rPr/>
            </w:pPr>
            <w:r>
              <w:rPr/>
              <w:t>​</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15,043</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other investments,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18,353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35,483</w:t>
            </w:r>
          </w:p>
        </w:tc>
      </w:tr>
      <w:tr>
        <w:trPr/>
        <w:tc>
          <w:tcPr>
            <w:tcW w:w="702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10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1109" w:type="dxa"/>
            <w:tcBorders/>
            <w:vAlign w:val="center"/>
          </w:tcPr>
          <w:p>
            <w:pPr>
              <w:pStyle w:val="TableContents"/>
              <w:bidi w:val="0"/>
              <w:spacing w:before="0" w:after="0"/>
              <w:ind w:left="0" w:right="0" w:hanging="0"/>
              <w:jc w:val="right"/>
              <w:rPr/>
            </w:pPr>
            <w:r>
              <w:rPr/>
              <w:t>​</w:t>
            </w:r>
          </w:p>
        </w:tc>
      </w:tr>
      <w:tr>
        <w:trPr/>
        <w:tc>
          <w:tcPr>
            <w:tcW w:w="702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marketable investment securities, restricted cash and cash equivalents, and other investments, net</w:t>
            </w:r>
          </w:p>
        </w:tc>
        <w:tc>
          <w:tcPr>
            <w:tcW w:w="109" w:type="dxa"/>
            <w:tcBorders/>
            <w:shd w:fill="CCEEFF" w:val="clear"/>
            <w:vAlign w:val="center"/>
          </w:tcPr>
          <w:p>
            <w:pPr>
              <w:pStyle w:val="TableContents"/>
              <w:bidi w:val="0"/>
              <w:spacing w:before="0" w:after="0"/>
              <w:ind w:left="0" w:right="0" w:hanging="0"/>
              <w:jc w:val="left"/>
              <w:rPr/>
            </w:pPr>
            <w:r>
              <w:rPr/>
              <w:t>​</w:t>
            </w:r>
          </w:p>
        </w:tc>
        <w:tc>
          <w:tcPr>
            <w:tcW w:w="2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279,398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0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314,365</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0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Marketable Investment Securities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 xml:space="preserve">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Current Marketable Investment Securities </w:t>
      </w:r>
      <w:r>
        <w:rPr>
          <w:rFonts w:ascii="Times New Roman;Times;serif" w:hAnsi="Times New Roman;Times;serif"/>
          <w:spacing w:val="-2"/>
          <w:sz w:val="18"/>
        </w:rPr>
        <w:t xml:space="preserve">– </w:t>
      </w:r>
      <w:r>
        <w:rPr>
          <w:rFonts w:ascii="Arial;Helvetica;sans-serif" w:hAnsi="Arial;Helvetica;sans-serif"/>
          <w:i/>
          <w:spacing w:val="-2"/>
          <w:sz w:val="20"/>
        </w:rPr>
        <w:t>Strategic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Our current strategic marketable investment securities portfolio includes and may include strategic and financial debt and/or equity investments in private and public companies that are highly speculative and have experienced and continue to experience volatility. As of September 30, 2025,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Current Marketable Investment Securities - Other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Our current other marketable investment securities portfolio includes investments in various debt instruments including, among others, commercial paper, corporate securities and United States treasury and/or agency securities.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Restricted Cash, Cash Equivalents and Marketable Investment Securities</w:t>
      </w:r>
    </w:p>
    <w:p>
      <w:pPr>
        <w:pStyle w:val="TextBody"/>
        <w:bidi w:val="0"/>
        <w:spacing w:before="0" w:after="0"/>
        <w:ind w:left="0" w:right="0" w:hanging="0"/>
        <w:jc w:val="both"/>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As of September 30, 2025 and December 31, 2024, our restricted marketable investment securities, together with our restricted cash and cash equivalents, included amounts required as collateral for our letters of credit, surety bonds and trusts.</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Current restricted cash, cash equivalents and marketable investment securities.</w:t>
      </w:r>
      <w:r>
        <w:rPr>
          <w:rFonts w:ascii="Times New Roman;Times;serif" w:hAnsi="Times New Roman;Times;serif"/>
          <w:sz w:val="20"/>
        </w:rPr>
        <w:t xml:space="preserve"> </w:t>
      </w:r>
      <w:r>
        <w:rPr>
          <w:rFonts w:ascii="Arial;Helvetica;sans-serif" w:hAnsi="Arial;Helvetica;sans-serif"/>
          <w:sz w:val="20"/>
        </w:rPr>
        <w:t>As of September 30, 2025 and December 31, 2024, we had $129</w:t>
      </w:r>
      <w:r>
        <w:rPr>
          <w:rFonts w:ascii="Times New Roman;Times;serif" w:hAnsi="Times New Roman;Times;serif"/>
          <w:sz w:val="20"/>
        </w:rPr>
        <w:t xml:space="preserve"> </w:t>
      </w:r>
      <w:r>
        <w:rPr>
          <w:rFonts w:ascii="Arial;Helvetica;sans-serif" w:hAnsi="Arial;Helvetica;sans-serif"/>
          <w:sz w:val="20"/>
        </w:rPr>
        <w:t>million and $151</w:t>
      </w:r>
      <w:r>
        <w:rPr>
          <w:rFonts w:ascii="Times New Roman;Times;serif" w:hAnsi="Times New Roman;Times;serif"/>
          <w:sz w:val="20"/>
        </w:rPr>
        <w:t xml:space="preserve"> </w:t>
      </w:r>
      <w:r>
        <w:rPr>
          <w:rFonts w:ascii="Arial;Helvetica;sans-serif" w:hAnsi="Arial;Helvetica;sans-serif"/>
          <w:sz w:val="20"/>
        </w:rPr>
        <w:t xml:space="preserve">million, respectively, included in </w:t>
      </w:r>
      <w:r>
        <w:rPr>
          <w:rFonts w:ascii="Times New Roman;Times;serif" w:hAnsi="Times New Roman;Times;serif"/>
          <w:sz w:val="20"/>
        </w:rPr>
        <w:t>“</w:t>
      </w:r>
      <w:r>
        <w:rPr>
          <w:rFonts w:ascii="Arial;Helvetica;sans-serif" w:hAnsi="Arial;Helvetica;sans-serif"/>
          <w:sz w:val="20"/>
        </w:rPr>
        <w:t>Current restricted cash, cash equivalents and marketable investment securities</w:t>
      </w:r>
      <w:r>
        <w:rPr>
          <w:rFonts w:ascii="Times New Roman;Times;serif" w:hAnsi="Times New Roman;Times;serif"/>
          <w:sz w:val="20"/>
        </w:rPr>
        <w:t xml:space="preserve">” </w:t>
      </w:r>
      <w:r>
        <w:rPr>
          <w:rFonts w:ascii="Arial;Helvetica;sans-serif" w:hAnsi="Arial;Helvetica;sans-serif"/>
          <w:sz w:val="20"/>
        </w:rPr>
        <w:t>on our Condensed Consolidated Balance Sheets</w:t>
      </w:r>
      <w:r>
        <w:rPr>
          <w:rFonts w:ascii="Times New Roman;Times;serif" w:hAnsi="Times New Roman;Times;serif"/>
          <w:sz w:val="20"/>
        </w:rPr>
        <w:t xml:space="preserve"> </w:t>
      </w:r>
      <w:r>
        <w:rPr>
          <w:rFonts w:ascii="Arial;Helvetica;sans-serif" w:hAnsi="Arial;Helvetica;sans-serif"/>
          <w:sz w:val="20"/>
        </w:rPr>
        <w:t>that primarily consists of funds received by our subsidiary, DISH DBS Issuer LLC (“DBS SubscriberCo”), from subscriber payments and certain other revenue, which are required to be restricted per the terms of the debt issued by DBS SubscriberCo. DBS SubscriberCo</w:t>
      </w:r>
      <w:r>
        <w:rPr>
          <w:rFonts w:ascii="Times New Roman;Times;serif" w:hAnsi="Times New Roman;Times;serif"/>
          <w:sz w:val="20"/>
          <w:shd w:fill="FFFFFF" w:val="clear"/>
        </w:rPr>
        <w:t xml:space="preserve"> </w:t>
      </w:r>
      <w:r>
        <w:rPr>
          <w:rFonts w:ascii="Arial;Helvetica;sans-serif" w:hAnsi="Arial;Helvetica;sans-serif"/>
          <w:sz w:val="20"/>
          <w:shd w:fill="FFFFFF" w:val="clear"/>
        </w:rPr>
        <w:t xml:space="preserve">holds certain DISH TV subscribers </w:t>
      </w:r>
      <w:r>
        <w:rPr>
          <w:rFonts w:ascii="Arial;Helvetica;sans-serif" w:hAnsi="Arial;Helvetica;sans-serif"/>
          <w:sz w:val="20"/>
        </w:rPr>
        <w:t>and their related subscription and equipment agreements which collateralizes certain debt obligations</w:t>
      </w:r>
      <w:r>
        <w:rPr>
          <w:rFonts w:ascii="Arial;Helvetica;sans-serif" w:hAnsi="Arial;Helvetica;sans-serif"/>
          <w:sz w:val="20"/>
          <w:shd w:fill="FFFFFF" w:val="clear"/>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both"/>
        <w:rPr>
          <w:rFonts w:ascii="Arial;Helvetica;sans-serif" w:hAnsi="Arial;Helvetica;sans-serif"/>
          <w:b/>
          <w:i/>
          <w:spacing w:val="-2"/>
          <w:sz w:val="20"/>
        </w:rPr>
      </w:pPr>
      <w:r>
        <w:rPr>
          <w:rFonts w:ascii="Arial;Helvetica;sans-serif" w:hAnsi="Arial;Helvetica;sans-serif"/>
          <w:b/>
          <w:i/>
          <w:spacing w:val="-2"/>
          <w:sz w:val="20"/>
        </w:rPr>
        <w:t xml:space="preserve">Other Investments, net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w:t>
      </w:r>
      <w:r>
        <w:rPr>
          <w:rFonts w:ascii="Times New Roman;Times;serif" w:hAnsi="Times New Roman;Times;serif"/>
          <w:spacing w:val="-2"/>
          <w:sz w:val="18"/>
        </w:rPr>
        <w:t xml:space="preserve"> </w:t>
      </w:r>
      <w:r>
        <w:rPr>
          <w:rFonts w:ascii="Arial;Helvetica;sans-serif" w:hAnsi="Arial;Helvetica;sans-serif"/>
          <w:spacing w:val="-2"/>
          <w:sz w:val="20"/>
        </w:rPr>
        <w:t xml:space="preserve">Our equity investments where we have the ability to exercise significant influence over the investee are accounted for using the equity method of accounting. Certain of our equity method investments are detailed below.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NagraStar L.L.C.</w:t>
      </w:r>
      <w:r>
        <w:rPr>
          <w:rFonts w:ascii="Times New Roman;Times;serif" w:hAnsi="Times New Roman;Times;serif"/>
          <w:spacing w:val="-2"/>
          <w:sz w:val="18"/>
        </w:rPr>
        <w:t xml:space="preserve"> </w:t>
      </w:r>
      <w:r>
        <w:rPr>
          <w:rFonts w:ascii="Arial;Helvetica;sans-serif" w:hAnsi="Arial;Helvetica;sans-serif"/>
          <w:spacing w:val="-2"/>
          <w:sz w:val="20"/>
        </w:rPr>
        <w:t>We own a 50% interest in NagraStar L.L.C. (“NagraStar”), a joint venture that is our primary provider of encryption and related security systems intended to assure that only authorized customers have access to our programming. The three</w:t>
      </w:r>
      <w:r>
        <w:rPr>
          <w:rFonts w:ascii="Times New Roman;Times;serif" w:hAnsi="Times New Roman;Times;serif"/>
          <w:spacing w:val="-2"/>
          <w:sz w:val="18"/>
        </w:rPr>
        <w:t xml:space="preserve"> </w:t>
      </w:r>
      <w:r>
        <w:rPr>
          <w:rFonts w:ascii="Arial;Helvetica;sans-serif" w:hAnsi="Arial;Helvetica;sans-serif"/>
          <w:spacing w:val="-2"/>
          <w:sz w:val="20"/>
        </w:rPr>
        <w:t>main technologies NagraStar provides to its customers are microchips, set-top box software and uplink computer systems. NagraStar also provides end-to-end platform security testing services.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Invidi Technologies Corporation</w:t>
      </w:r>
      <w:r>
        <w:rPr>
          <w:rFonts w:ascii="Arial;Helvetica;sans-serif" w:hAnsi="Arial;Helvetica;sans-serif"/>
          <w:spacing w:val="-2"/>
          <w:sz w:val="20"/>
        </w:rPr>
        <w:t>. We own a 35%</w:t>
      </w:r>
      <w:r>
        <w:rPr>
          <w:rFonts w:ascii="Times New Roman;Times;serif" w:hAnsi="Times New Roman;Times;serif"/>
          <w:spacing w:val="-2"/>
          <w:sz w:val="18"/>
        </w:rPr>
        <w:t xml:space="preserve"> </w:t>
      </w:r>
      <w:r>
        <w:rPr>
          <w:rFonts w:ascii="Arial;Helvetica;sans-serif" w:hAnsi="Arial;Helvetica;sans-serif"/>
          <w:spacing w:val="-2"/>
          <w:sz w:val="20"/>
        </w:rPr>
        <w:t xml:space="preserve">interest in Invidi Technologies Corporation (“Invidi”), an entity 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921" w:name="Tc_kMownodmn02N5ZNNXiflpw_10_11"/>
      <w:bookmarkStart w:id="922" w:name="Tc_WJpoBrcCTkCUJ2gg__rsFQ_10_8"/>
      <w:bookmarkStart w:id="923" w:name="Tc_eePkskQilkyaVc3gLXYE9w_10_5"/>
      <w:bookmarkStart w:id="924" w:name="Tc_1ty7aW1SHE-Y-Q-ZTt3KVA_10_2"/>
      <w:bookmarkStart w:id="925" w:name="Tc_S9TWd5MKfUiCC4d7QIvpgA_10_0"/>
      <w:bookmarkStart w:id="926" w:name="Tc_sovOEyvJb0acTPu-TZJCnQ_9_0"/>
      <w:bookmarkStart w:id="927" w:name="Tc_sWGTnbrLskewmpTmeT22mg_8_0"/>
      <w:bookmarkStart w:id="928" w:name="Tc_VWA_pMTQGEOzsQh1FP4aJQ_7_0"/>
      <w:bookmarkStart w:id="929" w:name="Tc_ruZi463IaUu0Dy6G9i-zZg_6_9"/>
      <w:bookmarkStart w:id="930" w:name="Tc_LWRCbsU-ak6HFdz34ShxVw_6_6"/>
      <w:bookmarkStart w:id="931" w:name="Tc_zZJdy_ddgE6hh4U_Nu4qWg_6_3"/>
      <w:bookmarkStart w:id="932" w:name="Tc_Vy46WRAda0WYx3KypCb7lA_6_0"/>
      <w:bookmarkStart w:id="933" w:name="Tc_Wq-hose9CUuQFrgUucrDaQ_5_11"/>
      <w:bookmarkStart w:id="934" w:name="Tc_Gtoo2iZVC0aUEdgK-AU0hg_5_8"/>
      <w:bookmarkStart w:id="935" w:name="Tc_N7hUKWumhkmmJ5rqK3ivjw_5_5"/>
      <w:bookmarkStart w:id="936" w:name="Tc_zs6UKfzX1kqoSdw0IOKWjg_5_2"/>
      <w:bookmarkStart w:id="937" w:name="Tc_u-u_Ap_MlUi4eGJSu49Ucw_5_0"/>
      <w:bookmarkStart w:id="938" w:name="Tc_PO3D5s0CYEiwVH7bdkQmhQ_4_2"/>
      <w:bookmarkStart w:id="939" w:name="Tc_wiDigkHv0E6vDD7ki41rrA_3_11"/>
      <w:bookmarkStart w:id="940" w:name="Tc_JyAFlcxCg0OGwIebtPPLkw_3_8"/>
      <w:bookmarkStart w:id="941" w:name="Tc_NYMIzJk7BE2nn_cjOXfRKg_3_5"/>
      <w:bookmarkStart w:id="942" w:name="Tc_9CrJD67pbE2-9JPjoDeycQ_3_2"/>
      <w:bookmarkStart w:id="943" w:name="Tc_ix0u53hSkkS28gyyNu5ZGQ_3_0"/>
      <w:bookmarkStart w:id="944" w:name="Tc_lINOR94Xm0CUw2JwoQKWcw_2_8"/>
      <w:bookmarkStart w:id="945" w:name="Tc_fOP2JZ0QlkegKQf5XARKgw_2_2"/>
      <w:bookmarkStart w:id="946" w:name="Tc_oEcregaXBE-cT99gHBH0_w_1_8"/>
      <w:bookmarkStart w:id="947" w:name="Tc_elKfsrbGdkidiECkfbRYSg_1_2"/>
      <w:bookmarkStart w:id="948" w:name="_906c8e3f_8035_4999_b655_97f3e75fd0d7"/>
      <w:bookmarkStart w:id="949" w:name="Tc_2MEjYX3ifkCGiIZff0u1cw_16_23"/>
      <w:bookmarkStart w:id="950" w:name="Tc_qhoJQCNPJEmKJFK1KJYOwg_16_20"/>
      <w:bookmarkStart w:id="951" w:name="Tc_Utv5GJhXzUaWwv7EYX4GsA_16_17"/>
      <w:bookmarkStart w:id="952" w:name="Tc_DU-kaTQuLEenu9IqnLzrwQ_16_14"/>
      <w:bookmarkStart w:id="953" w:name="Tc_FL6rJo64Oke2gQo04pBm1Q_16_11"/>
      <w:bookmarkStart w:id="954" w:name="Tc_wA6R0jnd3UqbbUcWvCIO_g_16_8"/>
      <w:bookmarkStart w:id="955" w:name="Tc_88MgWrGEAEeMU3BCmelmhw_16_5"/>
      <w:bookmarkStart w:id="956" w:name="Tc_I_QoCjwNok2Dm3jqJSRe3A_16_2"/>
      <w:bookmarkStart w:id="957" w:name="Tc_VZCe2Igu2ki46tYRBvAKMw_16_0"/>
      <w:bookmarkStart w:id="958" w:name="Tc_24l0OMGKhkKWYEGWYa4eAQ_15_21"/>
      <w:bookmarkStart w:id="959" w:name="Tc_Ur3_2duZBUShKImbRzVcVw_15_18"/>
      <w:bookmarkStart w:id="960" w:name="Tc_Kn-3Wmm9LEKD1pyrTYvdYA_15_9"/>
      <w:bookmarkStart w:id="961" w:name="Tc_RXxKCWLSvEGZ5mXMXfGFog_15_6"/>
      <w:bookmarkStart w:id="962" w:name="Tc_eU1Ne7kac0Orsyf3v-cpqw_15_0"/>
      <w:bookmarkStart w:id="963" w:name="Tc_ff_tj1vSHUKkv9c6AMXQ0Q_14_15"/>
      <w:bookmarkStart w:id="964" w:name="Tc_Xz8nIluy4keZVw8gQcZr4g_14_3"/>
      <w:bookmarkStart w:id="965" w:name="Tc_qqgnmIHUmk6_GWHSJv4Wxw_14_0"/>
      <w:bookmarkStart w:id="966" w:name="Tc_5ha1AR76tUufHX07bV_Jxw_13_21"/>
      <w:bookmarkStart w:id="967" w:name="Tc_Xe-txpzJmkKXG1sAjVO7dw_13_15"/>
      <w:bookmarkStart w:id="968" w:name="Tc_3GIqTi8-Z0ithnZVmTFN5g_13_9"/>
      <w:bookmarkStart w:id="969" w:name="Tc_VDojjJvkVE-11YPBxvXC8g_13_3"/>
      <w:bookmarkStart w:id="970" w:name="Tc_pjU7qs8RIUW5vHEPY8f8yw_13_0"/>
      <w:bookmarkStart w:id="971" w:name="Tc_B-W9cerdvEuGPXVtb8Um8w_12_24"/>
      <w:bookmarkStart w:id="972" w:name="Tc_WXZQJ_SUUEy-IFrB0ztiPw_12_21"/>
      <w:bookmarkStart w:id="973" w:name="Tc_is7asO-BFkuebu7OnAYOgg_12_18"/>
      <w:bookmarkStart w:id="974" w:name="Tc_PFdsa3qz-UeknibjLRts0w_12_15"/>
      <w:bookmarkStart w:id="975" w:name="Tc_cg3K7_SCp0aLrzOFbu9TqA_12_9"/>
      <w:bookmarkStart w:id="976" w:name="Tc_O-Z2OcCL1ECsClLAi4gFwA_12_3"/>
      <w:bookmarkStart w:id="977" w:name="Tc_btXtVKDAUkKIC0wlsaVcJw_12_0"/>
      <w:bookmarkStart w:id="978" w:name="Tc_R1cHUVE2LUSK_AZueS3jww_11_23"/>
      <w:bookmarkStart w:id="979" w:name="Tc_qytH2NG5kk2IUsmNcfiTXg_11_21"/>
      <w:bookmarkStart w:id="980" w:name="Tc_gaAwQZrg0EGMKvkWL2TZoQ_11_20"/>
      <w:bookmarkStart w:id="981" w:name="Tc_3PVHeiB41kGm-Cqzywfhwg_11_18"/>
      <w:bookmarkStart w:id="982" w:name="Tc_xCNc4v1kTUqzYRWSRKvO6g_11_17"/>
      <w:bookmarkStart w:id="983" w:name="Tc_Cc8edbGD5USffnJ-NIV2hg_11_14"/>
      <w:bookmarkStart w:id="984" w:name="Tc_6pj8pxYn00qkFll5GpTKmw_11_12"/>
      <w:bookmarkStart w:id="985" w:name="Tc_-pc8Lc02_UeVD85rQA1lng_11_11"/>
      <w:bookmarkStart w:id="986" w:name="Tc_oyM7r3oN4UiVQ2K_pdVTzQ_11_9"/>
      <w:bookmarkStart w:id="987" w:name="Tc_Wm7y3GSz2U2hMsnxppVZ8Q_11_8"/>
      <w:bookmarkStart w:id="988" w:name="Tc_uTRnyH_7uUCdpbULGlnp0w_11_6"/>
      <w:bookmarkStart w:id="989" w:name="Tc_nrHN5-T-J0ebdaghxfSC9w_11_5"/>
      <w:bookmarkStart w:id="990" w:name="Tc_dKec6w_ymEec5vtsEzuN4A_11_3"/>
      <w:bookmarkStart w:id="991" w:name="Tc_nWSkWjSm5kO3KWsKPx6juw_11_2"/>
      <w:bookmarkStart w:id="992" w:name="Tc_DjNoVwKAU0myBEX2eqhZOg_11_0"/>
      <w:bookmarkStart w:id="993" w:name="Tc_ziUjfUmV3UqWF_gElFCZPA_10_0"/>
      <w:bookmarkStart w:id="994" w:name="Tc_6l8HySt9aUWu1rA5qrOM3A_8_23"/>
      <w:bookmarkStart w:id="995" w:name="Tc_yn6Ju5N4ZU2GRlgmpjT2Dg_8_21"/>
      <w:bookmarkStart w:id="996" w:name="Tc_6AHVQmSlekCV8AcNvTjltw_8_20"/>
      <w:bookmarkStart w:id="997" w:name="Tc_lm1OSEBLMEqXpKZ-RFFpOA_8_17"/>
      <w:bookmarkStart w:id="998" w:name="Tc_OZXdYEZHKUu4xKA7BnyXsw_8_14"/>
      <w:bookmarkStart w:id="999" w:name="Tc_yoLvFyCE5kiLigqRzWJuBg_8_11"/>
      <w:bookmarkStart w:id="1000" w:name="Tc_RkXYu-LcsU-fOEFlTigQ3g_8_9"/>
      <w:bookmarkStart w:id="1001" w:name="Tc_HPWDLyy4306Y98FR3CjLqA_8_8"/>
      <w:bookmarkStart w:id="1002" w:name="Tc_0FupxXqvZEiopBKYXQ3_pw_8_5"/>
      <w:bookmarkStart w:id="1003" w:name="Tc_pm2r_UnTU0KUBuivSQUHiw_8_2"/>
      <w:bookmarkStart w:id="1004" w:name="Tc_GQRQdPYmkEKXtkUZtWhvSw_8_0"/>
      <w:bookmarkStart w:id="1005" w:name="Tc_4f_ZzKqhjUGCgvIChHtHxQ_7_21"/>
      <w:bookmarkStart w:id="1006" w:name="Tc_MSd6JZo9_UCmwnCj3X0Hbg_7_9"/>
      <w:bookmarkStart w:id="1007" w:name="Tc_Edceiq-jLEq6FKy0I6Wrng_7_0"/>
      <w:bookmarkStart w:id="1008" w:name="Tc_en04-7dedUe2a0LR5xHzbg_6_23"/>
      <w:bookmarkStart w:id="1009" w:name="Tc_DBQ0kPPep0yTkOHc4_mRNg_6_21"/>
      <w:bookmarkStart w:id="1010" w:name="Tc_GokR6s25uEKIu3lQ4NCMEQ_6_20"/>
      <w:bookmarkStart w:id="1011" w:name="Tc_YfjzuRxXa0G16CKRUlNSCA_6_18"/>
      <w:bookmarkStart w:id="1012" w:name="Tc__v_TnmBLT0OBXaSTi3SAeA_6_17"/>
      <w:bookmarkStart w:id="1013" w:name="Tc_WL5h9z_ezUS_01wGTD61aw_6_14"/>
      <w:bookmarkStart w:id="1014" w:name="Tc_SwnkmAXArUO8CGWANCjmhA_6_11"/>
      <w:bookmarkStart w:id="1015" w:name="Tc_YGFGdSIdgU2viPaW6Y9Grw_6_9"/>
      <w:bookmarkStart w:id="1016" w:name="Tc_hJHuFAR3oEagOcnhuQLe6A_6_8"/>
      <w:bookmarkStart w:id="1017" w:name="Tc_4o-ZCt9SYUaVOvEH9aQXBQ_6_6"/>
      <w:bookmarkStart w:id="1018" w:name="Tc_YC2RyvmgEkSMUNlaQe0ydg_6_5"/>
      <w:bookmarkStart w:id="1019" w:name="Tc_ONzC37wwx0eQotMuPQelXw_6_2"/>
      <w:bookmarkStart w:id="1020" w:name="Tc_lnIN1HG9yUOvUn9dFQm4-A_6_0"/>
      <w:bookmarkStart w:id="1021" w:name="Tc_dc1U_qmmEkSAydNlJiOJHQ_5_0"/>
      <w:bookmarkStart w:id="1022" w:name="Tc_WSopYgsxmkqsWYwZVbnMFQ_4_2"/>
      <w:bookmarkStart w:id="1023" w:name="Tc_Yii-hQW9hkmwlV8cTMv2ow_3_23"/>
      <w:bookmarkStart w:id="1024" w:name="Tc_85ofaUdBakiO8zx3GL6SuQ_3_20"/>
      <w:bookmarkStart w:id="1025" w:name="Tc_g1o3jkpRw0ORdc_3DldWdQ_3_17"/>
      <w:bookmarkStart w:id="1026" w:name="Tc_qi04Dt--xEaIZhvoHXpn7Q_3_14"/>
      <w:bookmarkStart w:id="1027" w:name="Tc_tnVSdtW0rESlX9abjH_TnA_3_11"/>
      <w:bookmarkStart w:id="1028" w:name="Tc_VakY8CW7Lk-e-2LtIFFA5Q_3_8"/>
      <w:bookmarkStart w:id="1029" w:name="Tc_FpuXAnziW0KkLdH_RkQeOg_3_5"/>
      <w:bookmarkStart w:id="1030" w:name="Tc_BgjrNj21SU2hUkloqRNOkw_3_2"/>
      <w:bookmarkStart w:id="1031" w:name="Tc_I52dECQwYEWoGYJX9NjJ7A_2_14"/>
      <w:bookmarkStart w:id="1032" w:name="Tc_EbsUuMPnAkyBckByx3OZYw_2_2"/>
      <w:bookmarkStart w:id="1033" w:name="Tc_hjCvbDRupkyL297mjGOv1w_1_2"/>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spacing w:val="-2"/>
        </w:rPr>
        <w:t>​</w:t>
      </w:r>
    </w:p>
    <w:p>
      <w:pPr>
        <w:pStyle w:val="TextBody"/>
        <w:bidi w:val="0"/>
        <w:spacing w:before="0" w:after="0"/>
        <w:ind w:left="0" w:right="0" w:hanging="0"/>
        <w:jc w:val="both"/>
        <w:rPr>
          <w:rFonts w:ascii="Arial;Helvetica;sans-serif" w:hAnsi="Arial;Helvetica;sans-serif"/>
          <w:b/>
          <w:i/>
          <w:spacing w:val="-2"/>
          <w:sz w:val="20"/>
        </w:rPr>
      </w:pPr>
      <w:r>
        <w:rPr>
          <w:rFonts w:ascii="Arial;Helvetica;sans-serif" w:hAnsi="Arial;Helvetica;sans-serif"/>
          <w:b/>
          <w:i/>
          <w:spacing w:val="-2"/>
          <w:sz w:val="20"/>
        </w:rPr>
        <w:t>Fair Value Measurements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Our investments measured at fair value on a recurring basis were as follows:</w:t>
      </w:r>
    </w:p>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1673"/>
        <w:gridCol w:w="326"/>
        <w:gridCol w:w="181"/>
        <w:gridCol w:w="601"/>
        <w:gridCol w:w="326"/>
        <w:gridCol w:w="181"/>
        <w:gridCol w:w="601"/>
        <w:gridCol w:w="326"/>
        <w:gridCol w:w="196"/>
        <w:gridCol w:w="375"/>
        <w:gridCol w:w="326"/>
        <w:gridCol w:w="181"/>
        <w:gridCol w:w="721"/>
        <w:gridCol w:w="326"/>
        <w:gridCol w:w="181"/>
        <w:gridCol w:w="601"/>
        <w:gridCol w:w="326"/>
        <w:gridCol w:w="181"/>
        <w:gridCol w:w="526"/>
        <w:gridCol w:w="326"/>
        <w:gridCol w:w="196"/>
        <w:gridCol w:w="375"/>
        <w:gridCol w:w="326"/>
        <w:gridCol w:w="181"/>
        <w:gridCol w:w="646"/>
      </w:tblGrid>
      <w:tr>
        <w:trPr/>
        <w:tc>
          <w:tcPr>
            <w:tcW w:w="1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062355" cy="175260"/>
                      <wp:effectExtent l="0" t="0" r="0" b="0"/>
                      <wp:wrapNone/>
                      <wp:docPr id="93" name="Frame93"/>
                      <a:graphic xmlns:a="http://schemas.openxmlformats.org/drawingml/2006/main">
                        <a:graphicData uri="http://schemas.microsoft.com/office/word/2010/wordprocessingShape">
                          <wps:wsp>
                            <wps:cNvSpPr txBox="1"/>
                            <wps:spPr>
                              <a:xfrm>
                                <a:off x="0" y="0"/>
                                <a:ext cx="1062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14935" cy="175260"/>
                      <wp:effectExtent l="0" t="0" r="0" b="0"/>
                      <wp:wrapNone/>
                      <wp:docPr id="95" name="Frame9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81635" cy="175260"/>
                      <wp:effectExtent l="0" t="0" r="0" b="0"/>
                      <wp:wrapNone/>
                      <wp:docPr id="96" name="Frame9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14935" cy="175260"/>
                      <wp:effectExtent l="0" t="0" r="0" b="0"/>
                      <wp:wrapNone/>
                      <wp:docPr id="98" name="Frame9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81635" cy="175260"/>
                      <wp:effectExtent l="0" t="0" r="0" b="0"/>
                      <wp:wrapNone/>
                      <wp:docPr id="99" name="Frame9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24460" cy="175260"/>
                      <wp:effectExtent l="0" t="0" r="0" b="0"/>
                      <wp:wrapNone/>
                      <wp:docPr id="101" name="Frame10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38125" cy="175260"/>
                      <wp:effectExtent l="0" t="0" r="0" b="0"/>
                      <wp:wrapNone/>
                      <wp:docPr id="102" name="Frame10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4935" cy="175260"/>
                      <wp:effectExtent l="0" t="0" r="0" b="0"/>
                      <wp:wrapNone/>
                      <wp:docPr id="104" name="Frame104"/>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57835" cy="175260"/>
                      <wp:effectExtent l="0" t="0" r="0" b="0"/>
                      <wp:wrapNone/>
                      <wp:docPr id="105" name="Frame10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14935" cy="175260"/>
                      <wp:effectExtent l="0" t="0" r="0" b="0"/>
                      <wp:wrapNone/>
                      <wp:docPr id="107" name="Frame10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81635" cy="175260"/>
                      <wp:effectExtent l="0" t="0" r="0" b="0"/>
                      <wp:wrapNone/>
                      <wp:docPr id="108" name="Frame108"/>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14935" cy="175260"/>
                      <wp:effectExtent l="0" t="0" r="0" b="0"/>
                      <wp:wrapNone/>
                      <wp:docPr id="110" name="Frame11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34010" cy="175260"/>
                      <wp:effectExtent l="0" t="0" r="0" b="0"/>
                      <wp:wrapNone/>
                      <wp:docPr id="111" name="Frame111"/>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38125" cy="175260"/>
                      <wp:effectExtent l="0" t="0" r="0" b="0"/>
                      <wp:wrapNone/>
                      <wp:docPr id="114" name="Frame114"/>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14935" cy="175260"/>
                      <wp:effectExtent l="0" t="0" r="0" b="0"/>
                      <wp:wrapNone/>
                      <wp:docPr id="116" name="Frame116"/>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10210" cy="175260"/>
                      <wp:effectExtent l="0" t="0" r="0" b="0"/>
                      <wp:wrapNone/>
                      <wp:docPr id="117" name="Frame11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06" w:type="dxa"/>
            <w:gridSpan w:val="23"/>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As of</w:t>
            </w:r>
          </w:p>
        </w:tc>
      </w:tr>
      <w:tr>
        <w:trPr/>
        <w:tc>
          <w:tcPr>
            <w:tcW w:w="16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1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September 30, 2025</w:t>
            </w:r>
          </w:p>
        </w:tc>
        <w:tc>
          <w:tcPr>
            <w:tcW w:w="326" w:type="dxa"/>
            <w:tcBorders/>
            <w:vAlign w:val="center"/>
          </w:tcPr>
          <w:p>
            <w:pPr>
              <w:pStyle w:val="TableContents"/>
              <w:bidi w:val="0"/>
              <w:spacing w:before="0" w:after="0"/>
              <w:ind w:left="0" w:right="0" w:hanging="0"/>
              <w:jc w:val="left"/>
              <w:rPr/>
            </w:pPr>
            <w:r>
              <w:rPr/>
              <w:t>​</w:t>
            </w:r>
          </w:p>
        </w:tc>
        <w:tc>
          <w:tcPr>
            <w:tcW w:w="3865"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December 31, 2024</w:t>
            </w:r>
          </w:p>
        </w:tc>
      </w:tr>
      <w:tr>
        <w:trPr/>
        <w:tc>
          <w:tcPr>
            <w:tcW w:w="16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1</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2</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1</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2</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Level 3</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Total</w:t>
            </w:r>
          </w:p>
        </w:tc>
      </w:tr>
      <w:tr>
        <w:trPr/>
        <w:tc>
          <w:tcPr>
            <w:tcW w:w="10205" w:type="dxa"/>
            <w:gridSpan w:val="25"/>
            <w:tcBorders/>
            <w:vAlign w:val="center"/>
          </w:tcPr>
          <w:p>
            <w:pPr>
              <w:pStyle w:val="TableContents"/>
              <w:bidi w:val="0"/>
              <w:spacing w:before="0" w:after="283"/>
              <w:ind w:left="0" w:right="0" w:hanging="0"/>
              <w:jc w:val="left"/>
              <w:rPr>
                <w:sz w:val="4"/>
                <w:szCs w:val="4"/>
              </w:rPr>
            </w:pPr>
            <w:r>
              <w:rPr>
                <w:sz w:val="4"/>
                <w:szCs w:val="4"/>
              </w:rPr>
            </w:r>
          </w:p>
        </w:tc>
      </w:tr>
      <w:tr>
        <w:trPr/>
        <w:tc>
          <w:tcPr>
            <w:tcW w:w="16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06" w:type="dxa"/>
            <w:gridSpan w:val="23"/>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1673"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Cash and cash equivalents (including restricted):</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167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384,546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384,546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468,799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468,799</w:t>
            </w:r>
          </w:p>
        </w:tc>
      </w:tr>
      <w:tr>
        <w:trPr/>
        <w:tc>
          <w:tcPr>
            <w:tcW w:w="167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Cash equivalents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133,749</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803,461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937,210</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221,083</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40,907</w:t>
            </w:r>
          </w:p>
        </w:tc>
        <w:tc>
          <w:tcPr>
            <w:tcW w:w="326" w:type="dxa"/>
            <w:tcBorders/>
            <w:vAlign w:val="center"/>
          </w:tcPr>
          <w:p>
            <w:pPr>
              <w:pStyle w:val="TableContents"/>
              <w:bidi w:val="0"/>
              <w:spacing w:before="0" w:after="0"/>
              <w:ind w:left="0" w:right="0" w:hanging="0"/>
              <w:jc w:val="center"/>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261,990</w:t>
            </w:r>
          </w:p>
        </w:tc>
      </w:tr>
      <w:tr>
        <w:trPr/>
        <w:tc>
          <w:tcPr>
            <w:tcW w:w="167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518,295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803,461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1,321,756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689,882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40,907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730,789</w:t>
            </w:r>
          </w:p>
        </w:tc>
      </w:tr>
      <w:tr>
        <w:trPr/>
        <w:tc>
          <w:tcPr>
            <w:tcW w:w="167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center"/>
              <w:rPr/>
            </w:pPr>
            <w:r>
              <w:rPr/>
              <w:t>​</w:t>
            </w:r>
          </w:p>
        </w:tc>
      </w:tr>
      <w:tr>
        <w:trPr/>
        <w:tc>
          <w:tcPr>
            <w:tcW w:w="167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Debt securities (including restricted):</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left"/>
              <w:rPr/>
            </w:pPr>
            <w:r>
              <w:rPr/>
              <w:t>​</w:t>
            </w:r>
          </w:p>
        </w:tc>
      </w:tr>
      <w:tr>
        <w:trPr/>
        <w:tc>
          <w:tcPr>
            <w:tcW w:w="167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U.S. Treasury and agency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8,163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8,163</w:t>
            </w:r>
          </w:p>
        </w:tc>
      </w:tr>
      <w:tr>
        <w:trPr/>
        <w:tc>
          <w:tcPr>
            <w:tcW w:w="167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15,100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15,100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pPr>
            <w:r>
              <w:rPr/>
              <w:t>—</w:t>
            </w:r>
          </w:p>
        </w:tc>
      </w:tr>
      <w:tr>
        <w:trPr/>
        <w:tc>
          <w:tcPr>
            <w:tcW w:w="1673"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Corporate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42,556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42,556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15,719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15,719</w:t>
            </w:r>
          </w:p>
        </w:tc>
      </w:tr>
      <w:tr>
        <w:trPr/>
        <w:tc>
          <w:tcPr>
            <w:tcW w:w="1673"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 xml:space="preserve">Other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529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580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4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276</w:t>
            </w:r>
          </w:p>
        </w:tc>
      </w:tr>
      <w:tr>
        <w:trPr/>
        <w:tc>
          <w:tcPr>
            <w:tcW w:w="1673"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Equity securities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r>
      <w:tr>
        <w:trPr/>
        <w:tc>
          <w:tcPr>
            <w:tcW w:w="1673"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58,185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58,246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8,173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15,944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48" w:hanging="0"/>
              <w:jc w:val="right"/>
              <w:rPr>
                <w:rFonts w:ascii="Arial;Helvetica;sans-serif" w:hAnsi="Arial;Helvetica;sans-serif"/>
                <w:sz w:val="14"/>
              </w:rPr>
            </w:pPr>
            <w:r>
              <w:rPr>
                <w:rFonts w:ascii="Arial;Helvetica;sans-serif" w:hAnsi="Arial;Helvetica;sans-serif"/>
                <w:sz w:val="14"/>
              </w:rPr>
              <w:t>24,168</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As of September 30, 2025, restricted and non-restricted marketable investment securities included debt securities of $39</w:t>
      </w:r>
      <w:r>
        <w:rPr>
          <w:rFonts w:ascii="Times New Roman;Times;serif" w:hAnsi="Times New Roman;Times;serif"/>
          <w:spacing w:val="-2"/>
          <w:sz w:val="18"/>
        </w:rPr>
        <w:t xml:space="preserve"> </w:t>
      </w:r>
      <w:r>
        <w:rPr>
          <w:rFonts w:ascii="Arial;Helvetica;sans-serif" w:hAnsi="Arial;Helvetica;sans-serif"/>
          <w:spacing w:val="-2"/>
          <w:sz w:val="20"/>
        </w:rPr>
        <w:t>million with contractual maturities within one year and $19</w:t>
      </w:r>
      <w:r>
        <w:rPr>
          <w:rFonts w:ascii="Times New Roman;Times;serif" w:hAnsi="Times New Roman;Times;serif"/>
          <w:spacing w:val="-2"/>
          <w:sz w:val="18"/>
        </w:rPr>
        <w:t xml:space="preserve"> </w:t>
      </w:r>
      <w:r>
        <w:rPr>
          <w:rFonts w:ascii="Arial;Helvetica;sans-serif" w:hAnsi="Arial;Helvetica;sans-serif"/>
          <w:spacing w:val="-2"/>
          <w:sz w:val="20"/>
        </w:rPr>
        <w:t>million with contractual maturities extending longer than one year through and including five years. Actual maturities may differ from contractual maturities as a result of our ability to sell these securities prior to maturity.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Gains and Losses on Sales and Changes in Carrying Amounts of Investments and Other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r>
        <w:rPr>
          <w:rFonts w:ascii="Arial;Helvetica;sans-serif" w:hAnsi="Arial;Helvetica;sans-serif"/>
          <w:spacing w:val="-2"/>
          <w:sz w:val="20"/>
        </w:rPr>
        <w:t>Other, net” within “Other Income (Expense)” included on our Condensed Consolidated Statements of Operations and Comprehensive Income (Loss) is as follows:</w:t>
      </w:r>
    </w:p>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4724"/>
        <w:gridCol w:w="326"/>
        <w:gridCol w:w="229"/>
        <w:gridCol w:w="844"/>
        <w:gridCol w:w="355"/>
        <w:gridCol w:w="229"/>
        <w:gridCol w:w="746"/>
        <w:gridCol w:w="326"/>
        <w:gridCol w:w="216"/>
        <w:gridCol w:w="795"/>
        <w:gridCol w:w="334"/>
        <w:gridCol w:w="216"/>
        <w:gridCol w:w="865"/>
      </w:tblGrid>
      <w:tr>
        <w:trPr/>
        <w:tc>
          <w:tcPr>
            <w:tcW w:w="4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999740" cy="175260"/>
                      <wp:effectExtent l="0" t="0" r="0" b="0"/>
                      <wp:wrapNone/>
                      <wp:docPr id="118" name="Frame118"/>
                      <a:graphic xmlns:a="http://schemas.openxmlformats.org/drawingml/2006/main">
                        <a:graphicData uri="http://schemas.microsoft.com/office/word/2010/wordprocessingShape">
                          <wps:wsp>
                            <wps:cNvSpPr txBox="1"/>
                            <wps:spPr>
                              <a:xfrm>
                                <a:off x="0" y="0"/>
                                <a:ext cx="299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5415" cy="175260"/>
                      <wp:effectExtent l="0" t="0" r="0" b="0"/>
                      <wp:wrapNone/>
                      <wp:docPr id="120" name="Frame12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35940" cy="175260"/>
                      <wp:effectExtent l="0" t="0" r="0" b="0"/>
                      <wp:wrapNone/>
                      <wp:docPr id="121" name="Frame121"/>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5425" cy="175260"/>
                      <wp:effectExtent l="0" t="0" r="0" b="0"/>
                      <wp:wrapNone/>
                      <wp:docPr id="122" name="Frame122"/>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5415" cy="175260"/>
                      <wp:effectExtent l="0" t="0" r="0" b="0"/>
                      <wp:wrapNone/>
                      <wp:docPr id="123" name="Frame12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73710" cy="175260"/>
                      <wp:effectExtent l="0" t="0" r="0" b="0"/>
                      <wp:wrapNone/>
                      <wp:docPr id="124" name="Frame124"/>
                      <a:graphic xmlns:a="http://schemas.openxmlformats.org/drawingml/2006/main">
                        <a:graphicData uri="http://schemas.microsoft.com/office/word/2010/wordprocessingShape">
                          <wps:wsp>
                            <wps:cNvSpPr txBox="1"/>
                            <wps:spPr>
                              <a:xfrm>
                                <a:off x="0" y="0"/>
                                <a:ext cx="47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7160" cy="175260"/>
                      <wp:effectExtent l="0" t="0" r="0" b="0"/>
                      <wp:wrapNone/>
                      <wp:docPr id="126" name="Frame126"/>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04825" cy="175260"/>
                      <wp:effectExtent l="0" t="0" r="0" b="0"/>
                      <wp:wrapNone/>
                      <wp:docPr id="127" name="Frame127"/>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2090" cy="175260"/>
                      <wp:effectExtent l="0" t="0" r="0" b="0"/>
                      <wp:wrapNone/>
                      <wp:docPr id="128" name="Frame128"/>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7160" cy="175260"/>
                      <wp:effectExtent l="0" t="0" r="0" b="0"/>
                      <wp:wrapNone/>
                      <wp:docPr id="129" name="Frame12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49275" cy="175260"/>
                      <wp:effectExtent l="0" t="0" r="0" b="0"/>
                      <wp:wrapNone/>
                      <wp:docPr id="130" name="Frame130"/>
                      <a:graphic xmlns:a="http://schemas.openxmlformats.org/drawingml/2006/main">
                        <a:graphicData uri="http://schemas.microsoft.com/office/word/2010/wordprocessingShape">
                          <wps:wsp>
                            <wps:cNvSpPr txBox="1"/>
                            <wps:spPr>
                              <a:xfrm>
                                <a:off x="0" y="0"/>
                                <a:ext cx="54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3"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center"/>
              <w:rPr/>
            </w:pPr>
            <w:r>
              <w:rPr/>
              <w:t>​</w:t>
            </w:r>
          </w:p>
        </w:tc>
        <w:tc>
          <w:tcPr>
            <w:tcW w:w="2426"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47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42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4724"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net:</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55" w:type="dxa"/>
            <w:tcBorders/>
            <w:vAlign w:val="center"/>
          </w:tcPr>
          <w:p>
            <w:pPr>
              <w:pStyle w:val="TableContents"/>
              <w:bidi w:val="0"/>
              <w:spacing w:before="0" w:after="0"/>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34" w:type="dxa"/>
            <w:tcBorders/>
            <w:vAlign w:val="center"/>
          </w:tcPr>
          <w:p>
            <w:pPr>
              <w:pStyle w:val="TableContents"/>
              <w:bidi w:val="0"/>
              <w:spacing w:before="0" w:after="0"/>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24"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5155"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7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Realized and unrealized gains (losses) and impairments on investments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(11,823)</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(922)</w:t>
            </w:r>
          </w:p>
        </w:tc>
      </w:tr>
      <w:tr>
        <w:trPr/>
        <w:tc>
          <w:tcPr>
            <w:tcW w:w="472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Sale of Assets to EchoStar - realized gains (losses)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pPr>
            <w:r>
              <w:rPr/>
              <w:t>—</w:t>
            </w:r>
          </w:p>
        </w:tc>
        <w:tc>
          <w:tcPr>
            <w:tcW w:w="35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128,788</w:t>
            </w:r>
          </w:p>
        </w:tc>
      </w:tr>
      <w:tr>
        <w:trPr/>
        <w:tc>
          <w:tcPr>
            <w:tcW w:w="47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Equity in earnings (losses) of affiliates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4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7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79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86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(68,257)</w:t>
            </w:r>
          </w:p>
        </w:tc>
      </w:tr>
      <w:tr>
        <w:trPr/>
        <w:tc>
          <w:tcPr>
            <w:tcW w:w="472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Asset sales and other gains (losses) (1)</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4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(42,503)</w:t>
            </w:r>
          </w:p>
        </w:tc>
        <w:tc>
          <w:tcPr>
            <w:tcW w:w="355"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7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21,310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(5,062)</w:t>
            </w:r>
          </w:p>
        </w:tc>
        <w:tc>
          <w:tcPr>
            <w:tcW w:w="33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86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21,310</w:t>
            </w:r>
          </w:p>
        </w:tc>
      </w:tr>
      <w:tr>
        <w:trPr/>
        <w:tc>
          <w:tcPr>
            <w:tcW w:w="472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1,071</w:t>
            </w:r>
          </w:p>
        </w:tc>
        <w:tc>
          <w:tcPr>
            <w:tcW w:w="355"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1,170</w:t>
            </w:r>
          </w:p>
        </w:tc>
        <w:tc>
          <w:tcPr>
            <w:tcW w:w="33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w:t>
            </w:r>
          </w:p>
        </w:tc>
      </w:tr>
      <w:tr>
        <w:trPr/>
        <w:tc>
          <w:tcPr>
            <w:tcW w:w="4724"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(41,156)</w:t>
            </w:r>
          </w:p>
        </w:tc>
        <w:tc>
          <w:tcPr>
            <w:tcW w:w="355"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4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18,019</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(15,938)</w:t>
            </w:r>
          </w:p>
        </w:tc>
        <w:tc>
          <w:tcPr>
            <w:tcW w:w="334"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5"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80,884</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(1)</w:t>
            </w:r>
          </w:p>
        </w:tc>
        <w:tc>
          <w:tcPr>
            <w:tcW w:w="988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Asset sales and other assets gains (losses) includes, among other things, gains and (losses) related to the sale of the Fiber business during 2025 and the Liberty Puerto Rico asset sale during 2024.</w:t>
            </w:r>
            <w:r>
              <w:rPr>
                <w:caps w:val="false"/>
                <w:smallCaps w:val="false"/>
              </w:rPr>
              <w:t xml:space="preserve"> </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034" w:name="Tc_L3kEDznxiU6iOhQEsaCgmw_9_5"/>
      <w:bookmarkStart w:id="1035" w:name="Tc_xopOowQeA0O3yD83f57kww_9_2"/>
      <w:bookmarkStart w:id="1036" w:name="Tc_urN710R_DkaiybHBhlOd4g_9_0"/>
      <w:bookmarkStart w:id="1037" w:name="Tc_WvzAvVchaEmLTSVy4OKzIw_8_0"/>
      <w:bookmarkStart w:id="1038" w:name="Tc_cJe5p0kjgUW4d-eTlr5SLw_7_0"/>
      <w:bookmarkStart w:id="1039" w:name="Tc_mAJcPZ7_RkaK5_K7GxRCnw_6_0"/>
      <w:bookmarkStart w:id="1040" w:name="Tc_5mhokFFBrEuSvDsd_OiECg_5_5"/>
      <w:bookmarkStart w:id="1041" w:name="Tc_ov8pjwtBsE-hXNEEXi-jCg_5_2"/>
      <w:bookmarkStart w:id="1042" w:name="Tc_busyzIoHzESHbL4N-bJgEA_5_0"/>
      <w:bookmarkStart w:id="1043" w:name="Tc_XoryVNvTqE6aJCLLWFsJZA_4_2"/>
      <w:bookmarkStart w:id="1044" w:name="Tc_qyRlcB5U8U6MvYdUpI5Tlg_3_5"/>
      <w:bookmarkStart w:id="1045" w:name="Tc_ObNVJM-82USN7f9l9EpXqA_3_2"/>
      <w:bookmarkStart w:id="1046" w:name="Tc_2xBLoaG1_0-8tV0gAMt0iw_2_5"/>
      <w:bookmarkStart w:id="1047" w:name="Tc_lfTivpDOLUe_v8uxbGCg9g_2_2"/>
      <w:bookmarkStart w:id="1048" w:name="Tc_SewbfdJME0aLV_jUkZKfDQ_1_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val="false"/>
          <w:caps w:val="false"/>
          <w:smallCaps w:val="false"/>
          <w:spacing w:val="-2"/>
          <w:sz w:val="20"/>
        </w:rPr>
        <w:t>5.</w:t>
      </w:r>
      <w:r>
        <w:rPr>
          <w:rFonts w:ascii="Arial;Helvetica;sans-serif" w:hAnsi="Arial;Helvetica;sans-serif"/>
          <w:b/>
          <w:spacing w:val="-2"/>
          <w:sz w:val="20"/>
        </w:rPr>
        <w:t>Inventory</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Inventory consisted of the following:</w:t>
      </w:r>
    </w:p>
    <w:p>
      <w:pPr>
        <w:pStyle w:val="TextBody"/>
        <w:bidi w:val="0"/>
        <w:spacing w:before="0" w:after="0"/>
        <w:ind w:left="0" w:right="0" w:hanging="0"/>
        <w:jc w:val="both"/>
        <w:rPr>
          <w:spacing w:val="-2"/>
        </w:rPr>
      </w:pPr>
      <w:r>
        <w:rPr>
          <w:spacing w:val="-2"/>
        </w:rPr>
        <w:t>​</w:t>
      </w:r>
    </w:p>
    <w:tbl>
      <w:tblPr>
        <w:tblW w:w="6503" w:type="dxa"/>
        <w:jc w:val="left"/>
        <w:tblInd w:w="0" w:type="dxa"/>
        <w:tblLayout w:type="fixed"/>
        <w:tblCellMar>
          <w:top w:w="0" w:type="dxa"/>
          <w:left w:w="0" w:type="dxa"/>
          <w:bottom w:w="0" w:type="dxa"/>
          <w:right w:w="0" w:type="dxa"/>
        </w:tblCellMar>
      </w:tblPr>
      <w:tblGrid>
        <w:gridCol w:w="3061"/>
        <w:gridCol w:w="326"/>
        <w:gridCol w:w="296"/>
        <w:gridCol w:w="1099"/>
        <w:gridCol w:w="326"/>
        <w:gridCol w:w="268"/>
        <w:gridCol w:w="1127"/>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943735" cy="175260"/>
                      <wp:effectExtent l="0" t="0" r="0" b="0"/>
                      <wp:wrapNone/>
                      <wp:docPr id="131" name="Frame131"/>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7960" cy="175260"/>
                      <wp:effectExtent l="0" t="0" r="0" b="0"/>
                      <wp:wrapNone/>
                      <wp:docPr id="133" name="Frame13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97865" cy="175260"/>
                      <wp:effectExtent l="0" t="0" r="0" b="0"/>
                      <wp:wrapNone/>
                      <wp:docPr id="134" name="Frame134"/>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0180" cy="175260"/>
                      <wp:effectExtent l="0" t="0" r="0" b="0"/>
                      <wp:wrapNone/>
                      <wp:docPr id="136" name="Frame136"/>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15645" cy="175260"/>
                      <wp:effectExtent l="0" t="0" r="0" b="0"/>
                      <wp:wrapNone/>
                      <wp:docPr id="137" name="Frame137"/>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1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5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16"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Finished goods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192,228</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262,722</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Work-in-process and service repairs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109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22,060</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112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27,432</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Consignment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10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6,913</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10,110</w:t>
            </w:r>
          </w:p>
        </w:tc>
      </w:tr>
      <w:tr>
        <w:trPr/>
        <w:tc>
          <w:tcPr>
            <w:tcW w:w="306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Raw materials</w:t>
            </w:r>
          </w:p>
        </w:tc>
        <w:tc>
          <w:tcPr>
            <w:tcW w:w="326" w:type="dxa"/>
            <w:tcBorders/>
            <w:vAlign w:val="center"/>
          </w:tcPr>
          <w:p>
            <w:pPr>
              <w:pStyle w:val="TableContents"/>
              <w:bidi w:val="0"/>
              <w:spacing w:before="0" w:after="0"/>
              <w:ind w:left="0" w:right="0" w:hanging="0"/>
              <w:jc w:val="left"/>
              <w:rPr/>
            </w:pPr>
            <w:r>
              <w:rPr/>
              <w:t>​</w:t>
            </w:r>
          </w:p>
        </w:tc>
        <w:tc>
          <w:tcPr>
            <w:tcW w:w="2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3,863</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3,064</w:t>
            </w:r>
          </w:p>
        </w:tc>
      </w:tr>
      <w:tr>
        <w:trPr/>
        <w:tc>
          <w:tcPr>
            <w:tcW w:w="306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225,064</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303,328</w:t>
            </w:r>
          </w:p>
        </w:tc>
      </w:tr>
    </w:tbl>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2"/>
        </w:rPr>
      </w:pPr>
      <w:bookmarkStart w:id="1049" w:name="Tc_biRXZRjpZ0O5TlRXPlJCpw_15_9"/>
      <w:bookmarkStart w:id="1050" w:name="Tc_8cBggm7DcEOGidiFIdW8MA_15_6"/>
      <w:bookmarkStart w:id="1051" w:name="Tc_D6kt5JjFfUyaTsXZdbDJQA_15_0"/>
      <w:bookmarkStart w:id="1052" w:name="Tc_2_DIusLCvUGz8sS5oCY_ng_14_0"/>
      <w:bookmarkStart w:id="1053" w:name="Tc_JCr44n0TN0y0HNdyqhO7Qg_13_0"/>
      <w:bookmarkStart w:id="1054" w:name="Tc_Ey9BNuDGqUGkaI4H-JwGFQ_12_3"/>
      <w:bookmarkStart w:id="1055" w:name="Tc_pJ1Xds2av0yLBKDT6L2xdQ_12_0"/>
      <w:bookmarkStart w:id="1056" w:name="Tc_2nK_rmNJxkmYIkhPo0swFQ_11_3"/>
      <w:bookmarkStart w:id="1057" w:name="Tc_KlIlx0n2QE-s1FjkX8J7zg_11_0"/>
      <w:bookmarkStart w:id="1058" w:name="Tc_P8uq27qonkqFwcSIOFOoNQ_10_3"/>
      <w:bookmarkStart w:id="1059" w:name="Tc__9Z1CEFlME66saua0v3QMQ_10_0"/>
      <w:bookmarkStart w:id="1060" w:name="Tc_yepu-U2OvkivFS3qcKYDkA_9_3"/>
      <w:bookmarkStart w:id="1061" w:name="Tc_y3Uowp_gdUe5XtvMOWhKcw_9_0"/>
      <w:bookmarkStart w:id="1062" w:name="Tc_NulQy9c6xUm5qLRhosIh1A_8_3"/>
      <w:bookmarkStart w:id="1063" w:name="Tc_wHfFsr1tmUSOeFzd0IvgPA_8_0"/>
      <w:bookmarkStart w:id="1064" w:name="Tc_y35UIIE4DUGpDvntoxh09Q_7_3"/>
      <w:bookmarkStart w:id="1065" w:name="Tc_OBhnhbO4A0yRsMyz76ZLhg_7_0"/>
      <w:bookmarkStart w:id="1066" w:name="Tc_cqF2GjbimUCnS90s-NBBQQ_6_3"/>
      <w:bookmarkStart w:id="1067" w:name="Tc_P_srDrlhPUyQ9-MQUkN8PA_6_0"/>
      <w:bookmarkStart w:id="1068" w:name="Tc_rpRy7wckfEuzKp7XLWbN5g_5_9"/>
      <w:bookmarkStart w:id="1069" w:name="Tc_KD15y1YRykSaClXjH5-8ew_5_6"/>
      <w:bookmarkStart w:id="1070" w:name="Tc_RCq4_QZpXkKhEwXs3icAOw_5_3"/>
      <w:bookmarkStart w:id="1071" w:name="Tc_eepFsVdPPU2v_j-Z2mJPxA_5_0"/>
      <w:bookmarkStart w:id="1072" w:name="Tc_78Ku3xlZVkGOyhhdIsl9yQ_4_6"/>
      <w:bookmarkStart w:id="1073" w:name="Tc_4uW22FeOTEKggyIHKxEfQw_3_9"/>
      <w:bookmarkStart w:id="1074" w:name="Tc_h_U_8BLt10KGrIRR7Bc-Eg_3_6"/>
      <w:bookmarkStart w:id="1075" w:name="Tc_DBYDuN_050aB_Y4P6hKaxA_3_2"/>
      <w:bookmarkStart w:id="1076" w:name="Tc_FRppyBDjFEipUUnBPTbhSw_2_9"/>
      <w:bookmarkStart w:id="1077" w:name="Tc_gxiQB4R5L0e0WrSz3E4SJw_2_6"/>
      <w:bookmarkStart w:id="1078" w:name="Tc_FrXFwCVYp0-TyLIfiUKchA_2_2"/>
      <w:bookmarkStart w:id="1079" w:name="Tc_3y48DN5Z0UiXAJ5ISyZz4Q_1_6"/>
      <w:bookmarkStart w:id="1080" w:name="Tc_wgpTWBZ0hkqN5pCosoQBQg_1_2"/>
      <w:bookmarkStart w:id="1081" w:name="_77c521a1_4482_4370_8fdc_316255d5fff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val="false"/>
          <w:caps w:val="false"/>
          <w:smallCaps w:val="false"/>
          <w:spacing w:val="-2"/>
          <w:sz w:val="20"/>
        </w:rPr>
        <w:t>6.</w:t>
      </w:r>
      <w:r>
        <w:rPr>
          <w:rFonts w:ascii="Arial;Helvetica;sans-serif" w:hAnsi="Arial;Helvetica;sans-serif"/>
          <w:b/>
          <w:spacing w:val="-2"/>
          <w:sz w:val="20"/>
        </w:rPr>
        <w:t>Property and Equipment and Intangible Assets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i/>
          <w:spacing w:val="-2"/>
          <w:sz w:val="20"/>
        </w:rPr>
      </w:pPr>
      <w:r>
        <w:rPr>
          <w:rFonts w:ascii="Arial;Helvetica;sans-serif" w:hAnsi="Arial;Helvetica;sans-serif"/>
          <w:b/>
          <w:i/>
          <w:spacing w:val="-2"/>
          <w:sz w:val="20"/>
        </w:rPr>
        <w:t>Property and Equipment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Property and equipment consisted of the following:</w:t>
      </w:r>
    </w:p>
    <w:p>
      <w:pPr>
        <w:pStyle w:val="TextBody"/>
        <w:bidi w:val="0"/>
        <w:spacing w:before="0" w:after="0"/>
        <w:ind w:left="0" w:right="0" w:hanging="0"/>
        <w:jc w:val="both"/>
        <w:rPr>
          <w:spacing w:val="-2"/>
        </w:rPr>
      </w:pPr>
      <w:r>
        <w:rPr>
          <w:spacing w:val="-2"/>
        </w:rPr>
        <w:t>​</w:t>
      </w:r>
    </w:p>
    <w:tbl>
      <w:tblPr>
        <w:tblW w:w="8450" w:type="dxa"/>
        <w:jc w:val="left"/>
        <w:tblInd w:w="0" w:type="dxa"/>
        <w:tblLayout w:type="fixed"/>
        <w:tblCellMar>
          <w:top w:w="0" w:type="dxa"/>
          <w:left w:w="0" w:type="dxa"/>
          <w:bottom w:w="0" w:type="dxa"/>
          <w:right w:w="0" w:type="dxa"/>
        </w:tblCellMar>
      </w:tblPr>
      <w:tblGrid>
        <w:gridCol w:w="3541"/>
        <w:gridCol w:w="326"/>
        <w:gridCol w:w="347"/>
        <w:gridCol w:w="273"/>
        <w:gridCol w:w="521"/>
        <w:gridCol w:w="326"/>
        <w:gridCol w:w="244"/>
        <w:gridCol w:w="1151"/>
        <w:gridCol w:w="326"/>
        <w:gridCol w:w="225"/>
        <w:gridCol w:w="1170"/>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248535" cy="175260"/>
                      <wp:effectExtent l="0" t="0" r="0" b="0"/>
                      <wp:wrapNone/>
                      <wp:docPr id="138" name="Frame138"/>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20345" cy="175260"/>
                      <wp:effectExtent l="0" t="0" r="0" b="0"/>
                      <wp:wrapNone/>
                      <wp:docPr id="140" name="Frame140"/>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3355" cy="175260"/>
                      <wp:effectExtent l="0" t="0" r="0" b="0"/>
                      <wp:wrapNone/>
                      <wp:docPr id="141" name="Frame141"/>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30835" cy="175260"/>
                      <wp:effectExtent l="0" t="0" r="0" b="0"/>
                      <wp:wrapNone/>
                      <wp:docPr id="142" name="Frame142"/>
                      <a:graphic xmlns:a="http://schemas.openxmlformats.org/drawingml/2006/main">
                        <a:graphicData uri="http://schemas.microsoft.com/office/word/2010/wordprocessingShape">
                          <wps:wsp>
                            <wps:cNvSpPr txBox="1"/>
                            <wps:spPr>
                              <a:xfrm>
                                <a:off x="0" y="0"/>
                                <a:ext cx="33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4940" cy="175260"/>
                      <wp:effectExtent l="0" t="0" r="0" b="0"/>
                      <wp:wrapNone/>
                      <wp:docPr id="144" name="Frame144"/>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30885" cy="175260"/>
                      <wp:effectExtent l="0" t="0" r="0" b="0"/>
                      <wp:wrapNone/>
                      <wp:docPr id="145" name="Frame145"/>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42875" cy="175260"/>
                      <wp:effectExtent l="0" t="0" r="0" b="0"/>
                      <wp:wrapNone/>
                      <wp:docPr id="147" name="Frame147"/>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42950" cy="175260"/>
                      <wp:effectExtent l="0" t="0" r="0" b="0"/>
                      <wp:wrapNone/>
                      <wp:docPr id="148" name="Frame148"/>
                      <a:graphic xmlns:a="http://schemas.openxmlformats.org/drawingml/2006/main">
                        <a:graphicData uri="http://schemas.microsoft.com/office/word/2010/wordprocessingShape">
                          <wps:wsp>
                            <wps:cNvSpPr txBox="1"/>
                            <wps:spPr>
                              <a:xfrm>
                                <a:off x="0" y="0"/>
                                <a:ext cx="742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Depreciable</w:t>
            </w:r>
          </w:p>
        </w:tc>
        <w:tc>
          <w:tcPr>
            <w:tcW w:w="326" w:type="dxa"/>
            <w:tcBorders/>
            <w:vAlign w:val="center"/>
          </w:tcPr>
          <w:p>
            <w:pPr>
              <w:pStyle w:val="TableContents"/>
              <w:bidi w:val="0"/>
              <w:spacing w:before="0" w:after="0"/>
              <w:ind w:left="0" w:right="0" w:hanging="0"/>
              <w:jc w:val="left"/>
              <w:rPr/>
            </w:pPr>
            <w:r>
              <w:rPr/>
              <w:t>​</w:t>
            </w:r>
          </w:p>
        </w:tc>
        <w:tc>
          <w:tcPr>
            <w:tcW w:w="3116"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3"/>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Life</w:t>
            </w:r>
          </w:p>
        </w:tc>
        <w:tc>
          <w:tcPr>
            <w:tcW w:w="32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(In Years)</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450"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left"/>
              <w:rPr/>
            </w:pPr>
            <w:r>
              <w:rPr/>
              <w:t>​</w:t>
            </w:r>
          </w:p>
        </w:tc>
        <w:tc>
          <w:tcPr>
            <w:tcW w:w="273"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116"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911,089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1,005,750</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9</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1,718,865</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1,718,865</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Furniture, fixtures,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779,375</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801,650</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5G Network equipment/Hybrid MNO (1)(2)</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3</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15</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89,633</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5,382,706</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 (1)</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2</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1,265,919</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1,816,749</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and improvements</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5</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40</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11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334,471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117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334,213</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Land</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center"/>
              <w:rPr/>
            </w:pPr>
            <w:r>
              <w:rPr/>
              <w:t>​</w:t>
            </w:r>
          </w:p>
        </w:tc>
        <w:tc>
          <w:tcPr>
            <w:tcW w:w="273" w:type="dxa"/>
            <w:tcBorders/>
            <w:shd w:fill="CCEEFF" w:val="cle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12,041</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12,041</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Construction in progress (1)</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center"/>
              <w:rPr/>
            </w:pPr>
            <w:r>
              <w:rPr/>
              <w:t>​</w:t>
            </w:r>
          </w:p>
        </w:tc>
        <w:tc>
          <w:tcPr>
            <w:tcW w:w="273"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t>
            </w:r>
          </w:p>
        </w:tc>
        <w:tc>
          <w:tcPr>
            <w:tcW w:w="5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480,577</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1,544,726</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0"/>
              <w:ind w:left="0" w:right="0" w:hanging="0"/>
              <w:jc w:val="left"/>
              <w:rPr/>
            </w:pPr>
            <w:r>
              <w:rPr/>
              <w:t>​</w:t>
            </w:r>
          </w:p>
        </w:tc>
        <w:tc>
          <w:tcPr>
            <w:tcW w:w="5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11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5,591,970</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117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12,616,700</w:t>
            </w:r>
          </w:p>
        </w:tc>
      </w:tr>
      <w:tr>
        <w:trPr/>
        <w:tc>
          <w:tcPr>
            <w:tcW w:w="354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326"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(4,108,887)</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7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(5,387,611)</w:t>
            </w:r>
          </w:p>
        </w:tc>
      </w:tr>
      <w:tr>
        <w:trPr/>
        <w:tc>
          <w:tcPr>
            <w:tcW w:w="354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Property and equipment, net (3)</w:t>
            </w:r>
          </w:p>
        </w:tc>
        <w:tc>
          <w:tcPr>
            <w:tcW w:w="326" w:type="dxa"/>
            <w:tcBorders/>
            <w:shd w:fill="CCEEFF" w:val="clear"/>
            <w:vAlign w:val="center"/>
          </w:tcPr>
          <w:p>
            <w:pPr>
              <w:pStyle w:val="TableContents"/>
              <w:bidi w:val="0"/>
              <w:spacing w:before="0" w:after="0"/>
              <w:ind w:left="0" w:right="0" w:hanging="0"/>
              <w:jc w:val="left"/>
              <w:rPr/>
            </w:pPr>
            <w:r>
              <w:rPr/>
              <w:t>​</w:t>
            </w:r>
          </w:p>
        </w:tc>
        <w:tc>
          <w:tcPr>
            <w:tcW w:w="347"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0"/>
              <w:ind w:left="0" w:right="0" w:hanging="0"/>
              <w:jc w:val="center"/>
              <w:rPr/>
            </w:pPr>
            <w:r>
              <w:rPr/>
              <w:t>​</w:t>
            </w:r>
          </w:p>
        </w:tc>
        <w:tc>
          <w:tcPr>
            <w:tcW w:w="52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1,483,083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7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7,229,089</w:t>
            </w:r>
          </w:p>
        </w:tc>
      </w:tr>
    </w:tbl>
    <w:p>
      <w:pPr>
        <w:pStyle w:val="TextBody"/>
        <w:bidi w:val="0"/>
        <w:spacing w:before="0" w:after="0"/>
        <w:ind w:left="36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3"/>
        <w:gridCol w:w="9862"/>
      </w:tblGrid>
      <w:tr>
        <w:trPr/>
        <w:tc>
          <w:tcPr>
            <w:tcW w:w="3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change primarily resulted from the non-cash impairment of long-lived assets. See Note 1 for further information.</w:t>
            </w:r>
          </w:p>
        </w:tc>
      </w:tr>
    </w:tbl>
    <w:tbl>
      <w:tblPr>
        <w:tblW w:w="7712" w:type="dxa"/>
        <w:jc w:val="left"/>
        <w:tblInd w:w="0" w:type="dxa"/>
        <w:tblLayout w:type="fixed"/>
        <w:tblCellMar>
          <w:top w:w="0" w:type="dxa"/>
          <w:left w:w="0" w:type="dxa"/>
          <w:bottom w:w="0" w:type="dxa"/>
          <w:right w:w="0" w:type="dxa"/>
        </w:tblCellMar>
      </w:tblPr>
      <w:tblGrid>
        <w:gridCol w:w="346"/>
        <w:gridCol w:w="736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73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Historically, includes 5G Network assets acquired under finance lease agreements.</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870"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As of September 30, 2025 and December 31, 2024, there were no</w:t>
            </w:r>
            <w:r>
              <w:rPr>
                <w:caps w:val="false"/>
                <w:smallCaps w:val="false"/>
              </w:rPr>
              <w:t xml:space="preserve"> </w:t>
            </w:r>
            <w:r>
              <w:rPr>
                <w:rFonts w:ascii="Arial;Helvetica;sans-serif" w:hAnsi="Arial;Helvetica;sans-serif"/>
                <w:b w:val="false"/>
                <w:i w:val="false"/>
                <w:caps w:val="false"/>
                <w:smallCaps w:val="false"/>
                <w:sz w:val="20"/>
              </w:rPr>
              <w:t>refunds and other receipts of purchases of property and equipment.</w:t>
            </w:r>
          </w:p>
        </w:tc>
      </w:tr>
    </w:tbl>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082" w:name="Tc_0b5Tt1HwGUqi-JTbU0hQfA_9_11"/>
      <w:bookmarkStart w:id="1083" w:name="Tc_iJ8yQGD3x0mxNkU97iem_w_9_8"/>
      <w:bookmarkStart w:id="1084" w:name="Tc_vDrDKbMaSUqN5siVBSj1Iw_9_5"/>
      <w:bookmarkStart w:id="1085" w:name="Tc_0ozRBPfK_k6r699zb1CLPQ_9_2"/>
      <w:bookmarkStart w:id="1086" w:name="Tc_Z5u-82ix-U6IpGuOs57e7g_9_0"/>
      <w:bookmarkStart w:id="1087" w:name="Tc_LM-NOQDTYEewnXd1W5fgPQ_8_12"/>
      <w:bookmarkStart w:id="1088" w:name="Tc_3meJ72hpV0-vyYiHRM8d_g_8_6"/>
      <w:bookmarkStart w:id="1089" w:name="Tc_nRqEOxHrREW0n8r73uVjNw_8_0"/>
      <w:bookmarkStart w:id="1090" w:name="Tc_BMRzEtnml0Ow7DVE21OmKw_7_0"/>
      <w:bookmarkStart w:id="1091" w:name="Tc_g-tUsY86HkyD9rslcrPiXQ_6_0"/>
      <w:bookmarkStart w:id="1092" w:name="Tc_1FyVaD4MFE6QJbouWrHZRQ_5_11"/>
      <w:bookmarkStart w:id="1093" w:name="Tc_LEQwCkFasUOekO9SyXTdhQ_5_8"/>
      <w:bookmarkStart w:id="1094" w:name="Tc_Jolxp9KvHUWNenL-A2uwHg_5_5"/>
      <w:bookmarkStart w:id="1095" w:name="Tc_A45YrwwU9UGyMy_B8kPZvQ_5_2"/>
      <w:bookmarkStart w:id="1096" w:name="Tc_aF_b_0bZD0-sWV5J2eZhXg_5_0"/>
      <w:bookmarkStart w:id="1097" w:name="Tc_Wd2Qr90Xx02ttBgvbihyjA_4_2"/>
      <w:bookmarkStart w:id="1098" w:name="Tc_PT4sr6PksEKTLVBuVSEuyg_3_11"/>
      <w:bookmarkStart w:id="1099" w:name="Tc_gZL6kG2myU-a10wiA-FriQ_3_8"/>
      <w:bookmarkStart w:id="1100" w:name="Tc_KcYbkGhZo0ag51LNWG3JPw_3_5"/>
      <w:bookmarkStart w:id="1101" w:name="Tc__o2wPqTSH0aXk3O5IVmiJQ_3_2"/>
      <w:bookmarkStart w:id="1102" w:name="Tc_3K0CWYBb9EeSNrbj0sUKUQ_2_8"/>
      <w:bookmarkStart w:id="1103" w:name="Tc_7epPi0MFF0mrFQgkmvq2cw_2_2"/>
      <w:bookmarkStart w:id="1104" w:name="Tc_ObfuCA1n_0mzAuJ7eIerVg_1_8"/>
      <w:bookmarkStart w:id="1105" w:name="Tc_5sN-p5DbyE2rv9A8LMovug_1_2"/>
      <w:bookmarkStart w:id="1106" w:name="Tc_p0KTt4o3s0mSkVNm4_Q0KA_11_11"/>
      <w:bookmarkStart w:id="1107" w:name="Tc_Tnz483t0akOXD8ehVsEnKQ_11_8"/>
      <w:bookmarkStart w:id="1108" w:name="Tc_k5G133zZWUuF8ZY33umBiw_11_5"/>
      <w:bookmarkStart w:id="1109" w:name="Tc_sjy8xoRKIEywX-1cuHaegg_11_2"/>
      <w:bookmarkStart w:id="1110" w:name="Tc_gxKRtf2DDEm3qDiVpuYGsg_11_0"/>
      <w:bookmarkStart w:id="1111" w:name="Tc_cgcRIsjjXkSzwkyq_UKQ_g_10_0"/>
      <w:bookmarkStart w:id="1112" w:name="Tc_6jUvtCOYN0CQuelo42d7Qg_9_0"/>
      <w:bookmarkStart w:id="1113" w:name="Tc_Xiudc0zaQku0ieH7svAh2Q_8_0"/>
      <w:bookmarkStart w:id="1114" w:name="Tc_iPX8CmoxNUuZ887FKzG1WQ_7_0"/>
      <w:bookmarkStart w:id="1115" w:name="Tc_t2DYF0mO0kmNu77SNkP78A_6_0"/>
      <w:bookmarkStart w:id="1116" w:name="Tc_JtPW9hyLMkuTPFA4552vhA_5_11"/>
      <w:bookmarkStart w:id="1117" w:name="Tc_JCw_bdYYd020zQWUHqJKSA_5_8"/>
      <w:bookmarkStart w:id="1118" w:name="Tc_YTaFzdNn4kWA761y11GPVA_5_5"/>
      <w:bookmarkStart w:id="1119" w:name="Tc_IuX91qiT0kKsIeUq8NSkVA_5_2"/>
      <w:bookmarkStart w:id="1120" w:name="Tc_XfGZDLF4-EOtfILrMmPhTQ_5_0"/>
      <w:bookmarkStart w:id="1121" w:name="Tc_tAsbPYTniEycHSwjSucTTA_4_2"/>
      <w:bookmarkStart w:id="1122" w:name="Tc_zNhrOuszL0CWQFSMh1i1VQ_3_11"/>
      <w:bookmarkStart w:id="1123" w:name="Tc_vSKjkY_XGEuYJfpTjkfeZA_3_8"/>
      <w:bookmarkStart w:id="1124" w:name="Tc_0pO1d1g5nkyr5n3BPHJtvA_3_5"/>
      <w:bookmarkStart w:id="1125" w:name="Tc_yFifvMUT4EWH-1pFL1u3Ow_3_2"/>
      <w:bookmarkStart w:id="1126" w:name="Tc_TfjeRdCqgUyBQy-RZURuxA_2_8"/>
      <w:bookmarkStart w:id="1127" w:name="Tc_9iei4WhaEEeN6iDZ8p52lA_2_2"/>
      <w:bookmarkStart w:id="1128" w:name="Tc_MlC79hlWekGAAE4wzxXwtQ_1_8"/>
      <w:bookmarkStart w:id="1129" w:name="Tc_w9EtCd4kfU-di0zzHs8chQ_1_2"/>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Depreciation and amortization expense consisted of the following:</w:t>
      </w:r>
    </w:p>
    <w:p>
      <w:pPr>
        <w:pStyle w:val="TextBody"/>
        <w:bidi w:val="0"/>
        <w:spacing w:before="0" w:after="0"/>
        <w:ind w:left="0" w:right="0" w:hanging="0"/>
        <w:jc w:val="both"/>
        <w:rPr>
          <w:spacing w:val="-2"/>
        </w:rPr>
      </w:pPr>
      <w:r>
        <w:rPr>
          <w:spacing w:val="-2"/>
        </w:rPr>
        <w:t>​</w:t>
      </w:r>
    </w:p>
    <w:tbl>
      <w:tblPr>
        <w:tblW w:w="9826" w:type="dxa"/>
        <w:jc w:val="left"/>
        <w:tblInd w:w="0" w:type="dxa"/>
        <w:tblLayout w:type="fixed"/>
        <w:tblCellMar>
          <w:top w:w="0" w:type="dxa"/>
          <w:left w:w="0" w:type="dxa"/>
          <w:bottom w:w="0" w:type="dxa"/>
          <w:right w:w="0" w:type="dxa"/>
        </w:tblCellMar>
      </w:tblPr>
      <w:tblGrid>
        <w:gridCol w:w="4126"/>
        <w:gridCol w:w="326"/>
        <w:gridCol w:w="233"/>
        <w:gridCol w:w="862"/>
        <w:gridCol w:w="360"/>
        <w:gridCol w:w="233"/>
        <w:gridCol w:w="862"/>
        <w:gridCol w:w="109"/>
        <w:gridCol w:w="211"/>
        <w:gridCol w:w="931"/>
        <w:gridCol w:w="326"/>
        <w:gridCol w:w="211"/>
        <w:gridCol w:w="103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620010" cy="175260"/>
                      <wp:effectExtent l="0" t="0" r="0" b="0"/>
                      <wp:wrapNone/>
                      <wp:docPr id="149" name="Frame149"/>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7955" cy="175260"/>
                      <wp:effectExtent l="0" t="0" r="0" b="0"/>
                      <wp:wrapNone/>
                      <wp:docPr id="151" name="Frame15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47370" cy="175260"/>
                      <wp:effectExtent l="0" t="0" r="0" b="0"/>
                      <wp:wrapNone/>
                      <wp:docPr id="152" name="Frame152"/>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28600" cy="175260"/>
                      <wp:effectExtent l="0" t="0" r="0" b="0"/>
                      <wp:wrapNone/>
                      <wp:docPr id="153" name="Frame1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47955" cy="175260"/>
                      <wp:effectExtent l="0" t="0" r="0" b="0"/>
                      <wp:wrapNone/>
                      <wp:docPr id="154" name="Frame15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47370" cy="175260"/>
                      <wp:effectExtent l="0" t="0" r="0" b="0"/>
                      <wp:wrapNone/>
                      <wp:docPr id="155" name="Frame155"/>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9215" cy="175260"/>
                      <wp:effectExtent l="0" t="0" r="0" b="0"/>
                      <wp:wrapNone/>
                      <wp:docPr id="156" name="Frame1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33985" cy="175260"/>
                      <wp:effectExtent l="0" t="0" r="0" b="0"/>
                      <wp:wrapNone/>
                      <wp:docPr id="157" name="Frame1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91185" cy="175260"/>
                      <wp:effectExtent l="0" t="0" r="0" b="0"/>
                      <wp:wrapNone/>
                      <wp:docPr id="158" name="Frame15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57860" cy="175260"/>
                      <wp:effectExtent l="0" t="0" r="0" b="0"/>
                      <wp:wrapNone/>
                      <wp:docPr id="161" name="Frame1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center"/>
              <w:rPr/>
            </w:pPr>
            <w:r>
              <w:rPr/>
              <w:t>​</w:t>
            </w:r>
          </w:p>
        </w:tc>
        <w:tc>
          <w:tcPr>
            <w:tcW w:w="271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27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0"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82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7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leased to customers</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25,693</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38,489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85,635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110,062</w:t>
            </w:r>
          </w:p>
        </w:tc>
      </w:tr>
      <w:tr>
        <w:trPr/>
        <w:tc>
          <w:tcPr>
            <w:tcW w:w="41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Satellites</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18,614</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32,384</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70,740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98,295</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Buildings, furniture, fixtures, equipment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8,293</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12,392</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34,876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33,519</w:t>
            </w:r>
          </w:p>
        </w:tc>
      </w:tr>
      <w:tr>
        <w:trPr/>
        <w:tc>
          <w:tcPr>
            <w:tcW w:w="41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5G Network equipment/Hybrid MNO</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159,115</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187,281</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584,029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533,575</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Software and computer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75,583</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86,316</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277,561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254,830</w:t>
            </w:r>
          </w:p>
        </w:tc>
      </w:tr>
      <w:tr>
        <w:trPr/>
        <w:tc>
          <w:tcPr>
            <w:tcW w:w="412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assets and other amortization expense</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3,357</w:t>
            </w:r>
          </w:p>
        </w:tc>
        <w:tc>
          <w:tcPr>
            <w:tcW w:w="360"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7,337</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92,102</w:t>
            </w:r>
          </w:p>
        </w:tc>
      </w:tr>
      <w:tr>
        <w:trPr/>
        <w:tc>
          <w:tcPr>
            <w:tcW w:w="41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290,655</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364,199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1,063,121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1,122,383</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Activity relating to our asset retirement obligations, included in “Long-term deferred revenue and other long-term liabilities” on our Condensed Consolidated Balance Sheets,</w:t>
      </w:r>
      <w:r>
        <w:rPr>
          <w:rFonts w:ascii="Times New Roman;Times;serif" w:hAnsi="Times New Roman;Times;serif"/>
          <w:spacing w:val="-2"/>
          <w:sz w:val="18"/>
        </w:rPr>
        <w:t xml:space="preserve"> </w:t>
      </w:r>
      <w:r>
        <w:rPr>
          <w:rFonts w:ascii="Arial;Helvetica;sans-serif" w:hAnsi="Arial;Helvetica;sans-serif"/>
          <w:spacing w:val="-2"/>
          <w:sz w:val="20"/>
        </w:rPr>
        <w:t>was as follows:</w:t>
      </w:r>
    </w:p>
    <w:p>
      <w:pPr>
        <w:pStyle w:val="TextBody"/>
        <w:bidi w:val="0"/>
        <w:spacing w:before="0" w:after="0"/>
        <w:ind w:left="0" w:right="0" w:hanging="0"/>
        <w:jc w:val="both"/>
        <w:rPr>
          <w:spacing w:val="-2"/>
        </w:rPr>
      </w:pPr>
      <w:r>
        <w:rPr>
          <w:spacing w:val="-2"/>
        </w:rPr>
        <w:t>​</w:t>
      </w:r>
    </w:p>
    <w:tbl>
      <w:tblPr>
        <w:tblW w:w="8226" w:type="dxa"/>
        <w:jc w:val="left"/>
        <w:tblInd w:w="0" w:type="dxa"/>
        <w:tblLayout w:type="fixed"/>
        <w:tblCellMar>
          <w:top w:w="0" w:type="dxa"/>
          <w:left w:w="0" w:type="dxa"/>
          <w:bottom w:w="0" w:type="dxa"/>
          <w:right w:w="0" w:type="dxa"/>
        </w:tblCellMar>
      </w:tblPr>
      <w:tblGrid>
        <w:gridCol w:w="2536"/>
        <w:gridCol w:w="326"/>
        <w:gridCol w:w="233"/>
        <w:gridCol w:w="862"/>
        <w:gridCol w:w="360"/>
        <w:gridCol w:w="233"/>
        <w:gridCol w:w="862"/>
        <w:gridCol w:w="326"/>
        <w:gridCol w:w="217"/>
        <w:gridCol w:w="805"/>
        <w:gridCol w:w="336"/>
        <w:gridCol w:w="217"/>
        <w:gridCol w:w="913"/>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10360" cy="175260"/>
                      <wp:effectExtent l="0" t="0" r="0" b="0"/>
                      <wp:wrapNone/>
                      <wp:docPr id="162" name="Frame162"/>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7955" cy="175260"/>
                      <wp:effectExtent l="0" t="0" r="0" b="0"/>
                      <wp:wrapNone/>
                      <wp:docPr id="164" name="Frame164"/>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47370" cy="175260"/>
                      <wp:effectExtent l="0" t="0" r="0" b="0"/>
                      <wp:wrapNone/>
                      <wp:docPr id="165" name="Frame165"/>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28600" cy="175260"/>
                      <wp:effectExtent l="0" t="0" r="0" b="0"/>
                      <wp:wrapNone/>
                      <wp:docPr id="166" name="Frame16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7955" cy="175260"/>
                      <wp:effectExtent l="0" t="0" r="0" b="0"/>
                      <wp:wrapNone/>
                      <wp:docPr id="167" name="Frame167"/>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47370" cy="175260"/>
                      <wp:effectExtent l="0" t="0" r="0" b="0"/>
                      <wp:wrapNone/>
                      <wp:docPr id="168" name="Frame168"/>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7795" cy="175260"/>
                      <wp:effectExtent l="0" t="0" r="0" b="0"/>
                      <wp:wrapNone/>
                      <wp:docPr id="170" name="Frame170"/>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11175" cy="175260"/>
                      <wp:effectExtent l="0" t="0" r="0" b="0"/>
                      <wp:wrapNone/>
                      <wp:docPr id="171" name="Frame171"/>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3360" cy="175260"/>
                      <wp:effectExtent l="0" t="0" r="0" b="0"/>
                      <wp:wrapNone/>
                      <wp:docPr id="172" name="Frame172"/>
                      <a:graphic xmlns:a="http://schemas.openxmlformats.org/drawingml/2006/main">
                        <a:graphicData uri="http://schemas.microsoft.com/office/word/2010/wordprocessingShape">
                          <wps:wsp>
                            <wps:cNvSpPr txBox="1"/>
                            <wps:spPr>
                              <a:xfrm>
                                <a:off x="0" y="0"/>
                                <a:ext cx="21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7795" cy="175260"/>
                      <wp:effectExtent l="0" t="0" r="0" b="0"/>
                      <wp:wrapNone/>
                      <wp:docPr id="173" name="Frame17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79755" cy="175260"/>
                      <wp:effectExtent l="0" t="0" r="0" b="0"/>
                      <wp:wrapNone/>
                      <wp:docPr id="174" name="Frame174"/>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48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4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60"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3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22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6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347,720</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300,475</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327,031</w:t>
            </w:r>
          </w:p>
        </w:tc>
        <w:tc>
          <w:tcPr>
            <w:tcW w:w="33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278,287</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Liabilities incurred</w:t>
            </w:r>
          </w:p>
        </w:tc>
        <w:tc>
          <w:tcPr>
            <w:tcW w:w="326"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w:t>
            </w:r>
          </w:p>
        </w:tc>
        <w:tc>
          <w:tcPr>
            <w:tcW w:w="360" w:type="dxa"/>
            <w:tcBorders/>
            <w:vAlign w:val="center"/>
          </w:tcPr>
          <w:p>
            <w:pPr>
              <w:pStyle w:val="TableContents"/>
              <w:bidi w:val="0"/>
              <w:spacing w:before="0" w:after="0"/>
              <w:ind w:left="0" w:right="0" w:hanging="0"/>
              <w:jc w:val="left"/>
              <w:rPr/>
            </w:pPr>
            <w:r>
              <w:rPr/>
              <w:t>​</w:t>
            </w:r>
          </w:p>
        </w:tc>
        <w:tc>
          <w:tcPr>
            <w:tcW w:w="233"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5,051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5,222</w:t>
            </w:r>
          </w:p>
        </w:tc>
        <w:tc>
          <w:tcPr>
            <w:tcW w:w="33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14,010</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Accretion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9,115</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7,114</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24,919</w:t>
            </w:r>
          </w:p>
        </w:tc>
        <w:tc>
          <w:tcPr>
            <w:tcW w:w="33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20,343</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Remeasurement of estimate</w:t>
            </w:r>
          </w:p>
        </w:tc>
        <w:tc>
          <w:tcPr>
            <w:tcW w:w="326"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80,459</w:t>
            </w:r>
          </w:p>
        </w:tc>
        <w:tc>
          <w:tcPr>
            <w:tcW w:w="360" w:type="dxa"/>
            <w:tcBorders/>
            <w:vAlign w:val="center"/>
          </w:tcPr>
          <w:p>
            <w:pPr>
              <w:pStyle w:val="TableContents"/>
              <w:bidi w:val="0"/>
              <w:spacing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80,459</w:t>
            </w:r>
          </w:p>
        </w:tc>
        <w:tc>
          <w:tcPr>
            <w:tcW w:w="33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437,631</w:t>
            </w:r>
          </w:p>
        </w:tc>
        <w:tc>
          <w:tcPr>
            <w:tcW w:w="360" w:type="dxa"/>
            <w:tcBorders/>
            <w:shd w:fill="CCEEFF" w:val="clear"/>
            <w:vAlign w:val="center"/>
          </w:tcPr>
          <w:p>
            <w:pPr>
              <w:pStyle w:val="TableContents"/>
              <w:bidi w:val="0"/>
              <w:spacing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312,640</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437,631</w:t>
            </w:r>
          </w:p>
        </w:tc>
        <w:tc>
          <w:tcPr>
            <w:tcW w:w="33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312,640</w:t>
            </w:r>
          </w:p>
        </w:tc>
      </w:tr>
    </w:tbl>
    <w:p>
      <w:pPr>
        <w:pStyle w:val="TextBody"/>
        <w:bidi w:val="0"/>
        <w:spacing w:before="0" w:after="0"/>
        <w:ind w:left="0" w:right="0" w:hanging="0"/>
        <w:jc w:val="both"/>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 xml:space="preserve">During the third quarter of 2025, our asset retirement obligations were revised as the timing associated with the obligations to remediate leased property on our communication towers was accelerated.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The corresponding assets, net of accumulated depreciation, related to asset retirement obligations were impaired as of September 30, 2025, resulting in a net book value of zero</w:t>
      </w:r>
      <w:r>
        <w:rPr>
          <w:rFonts w:ascii="Times New Roman;Times;serif" w:hAnsi="Times New Roman;Times;serif"/>
          <w:spacing w:val="-2"/>
          <w:sz w:val="18"/>
        </w:rPr>
        <w:t xml:space="preserve"> </w:t>
      </w:r>
      <w:r>
        <w:rPr>
          <w:rFonts w:ascii="Arial;Helvetica;sans-serif" w:hAnsi="Arial;Helvetica;sans-serif"/>
          <w:spacing w:val="-2"/>
          <w:sz w:val="20"/>
        </w:rPr>
        <w:t>and $216</w:t>
      </w:r>
      <w:r>
        <w:rPr>
          <w:rFonts w:ascii="Times New Roman;Times;serif" w:hAnsi="Times New Roman;Times;serif"/>
          <w:spacing w:val="-2"/>
          <w:sz w:val="18"/>
        </w:rPr>
        <w:t xml:space="preserve"> </w:t>
      </w:r>
      <w:r>
        <w:rPr>
          <w:rFonts w:ascii="Arial;Helvetica;sans-serif" w:hAnsi="Arial;Helvetica;sans-serif"/>
          <w:spacing w:val="-2"/>
          <w:sz w:val="20"/>
        </w:rPr>
        <w:t>million as of September 30, 2025 and December 31, 2024, respectively. See Note 1</w:t>
      </w:r>
      <w:r>
        <w:rPr>
          <w:rFonts w:ascii="Times New Roman;Times;serif" w:hAnsi="Times New Roman;Times;serif"/>
          <w:spacing w:val="-2"/>
          <w:sz w:val="18"/>
        </w:rPr>
        <w:t xml:space="preserve"> </w:t>
      </w:r>
      <w:r>
        <w:rPr>
          <w:rFonts w:ascii="Arial;Helvetica;sans-serif" w:hAnsi="Arial;Helvetica;sans-serif"/>
          <w:spacing w:val="-2"/>
          <w:sz w:val="20"/>
        </w:rPr>
        <w:t>for further information.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Satellites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Pay-TV Segment</w:t>
      </w:r>
      <w:r>
        <w:rPr>
          <w:rFonts w:ascii="Arial;Helvetica;sans-serif" w:hAnsi="Arial;Helvetica;sans-serif"/>
          <w:spacing w:val="-2"/>
          <w:sz w:val="20"/>
        </w:rPr>
        <w:t>. Our Pay-TV segment currently utilizes eight</w:t>
      </w:r>
      <w:r>
        <w:rPr>
          <w:rFonts w:ascii="Times New Roman;Times;serif" w:hAnsi="Times New Roman;Times;serif"/>
          <w:spacing w:val="-2"/>
          <w:sz w:val="18"/>
        </w:rPr>
        <w:t xml:space="preserve"> </w:t>
      </w:r>
      <w:r>
        <w:rPr>
          <w:rFonts w:ascii="Arial;Helvetica;sans-serif" w:hAnsi="Arial;Helvetica;sans-serif"/>
          <w:spacing w:val="-2"/>
          <w:sz w:val="20"/>
        </w:rPr>
        <w:t xml:space="preserve">satellites in </w:t>
      </w:r>
      <w:r>
        <w:rPr>
          <w:rFonts w:ascii="Arial;Helvetica;sans-serif" w:hAnsi="Arial;Helvetica;sans-serif"/>
          <w:color w:val="222222"/>
          <w:spacing w:val="-2"/>
          <w:sz w:val="20"/>
          <w:shd w:fill="FFFFFF" w:val="clear"/>
        </w:rPr>
        <w:t>geosynchronous</w:t>
      </w:r>
      <w:r>
        <w:rPr>
          <w:rFonts w:ascii="Times New Roman;Times;serif" w:hAnsi="Times New Roman;Times;serif"/>
          <w:spacing w:val="-2"/>
          <w:sz w:val="18"/>
        </w:rPr>
        <w:t xml:space="preserve"> </w:t>
      </w:r>
      <w:r>
        <w:rPr>
          <w:rFonts w:ascii="Arial;Helvetica;sans-serif" w:hAnsi="Arial;Helvetica;sans-serif"/>
          <w:spacing w:val="-2"/>
          <w:sz w:val="20"/>
        </w:rPr>
        <w:t>orbit approximately 22,300 miles above the equator, seven</w:t>
      </w:r>
      <w:r>
        <w:rPr>
          <w:rFonts w:ascii="Times New Roman;Times;serif" w:hAnsi="Times New Roman;Times;serif"/>
          <w:spacing w:val="-2"/>
          <w:sz w:val="18"/>
        </w:rPr>
        <w:t xml:space="preserve"> </w:t>
      </w:r>
      <w:r>
        <w:rPr>
          <w:rFonts w:ascii="Arial;Helvetica;sans-serif" w:hAnsi="Arial;Helvetica;sans-serif"/>
          <w:spacing w:val="-2"/>
          <w:sz w:val="20"/>
        </w:rPr>
        <w:t>of which we own and depreciate over their estimated useful life. We also lease one</w:t>
      </w:r>
      <w:r>
        <w:rPr>
          <w:rFonts w:ascii="Times New Roman;Times;serif" w:hAnsi="Times New Roman;Times;serif"/>
          <w:spacing w:val="-2"/>
          <w:sz w:val="18"/>
        </w:rPr>
        <w:t xml:space="preserve"> </w:t>
      </w:r>
      <w:r>
        <w:rPr>
          <w:rFonts w:ascii="Arial;Helvetica;sans-serif" w:hAnsi="Arial;Helvetica;sans-serif"/>
          <w:spacing w:val="-2"/>
          <w:sz w:val="20"/>
        </w:rPr>
        <w:t>satellite from a third party, Nimiq 5, which is accounted for as an operating lease.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As of September 30, 2025, our Pay-TV segment satellite fleet consisted of the following: </w:t>
      </w:r>
    </w:p>
    <w:p>
      <w:pPr>
        <w:pStyle w:val="TextBody"/>
        <w:bidi w:val="0"/>
        <w:spacing w:before="0" w:after="0"/>
        <w:ind w:left="0" w:right="0" w:hanging="0"/>
        <w:jc w:val="both"/>
        <w:rPr>
          <w:spacing w:val="-2"/>
        </w:rPr>
      </w:pPr>
      <w:r>
        <w:rPr>
          <w:spacing w:val="-2"/>
        </w:rPr>
        <w:t>​</w:t>
      </w:r>
    </w:p>
    <w:tbl>
      <w:tblPr>
        <w:tblW w:w="7342" w:type="dxa"/>
        <w:jc w:val="left"/>
        <w:tblInd w:w="0" w:type="dxa"/>
        <w:tblLayout w:type="fixed"/>
        <w:tblCellMar>
          <w:top w:w="0" w:type="dxa"/>
          <w:left w:w="0" w:type="dxa"/>
          <w:bottom w:w="0" w:type="dxa"/>
          <w:right w:w="0" w:type="dxa"/>
        </w:tblCellMar>
      </w:tblPr>
      <w:tblGrid>
        <w:gridCol w:w="2791"/>
        <w:gridCol w:w="326"/>
        <w:gridCol w:w="1471"/>
        <w:gridCol w:w="326"/>
        <w:gridCol w:w="841"/>
        <w:gridCol w:w="326"/>
        <w:gridCol w:w="126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772285" cy="175895"/>
                      <wp:effectExtent l="0" t="0" r="0" b="0"/>
                      <wp:wrapNone/>
                      <wp:docPr id="175" name="Frame175"/>
                      <a:graphic xmlns:a="http://schemas.openxmlformats.org/drawingml/2006/main">
                        <a:graphicData uri="http://schemas.microsoft.com/office/word/2010/wordprocessingShape">
                          <wps:wsp>
                            <wps:cNvSpPr txBox="1"/>
                            <wps:spPr>
                              <a:xfrm>
                                <a:off x="0" y="0"/>
                                <a:ext cx="17722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895"/>
                      <wp:effectExtent l="0" t="0" r="0" b="0"/>
                      <wp:wrapNone/>
                      <wp:docPr id="176" name="Frame17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934085" cy="175895"/>
                      <wp:effectExtent l="0" t="0" r="0" b="0"/>
                      <wp:wrapNone/>
                      <wp:docPr id="177" name="Frame177"/>
                      <a:graphic xmlns:a="http://schemas.openxmlformats.org/drawingml/2006/main">
                        <a:graphicData uri="http://schemas.microsoft.com/office/word/2010/wordprocessingShape">
                          <wps:wsp>
                            <wps:cNvSpPr txBox="1"/>
                            <wps:spPr>
                              <a:xfrm>
                                <a:off x="0" y="0"/>
                                <a:ext cx="93408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895"/>
                      <wp:effectExtent l="0" t="0" r="0" b="0"/>
                      <wp:wrapNone/>
                      <wp:docPr id="178" name="Frame17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34035" cy="175895"/>
                      <wp:effectExtent l="0" t="0" r="0" b="0"/>
                      <wp:wrapNone/>
                      <wp:docPr id="179" name="Frame179"/>
                      <a:graphic xmlns:a="http://schemas.openxmlformats.org/drawingml/2006/main">
                        <a:graphicData uri="http://schemas.microsoft.com/office/word/2010/wordprocessingShape">
                          <wps:wsp>
                            <wps:cNvSpPr txBox="1"/>
                            <wps:spPr>
                              <a:xfrm>
                                <a:off x="0" y="0"/>
                                <a:ext cx="5340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895"/>
                      <wp:effectExtent l="0" t="0" r="0" b="0"/>
                      <wp:wrapNone/>
                      <wp:docPr id="180" name="Frame18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00735" cy="175895"/>
                      <wp:effectExtent l="0" t="0" r="0" b="0"/>
                      <wp:wrapNone/>
                      <wp:docPr id="181" name="Frame181"/>
                      <a:graphic xmlns:a="http://schemas.openxmlformats.org/drawingml/2006/main">
                        <a:graphicData uri="http://schemas.microsoft.com/office/word/2010/wordprocessingShape">
                          <wps:wsp>
                            <wps:cNvSpPr txBox="1"/>
                            <wps:spPr>
                              <a:xfrm>
                                <a:off x="0" y="0"/>
                                <a:ext cx="800735" cy="175895"/>
                              </a:xfrm>
                              <a:prstGeom prst="rect"/>
                              <a:solidFill>
                                <a:srgbClr val="FFFFFF"/>
                              </a:solidFill>
                            </wps:spPr>
                            <wps:txbx>
                              <w:txbxContent>
                                <w:p>
                                  <w:pPr>
                                    <w:pStyle w:val="TableContents"/>
                                    <w:bidi w:val="0"/>
                                    <w:spacing w:before="1"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center"/>
              <w:rPr/>
            </w:pPr>
            <w:r>
              <w:rPr/>
              <w:t>​</w:t>
            </w:r>
          </w:p>
        </w:tc>
        <w:tc>
          <w:tcPr>
            <w:tcW w:w="1471" w:type="dxa"/>
            <w:tcBorders/>
            <w:vAlign w:val="center"/>
          </w:tcPr>
          <w:p>
            <w:pPr>
              <w:pStyle w:val="TableContents"/>
              <w:bidi w:val="0"/>
              <w:spacing w:before="1" w:after="0"/>
              <w:ind w:left="0" w:right="0" w:hanging="0"/>
              <w:jc w:val="center"/>
              <w:rPr/>
            </w:pPr>
            <w:r>
              <w:rPr/>
              <w:t>​</w:t>
            </w:r>
          </w:p>
        </w:tc>
        <w:tc>
          <w:tcPr>
            <w:tcW w:w="326" w:type="dxa"/>
            <w:tcBorders/>
            <w:vAlign w:val="center"/>
          </w:tcPr>
          <w:p>
            <w:pPr>
              <w:pStyle w:val="TableContents"/>
              <w:bidi w:val="0"/>
              <w:spacing w:before="1" w:after="0"/>
              <w:ind w:left="0" w:right="0" w:hanging="0"/>
              <w:jc w:val="center"/>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Degree</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Lease</w:t>
            </w:r>
          </w:p>
        </w:tc>
      </w:tr>
      <w:tr>
        <w:trPr/>
        <w:tc>
          <w:tcPr>
            <w:tcW w:w="279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center"/>
              <w:rPr/>
            </w:pPr>
            <w:r>
              <w:rPr/>
              <w:t>​</w:t>
            </w:r>
          </w:p>
        </w:tc>
        <w:tc>
          <w:tcPr>
            <w:tcW w:w="1471" w:type="dxa"/>
            <w:tcBorders/>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Launch</w:t>
            </w:r>
          </w:p>
        </w:tc>
        <w:tc>
          <w:tcPr>
            <w:tcW w:w="326" w:type="dxa"/>
            <w:tcBorders/>
            <w:vAlign w:val="center"/>
          </w:tcPr>
          <w:p>
            <w:pPr>
              <w:pStyle w:val="TableContents"/>
              <w:bidi w:val="0"/>
              <w:spacing w:before="1" w:after="0"/>
              <w:ind w:left="0" w:right="0" w:hanging="0"/>
              <w:jc w:val="center"/>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Orbital</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Termination </w:t>
            </w:r>
          </w:p>
        </w:tc>
      </w:tr>
      <w:tr>
        <w:trPr/>
        <w:tc>
          <w:tcPr>
            <w:tcW w:w="2791" w:type="dxa"/>
            <w:tcBorders>
              <w:bottom w:val="single" w:sz="2" w:space="0" w:color="000000"/>
            </w:tcBorders>
            <w:tcMar>
              <w:bottom w:w="28" w:type="dxa"/>
            </w:tcMar>
            <w:vAlign w:val="center"/>
          </w:tcPr>
          <w:p>
            <w:pPr>
              <w:pStyle w:val="TableContents"/>
              <w:bidi w:val="0"/>
              <w:spacing w:before="1" w:after="0"/>
              <w:ind w:left="0" w:right="0" w:hanging="0"/>
              <w:jc w:val="left"/>
              <w:rPr>
                <w:rFonts w:ascii="Arial;Helvetica;sans-serif" w:hAnsi="Arial;Helvetica;sans-serif"/>
                <w:b/>
                <w:sz w:val="18"/>
              </w:rPr>
            </w:pPr>
            <w:r>
              <w:rPr>
                <w:rFonts w:ascii="Arial;Helvetica;sans-serif" w:hAnsi="Arial;Helvetica;sans-serif"/>
                <w:b/>
                <w:sz w:val="18"/>
              </w:rPr>
              <w:t>Satellites</w:t>
            </w:r>
          </w:p>
        </w:tc>
        <w:tc>
          <w:tcPr>
            <w:tcW w:w="326" w:type="dxa"/>
            <w:tcBorders/>
            <w:vAlign w:val="center"/>
          </w:tcPr>
          <w:p>
            <w:pPr>
              <w:pStyle w:val="TableContents"/>
              <w:bidi w:val="0"/>
              <w:spacing w:before="1" w:after="0"/>
              <w:ind w:left="0" w:right="0" w:hanging="0"/>
              <w:jc w:val="center"/>
              <w:rPr/>
            </w:pPr>
            <w:r>
              <w:rPr/>
              <w:t>    </w:t>
            </w:r>
          </w:p>
        </w:tc>
        <w:tc>
          <w:tcPr>
            <w:tcW w:w="1471" w:type="dxa"/>
            <w:tcBorders>
              <w:bottom w:val="single" w:sz="2" w:space="0" w:color="000000"/>
            </w:tcBorders>
            <w:tcMar>
              <w:bottom w:w="28" w:type="dxa"/>
            </w:tcMar>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Date</w:t>
            </w:r>
          </w:p>
        </w:tc>
        <w:tc>
          <w:tcPr>
            <w:tcW w:w="326" w:type="dxa"/>
            <w:tcBorders/>
            <w:vAlign w:val="center"/>
          </w:tcPr>
          <w:p>
            <w:pPr>
              <w:pStyle w:val="TableContents"/>
              <w:bidi w:val="0"/>
              <w:spacing w:before="1"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Location</w:t>
            </w:r>
          </w:p>
        </w:tc>
        <w:tc>
          <w:tcPr>
            <w:tcW w:w="326" w:type="dxa"/>
            <w:tcBorders/>
            <w:vAlign w:val="center"/>
          </w:tcPr>
          <w:p>
            <w:pPr>
              <w:pStyle w:val="TableContents"/>
              <w:bidi w:val="0"/>
              <w:spacing w:before="1"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1" w:after="0"/>
              <w:ind w:left="0" w:right="0" w:hanging="0"/>
              <w:jc w:val="center"/>
              <w:rPr>
                <w:rFonts w:ascii="Arial;Helvetica;sans-serif" w:hAnsi="Arial;Helvetica;sans-serif"/>
                <w:b/>
                <w:sz w:val="18"/>
              </w:rPr>
            </w:pPr>
            <w:r>
              <w:rPr>
                <w:rFonts w:ascii="Arial;Helvetica;sans-serif" w:hAnsi="Arial;Helvetica;sans-serif"/>
                <w:b/>
                <w:sz w:val="18"/>
              </w:rPr>
              <w:t>Date</w:t>
            </w:r>
          </w:p>
        </w:tc>
      </w:tr>
      <w:tr>
        <w:trPr/>
        <w:tc>
          <w:tcPr>
            <w:tcW w:w="2791" w:type="dxa"/>
            <w:tcBorders/>
            <w:vAlign w:val="center"/>
          </w:tcPr>
          <w:p>
            <w:pPr>
              <w:pStyle w:val="TableContents"/>
              <w:bidi w:val="0"/>
              <w:spacing w:before="1" w:after="0"/>
              <w:ind w:left="0" w:right="0" w:hanging="0"/>
              <w:jc w:val="left"/>
              <w:rPr>
                <w:rFonts w:ascii="Arial;Helvetica;sans-serif" w:hAnsi="Arial;Helvetica;sans-serif"/>
                <w:b/>
                <w:sz w:val="18"/>
              </w:rPr>
            </w:pPr>
            <w:r>
              <w:rPr>
                <w:rFonts w:ascii="Arial;Helvetica;sans-serif" w:hAnsi="Arial;Helvetica;sans-serif"/>
                <w:b/>
                <w:sz w:val="18"/>
              </w:rPr>
              <w:t>Owned:</w:t>
            </w:r>
          </w:p>
        </w:tc>
        <w:tc>
          <w:tcPr>
            <w:tcW w:w="326" w:type="dxa"/>
            <w:tcBorders/>
            <w:vAlign w:val="center"/>
          </w:tcPr>
          <w:p>
            <w:pPr>
              <w:pStyle w:val="TableContents"/>
              <w:bidi w:val="0"/>
              <w:spacing w:before="1" w:after="0"/>
              <w:ind w:left="0" w:right="0" w:hanging="0"/>
              <w:jc w:val="center"/>
              <w:rPr/>
            </w:pPr>
            <w:r>
              <w:rPr/>
              <w:t>​</w:t>
            </w:r>
          </w:p>
        </w:tc>
        <w:tc>
          <w:tcPr>
            <w:tcW w:w="1471" w:type="dxa"/>
            <w:tcBorders/>
            <w:vAlign w:val="center"/>
          </w:tcPr>
          <w:p>
            <w:pPr>
              <w:pStyle w:val="TableContents"/>
              <w:bidi w:val="0"/>
              <w:spacing w:before="1" w:after="0"/>
              <w:ind w:left="0" w:right="0" w:hanging="0"/>
              <w:jc w:val="center"/>
              <w:rPr/>
            </w:pPr>
            <w:r>
              <w:rPr/>
              <w:t>​</w:t>
            </w:r>
          </w:p>
        </w:tc>
        <w:tc>
          <w:tcPr>
            <w:tcW w:w="326" w:type="dxa"/>
            <w:tcBorders/>
            <w:vAlign w:val="center"/>
          </w:tcPr>
          <w:p>
            <w:pPr>
              <w:pStyle w:val="TableContents"/>
              <w:bidi w:val="0"/>
              <w:spacing w:before="1" w:after="0"/>
              <w:ind w:left="0" w:right="0" w:hanging="0"/>
              <w:jc w:val="center"/>
              <w:rPr/>
            </w:pPr>
            <w:r>
              <w:rPr/>
              <w:t>​</w:t>
            </w:r>
          </w:p>
        </w:tc>
        <w:tc>
          <w:tcPr>
            <w:tcW w:w="841" w:type="dxa"/>
            <w:tcBorders/>
            <w:vAlign w:val="center"/>
          </w:tcPr>
          <w:p>
            <w:pPr>
              <w:pStyle w:val="TableContents"/>
              <w:bidi w:val="0"/>
              <w:spacing w:before="1" w:after="0"/>
              <w:ind w:left="0" w:right="0" w:hanging="0"/>
              <w:jc w:val="right"/>
              <w:rPr/>
            </w:pPr>
            <w:r>
              <w:rPr/>
              <w:t>​</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left"/>
              <w:rPr/>
            </w:pPr>
            <w:r>
              <w:rPr/>
              <w:t>​</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w:t>
            </w:r>
          </w:p>
        </w:tc>
        <w:tc>
          <w:tcPr>
            <w:tcW w:w="326" w:type="dxa"/>
            <w:tcBorders/>
            <w:shd w:fill="CCEEFF" w:val="clear"/>
            <w:vAlign w:val="center"/>
          </w:tcPr>
          <w:p>
            <w:pPr>
              <w:pStyle w:val="TableContents"/>
              <w:bidi w:val="0"/>
              <w:spacing w:before="1" w:after="0"/>
              <w:ind w:left="0" w:right="0" w:hanging="0"/>
              <w:jc w:val="center"/>
              <w:rPr/>
            </w:pPr>
            <w:r>
              <w:rPr/>
              <w:t>​</w:t>
            </w:r>
          </w:p>
        </w:tc>
        <w:tc>
          <w:tcPr>
            <w:tcW w:w="147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February 2006</w:t>
            </w:r>
          </w:p>
        </w:tc>
        <w:tc>
          <w:tcPr>
            <w:tcW w:w="326" w:type="dxa"/>
            <w:tcBorders/>
            <w:shd w:fill="CCEEFF" w:val="clear"/>
            <w:vAlign w:val="center"/>
          </w:tcPr>
          <w:p>
            <w:pPr>
              <w:pStyle w:val="TableContents"/>
              <w:bidi w:val="0"/>
              <w:spacing w:before="1" w:after="0"/>
              <w:ind w:left="0" w:right="0" w:hanging="0"/>
              <w:jc w:val="center"/>
              <w:rPr/>
            </w:pPr>
            <w:r>
              <w:rPr/>
              <w:t>​</w:t>
            </w:r>
          </w:p>
        </w:tc>
        <w:tc>
          <w:tcPr>
            <w:tcW w:w="84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XI</w:t>
            </w:r>
          </w:p>
        </w:tc>
        <w:tc>
          <w:tcPr>
            <w:tcW w:w="326" w:type="dxa"/>
            <w:tcBorders/>
            <w:vAlign w:val="center"/>
          </w:tcPr>
          <w:p>
            <w:pPr>
              <w:pStyle w:val="TableContents"/>
              <w:bidi w:val="0"/>
              <w:spacing w:before="1" w:after="0"/>
              <w:ind w:left="0" w:right="0" w:hanging="0"/>
              <w:jc w:val="center"/>
              <w:rPr/>
            </w:pPr>
            <w:r>
              <w:rPr/>
              <w:t>​</w:t>
            </w:r>
          </w:p>
        </w:tc>
        <w:tc>
          <w:tcPr>
            <w:tcW w:w="147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July 2008</w:t>
            </w:r>
          </w:p>
        </w:tc>
        <w:tc>
          <w:tcPr>
            <w:tcW w:w="326" w:type="dxa"/>
            <w:tcBorders/>
            <w:vAlign w:val="center"/>
          </w:tcPr>
          <w:p>
            <w:pPr>
              <w:pStyle w:val="TableContents"/>
              <w:bidi w:val="0"/>
              <w:spacing w:before="1" w:after="0"/>
              <w:ind w:left="0" w:right="0" w:hanging="0"/>
              <w:jc w:val="center"/>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XIV</w:t>
            </w:r>
          </w:p>
        </w:tc>
        <w:tc>
          <w:tcPr>
            <w:tcW w:w="326" w:type="dxa"/>
            <w:tcBorders/>
            <w:shd w:fill="CCEEFF" w:val="clear"/>
            <w:vAlign w:val="center"/>
          </w:tcPr>
          <w:p>
            <w:pPr>
              <w:pStyle w:val="TableContents"/>
              <w:bidi w:val="0"/>
              <w:spacing w:before="1" w:after="0"/>
              <w:ind w:left="0" w:right="0" w:hanging="0"/>
              <w:jc w:val="center"/>
              <w:rPr/>
            </w:pPr>
            <w:r>
              <w:rPr/>
              <w:t>​</w:t>
            </w:r>
          </w:p>
        </w:tc>
        <w:tc>
          <w:tcPr>
            <w:tcW w:w="147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March 2010</w:t>
            </w:r>
          </w:p>
        </w:tc>
        <w:tc>
          <w:tcPr>
            <w:tcW w:w="326" w:type="dxa"/>
            <w:tcBorders/>
            <w:shd w:fill="CCEEFF" w:val="clear"/>
            <w:vAlign w:val="center"/>
          </w:tcPr>
          <w:p>
            <w:pPr>
              <w:pStyle w:val="TableContents"/>
              <w:bidi w:val="0"/>
              <w:spacing w:before="1" w:after="0"/>
              <w:ind w:left="0" w:right="0" w:hanging="0"/>
              <w:jc w:val="center"/>
              <w:rPr/>
            </w:pPr>
            <w:r>
              <w:rPr/>
              <w:t>​</w:t>
            </w:r>
          </w:p>
        </w:tc>
        <w:tc>
          <w:tcPr>
            <w:tcW w:w="84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119</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XV</w:t>
            </w:r>
          </w:p>
        </w:tc>
        <w:tc>
          <w:tcPr>
            <w:tcW w:w="326" w:type="dxa"/>
            <w:tcBorders/>
            <w:vAlign w:val="center"/>
          </w:tcPr>
          <w:p>
            <w:pPr>
              <w:pStyle w:val="TableContents"/>
              <w:bidi w:val="0"/>
              <w:spacing w:before="1" w:after="0"/>
              <w:ind w:left="0" w:right="0" w:hanging="0"/>
              <w:jc w:val="left"/>
              <w:rPr/>
            </w:pPr>
            <w:r>
              <w:rPr/>
              <w:t>​</w:t>
            </w:r>
          </w:p>
        </w:tc>
        <w:tc>
          <w:tcPr>
            <w:tcW w:w="147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July 2010</w:t>
            </w:r>
          </w:p>
        </w:tc>
        <w:tc>
          <w:tcPr>
            <w:tcW w:w="326" w:type="dxa"/>
            <w:tcBorders/>
            <w:vAlign w:val="center"/>
          </w:tcPr>
          <w:p>
            <w:pPr>
              <w:pStyle w:val="TableContents"/>
              <w:bidi w:val="0"/>
              <w:spacing w:before="1" w:after="0"/>
              <w:ind w:left="0" w:right="0" w:hanging="0"/>
              <w:jc w:val="left"/>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119</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XVI</w:t>
            </w:r>
          </w:p>
        </w:tc>
        <w:tc>
          <w:tcPr>
            <w:tcW w:w="326" w:type="dxa"/>
            <w:tcBorders/>
            <w:shd w:fill="CCEEFF" w:val="clear"/>
            <w:vAlign w:val="center"/>
          </w:tcPr>
          <w:p>
            <w:pPr>
              <w:pStyle w:val="TableContents"/>
              <w:bidi w:val="0"/>
              <w:spacing w:before="1" w:after="0"/>
              <w:ind w:left="0" w:right="0" w:hanging="0"/>
              <w:jc w:val="left"/>
              <w:rPr/>
            </w:pPr>
            <w:r>
              <w:rPr/>
              <w:t>​</w:t>
            </w:r>
          </w:p>
        </w:tc>
        <w:tc>
          <w:tcPr>
            <w:tcW w:w="147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November 2012</w:t>
            </w:r>
          </w:p>
        </w:tc>
        <w:tc>
          <w:tcPr>
            <w:tcW w:w="326" w:type="dxa"/>
            <w:tcBorders/>
            <w:shd w:fill="CCEEFF" w:val="clear"/>
            <w:vAlign w:val="center"/>
          </w:tcPr>
          <w:p>
            <w:pPr>
              <w:pStyle w:val="TableContents"/>
              <w:bidi w:val="0"/>
              <w:spacing w:before="1" w:after="0"/>
              <w:ind w:left="0" w:right="0" w:hanging="0"/>
              <w:jc w:val="left"/>
              <w:rPr/>
            </w:pPr>
            <w:r>
              <w:rPr/>
              <w:t>​</w:t>
            </w:r>
          </w:p>
        </w:tc>
        <w:tc>
          <w:tcPr>
            <w:tcW w:w="84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61.5</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XVIII</w:t>
            </w:r>
          </w:p>
        </w:tc>
        <w:tc>
          <w:tcPr>
            <w:tcW w:w="326" w:type="dxa"/>
            <w:tcBorders/>
            <w:vAlign w:val="center"/>
          </w:tcPr>
          <w:p>
            <w:pPr>
              <w:pStyle w:val="TableContents"/>
              <w:bidi w:val="0"/>
              <w:spacing w:before="1" w:after="0"/>
              <w:ind w:left="0" w:right="0" w:hanging="0"/>
              <w:jc w:val="left"/>
              <w:rPr/>
            </w:pPr>
            <w:r>
              <w:rPr/>
              <w:t>​</w:t>
            </w:r>
          </w:p>
        </w:tc>
        <w:tc>
          <w:tcPr>
            <w:tcW w:w="147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June 2016</w:t>
            </w:r>
          </w:p>
        </w:tc>
        <w:tc>
          <w:tcPr>
            <w:tcW w:w="326" w:type="dxa"/>
            <w:tcBorders/>
            <w:vAlign w:val="center"/>
          </w:tcPr>
          <w:p>
            <w:pPr>
              <w:pStyle w:val="TableContents"/>
              <w:bidi w:val="0"/>
              <w:spacing w:before="1" w:after="0"/>
              <w:ind w:left="0" w:right="0" w:hanging="0"/>
              <w:jc w:val="left"/>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61.5</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XXIII</w:t>
            </w:r>
          </w:p>
        </w:tc>
        <w:tc>
          <w:tcPr>
            <w:tcW w:w="326" w:type="dxa"/>
            <w:tcBorders/>
            <w:shd w:fill="CCEEFF" w:val="clear"/>
            <w:vAlign w:val="center"/>
          </w:tcPr>
          <w:p>
            <w:pPr>
              <w:pStyle w:val="TableContents"/>
              <w:bidi w:val="0"/>
              <w:spacing w:before="1" w:after="0"/>
              <w:ind w:left="0" w:right="0" w:hanging="0"/>
              <w:jc w:val="left"/>
              <w:rPr/>
            </w:pPr>
            <w:r>
              <w:rPr/>
              <w:t>​</w:t>
            </w:r>
          </w:p>
        </w:tc>
        <w:tc>
          <w:tcPr>
            <w:tcW w:w="147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March 2017</w:t>
            </w:r>
          </w:p>
        </w:tc>
        <w:tc>
          <w:tcPr>
            <w:tcW w:w="326" w:type="dxa"/>
            <w:tcBorders/>
            <w:shd w:fill="CCEEFF" w:val="clear"/>
            <w:vAlign w:val="center"/>
          </w:tcPr>
          <w:p>
            <w:pPr>
              <w:pStyle w:val="TableContents"/>
              <w:bidi w:val="0"/>
              <w:spacing w:before="1" w:after="0"/>
              <w:ind w:left="0" w:right="0" w:hanging="0"/>
              <w:jc w:val="left"/>
              <w:rPr/>
            </w:pPr>
            <w:r>
              <w:rPr/>
              <w:t>​</w:t>
            </w:r>
          </w:p>
        </w:tc>
        <w:tc>
          <w:tcPr>
            <w:tcW w:w="84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left"/>
              <w:rPr/>
            </w:pPr>
            <w:r>
              <w:rPr/>
              <w:t>​</w:t>
            </w:r>
          </w:p>
        </w:tc>
        <w:tc>
          <w:tcPr>
            <w:tcW w:w="1471" w:type="dxa"/>
            <w:tcBorders/>
            <w:vAlign w:val="center"/>
          </w:tcPr>
          <w:p>
            <w:pPr>
              <w:pStyle w:val="TableContents"/>
              <w:bidi w:val="0"/>
              <w:spacing w:before="1" w:after="0"/>
              <w:ind w:left="0" w:right="0" w:hanging="0"/>
              <w:jc w:val="center"/>
              <w:rPr/>
            </w:pPr>
            <w:r>
              <w:rPr/>
              <w:t>​</w:t>
            </w:r>
          </w:p>
        </w:tc>
        <w:tc>
          <w:tcPr>
            <w:tcW w:w="326" w:type="dxa"/>
            <w:tcBorders/>
            <w:vAlign w:val="center"/>
          </w:tcPr>
          <w:p>
            <w:pPr>
              <w:pStyle w:val="TableContents"/>
              <w:bidi w:val="0"/>
              <w:spacing w:before="1" w:after="0"/>
              <w:ind w:left="0" w:right="0" w:hanging="0"/>
              <w:jc w:val="left"/>
              <w:rPr/>
            </w:pPr>
            <w:r>
              <w:rPr/>
              <w:t>​</w:t>
            </w:r>
          </w:p>
        </w:tc>
        <w:tc>
          <w:tcPr>
            <w:tcW w:w="841" w:type="dxa"/>
            <w:tcBorders/>
            <w:vAlign w:val="center"/>
          </w:tcPr>
          <w:p>
            <w:pPr>
              <w:pStyle w:val="TableContents"/>
              <w:bidi w:val="0"/>
              <w:spacing w:before="1" w:after="0"/>
              <w:ind w:left="0" w:right="0" w:hanging="0"/>
              <w:jc w:val="center"/>
              <w:rPr/>
            </w:pPr>
            <w:r>
              <w:rPr/>
              <w:t>​</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pPr>
            <w:r>
              <w:rPr/>
              <w:t>​</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b/>
                <w:sz w:val="18"/>
              </w:rPr>
            </w:pPr>
            <w:r>
              <w:rPr>
                <w:rFonts w:ascii="Arial;Helvetica;sans-serif" w:hAnsi="Arial;Helvetica;sans-serif"/>
                <w:b/>
                <w:sz w:val="18"/>
              </w:rPr>
              <w:t>Under Construction:</w:t>
            </w:r>
          </w:p>
        </w:tc>
        <w:tc>
          <w:tcPr>
            <w:tcW w:w="326" w:type="dxa"/>
            <w:tcBorders/>
            <w:shd w:fill="CCEEFF" w:val="clear"/>
            <w:vAlign w:val="center"/>
          </w:tcPr>
          <w:p>
            <w:pPr>
              <w:pStyle w:val="TableContents"/>
              <w:bidi w:val="0"/>
              <w:spacing w:before="1" w:after="0"/>
              <w:ind w:left="0" w:right="0" w:hanging="0"/>
              <w:jc w:val="left"/>
              <w:rPr/>
            </w:pPr>
            <w:r>
              <w:rPr/>
              <w:t>​</w:t>
            </w:r>
          </w:p>
        </w:tc>
        <w:tc>
          <w:tcPr>
            <w:tcW w:w="1471" w:type="dxa"/>
            <w:tcBorders/>
            <w:shd w:fill="CCEEFF" w:val="clear"/>
            <w:vAlign w:val="center"/>
          </w:tcPr>
          <w:p>
            <w:pPr>
              <w:pStyle w:val="TableContents"/>
              <w:bidi w:val="0"/>
              <w:spacing w:before="1" w:after="0"/>
              <w:ind w:left="0" w:right="0" w:hanging="0"/>
              <w:jc w:val="center"/>
              <w:rPr/>
            </w:pPr>
            <w:r>
              <w:rPr/>
              <w:t>​</w:t>
            </w:r>
          </w:p>
        </w:tc>
        <w:tc>
          <w:tcPr>
            <w:tcW w:w="326" w:type="dxa"/>
            <w:tcBorders/>
            <w:shd w:fill="CCEEFF" w:val="clear"/>
            <w:vAlign w:val="center"/>
          </w:tcPr>
          <w:p>
            <w:pPr>
              <w:pStyle w:val="TableContents"/>
              <w:bidi w:val="0"/>
              <w:spacing w:before="1" w:after="0"/>
              <w:ind w:left="0" w:right="0" w:hanging="0"/>
              <w:jc w:val="left"/>
              <w:rPr/>
            </w:pPr>
            <w:r>
              <w:rPr/>
              <w:t>​</w:t>
            </w:r>
          </w:p>
        </w:tc>
        <w:tc>
          <w:tcPr>
            <w:tcW w:w="841" w:type="dxa"/>
            <w:tcBorders/>
            <w:shd w:fill="CCEEFF" w:val="clear"/>
            <w:vAlign w:val="center"/>
          </w:tcPr>
          <w:p>
            <w:pPr>
              <w:pStyle w:val="TableContents"/>
              <w:bidi w:val="0"/>
              <w:spacing w:before="1" w:after="0"/>
              <w:ind w:left="0" w:right="0" w:hanging="0"/>
              <w:jc w:val="center"/>
              <w:rPr/>
            </w:pPr>
            <w:r>
              <w:rPr/>
              <w:t>​</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pPr>
            <w:r>
              <w:rPr/>
              <w:t>​</w:t>
            </w:r>
          </w:p>
        </w:tc>
      </w:tr>
      <w:tr>
        <w:trPr/>
        <w:tc>
          <w:tcPr>
            <w:tcW w:w="279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XXV</w:t>
            </w:r>
          </w:p>
        </w:tc>
        <w:tc>
          <w:tcPr>
            <w:tcW w:w="326" w:type="dxa"/>
            <w:tcBorders/>
            <w:vAlign w:val="center"/>
          </w:tcPr>
          <w:p>
            <w:pPr>
              <w:pStyle w:val="TableContents"/>
              <w:bidi w:val="0"/>
              <w:spacing w:before="1" w:after="0"/>
              <w:ind w:left="0" w:right="0" w:hanging="0"/>
              <w:jc w:val="left"/>
              <w:rPr/>
            </w:pPr>
            <w:r>
              <w:rPr/>
              <w:t>​</w:t>
            </w:r>
          </w:p>
        </w:tc>
        <w:tc>
          <w:tcPr>
            <w:tcW w:w="147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2026</w:t>
            </w:r>
          </w:p>
        </w:tc>
        <w:tc>
          <w:tcPr>
            <w:tcW w:w="326" w:type="dxa"/>
            <w:tcBorders/>
            <w:vAlign w:val="center"/>
          </w:tcPr>
          <w:p>
            <w:pPr>
              <w:pStyle w:val="TableContents"/>
              <w:bidi w:val="0"/>
              <w:spacing w:before="1" w:after="0"/>
              <w:ind w:left="0" w:right="0" w:hanging="0"/>
              <w:jc w:val="left"/>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110</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EchoStar XXVI</w:t>
            </w:r>
          </w:p>
        </w:tc>
        <w:tc>
          <w:tcPr>
            <w:tcW w:w="326" w:type="dxa"/>
            <w:tcBorders/>
            <w:shd w:fill="CCEEFF" w:val="clear"/>
            <w:vAlign w:val="center"/>
          </w:tcPr>
          <w:p>
            <w:pPr>
              <w:pStyle w:val="TableContents"/>
              <w:bidi w:val="0"/>
              <w:spacing w:before="1" w:after="0"/>
              <w:ind w:left="0" w:right="0" w:hanging="0"/>
              <w:jc w:val="left"/>
              <w:rPr/>
            </w:pPr>
            <w:r>
              <w:rPr/>
              <w:t>​</w:t>
            </w:r>
          </w:p>
        </w:tc>
        <w:tc>
          <w:tcPr>
            <w:tcW w:w="147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2028</w:t>
            </w:r>
          </w:p>
        </w:tc>
        <w:tc>
          <w:tcPr>
            <w:tcW w:w="326" w:type="dxa"/>
            <w:tcBorders/>
            <w:shd w:fill="CCEEFF" w:val="clear"/>
            <w:vAlign w:val="center"/>
          </w:tcPr>
          <w:p>
            <w:pPr>
              <w:pStyle w:val="TableContents"/>
              <w:bidi w:val="0"/>
              <w:spacing w:before="1" w:after="0"/>
              <w:ind w:left="0" w:right="0" w:hanging="0"/>
              <w:jc w:val="left"/>
              <w:rPr/>
            </w:pPr>
            <w:r>
              <w:rPr/>
              <w:t>​</w:t>
            </w:r>
          </w:p>
        </w:tc>
        <w:tc>
          <w:tcPr>
            <w:tcW w:w="84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119</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N/A</w:t>
            </w:r>
          </w:p>
        </w:tc>
      </w:tr>
      <w:tr>
        <w:trPr/>
        <w:tc>
          <w:tcPr>
            <w:tcW w:w="2791" w:type="dxa"/>
            <w:tcBorders/>
            <w:vAlign w:val="center"/>
          </w:tcPr>
          <w:p>
            <w:pPr>
              <w:pStyle w:val="TableContents"/>
              <w:bidi w:val="0"/>
              <w:spacing w:before="1" w:after="0"/>
              <w:ind w:left="0" w:right="0" w:hanging="0"/>
              <w:jc w:val="left"/>
              <w:rPr/>
            </w:pPr>
            <w:r>
              <w:rPr/>
              <w:t>​</w:t>
            </w:r>
          </w:p>
        </w:tc>
        <w:tc>
          <w:tcPr>
            <w:tcW w:w="326" w:type="dxa"/>
            <w:tcBorders/>
            <w:vAlign w:val="center"/>
          </w:tcPr>
          <w:p>
            <w:pPr>
              <w:pStyle w:val="TableContents"/>
              <w:bidi w:val="0"/>
              <w:spacing w:before="1" w:after="0"/>
              <w:ind w:left="0" w:right="0" w:hanging="0"/>
              <w:jc w:val="left"/>
              <w:rPr/>
            </w:pPr>
            <w:r>
              <w:rPr/>
              <w:t>​</w:t>
            </w:r>
          </w:p>
        </w:tc>
        <w:tc>
          <w:tcPr>
            <w:tcW w:w="1471" w:type="dxa"/>
            <w:tcBorders/>
            <w:vAlign w:val="center"/>
          </w:tcPr>
          <w:p>
            <w:pPr>
              <w:pStyle w:val="TableContents"/>
              <w:bidi w:val="0"/>
              <w:spacing w:before="1" w:after="0"/>
              <w:ind w:left="0" w:right="0" w:hanging="0"/>
              <w:jc w:val="center"/>
              <w:rPr/>
            </w:pPr>
            <w:r>
              <w:rPr/>
              <w:t>​</w:t>
            </w:r>
          </w:p>
        </w:tc>
        <w:tc>
          <w:tcPr>
            <w:tcW w:w="326" w:type="dxa"/>
            <w:tcBorders/>
            <w:vAlign w:val="center"/>
          </w:tcPr>
          <w:p>
            <w:pPr>
              <w:pStyle w:val="TableContents"/>
              <w:bidi w:val="0"/>
              <w:spacing w:before="1" w:after="0"/>
              <w:ind w:left="0" w:right="0" w:hanging="0"/>
              <w:jc w:val="left"/>
              <w:rPr/>
            </w:pPr>
            <w:r>
              <w:rPr/>
              <w:t>​</w:t>
            </w:r>
          </w:p>
        </w:tc>
        <w:tc>
          <w:tcPr>
            <w:tcW w:w="841" w:type="dxa"/>
            <w:tcBorders/>
            <w:vAlign w:val="center"/>
          </w:tcPr>
          <w:p>
            <w:pPr>
              <w:pStyle w:val="TableContents"/>
              <w:bidi w:val="0"/>
              <w:spacing w:before="1" w:after="0"/>
              <w:ind w:left="0" w:right="0" w:hanging="0"/>
              <w:jc w:val="center"/>
              <w:rPr/>
            </w:pPr>
            <w:r>
              <w:rPr/>
              <w:t>​</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pPr>
            <w:r>
              <w:rPr/>
              <w:t>​</w:t>
            </w:r>
          </w:p>
        </w:tc>
      </w:tr>
      <w:tr>
        <w:trPr/>
        <w:tc>
          <w:tcPr>
            <w:tcW w:w="2791" w:type="dxa"/>
            <w:tcBorders/>
            <w:shd w:fill="CCEEFF" w:val="clear"/>
            <w:vAlign w:val="center"/>
          </w:tcPr>
          <w:p>
            <w:pPr>
              <w:pStyle w:val="TableContents"/>
              <w:bidi w:val="0"/>
              <w:spacing w:before="1" w:after="0"/>
              <w:ind w:left="0" w:right="0" w:hanging="0"/>
              <w:jc w:val="left"/>
              <w:rPr>
                <w:rFonts w:ascii="Arial;Helvetica;sans-serif" w:hAnsi="Arial;Helvetica;sans-serif"/>
                <w:b/>
                <w:sz w:val="18"/>
              </w:rPr>
            </w:pPr>
            <w:r>
              <w:rPr>
                <w:rFonts w:ascii="Arial;Helvetica;sans-serif" w:hAnsi="Arial;Helvetica;sans-serif"/>
                <w:b/>
                <w:sz w:val="18"/>
              </w:rPr>
              <w:t>Leased from Other Third-Party:</w:t>
            </w:r>
          </w:p>
        </w:tc>
        <w:tc>
          <w:tcPr>
            <w:tcW w:w="326" w:type="dxa"/>
            <w:tcBorders/>
            <w:shd w:fill="CCEEFF" w:val="clear"/>
            <w:vAlign w:val="center"/>
          </w:tcPr>
          <w:p>
            <w:pPr>
              <w:pStyle w:val="TableContents"/>
              <w:bidi w:val="0"/>
              <w:spacing w:before="1" w:after="0"/>
              <w:ind w:left="0" w:right="0" w:hanging="0"/>
              <w:jc w:val="left"/>
              <w:rPr/>
            </w:pPr>
            <w:r>
              <w:rPr/>
              <w:t>​</w:t>
            </w:r>
          </w:p>
        </w:tc>
        <w:tc>
          <w:tcPr>
            <w:tcW w:w="1471" w:type="dxa"/>
            <w:tcBorders/>
            <w:shd w:fill="CCEEFF" w:val="clear"/>
            <w:vAlign w:val="center"/>
          </w:tcPr>
          <w:p>
            <w:pPr>
              <w:pStyle w:val="TableContents"/>
              <w:bidi w:val="0"/>
              <w:spacing w:before="1" w:after="0"/>
              <w:ind w:left="0" w:right="0" w:hanging="0"/>
              <w:jc w:val="center"/>
              <w:rPr/>
            </w:pPr>
            <w:r>
              <w:rPr/>
              <w:t>​</w:t>
            </w:r>
          </w:p>
        </w:tc>
        <w:tc>
          <w:tcPr>
            <w:tcW w:w="326" w:type="dxa"/>
            <w:tcBorders/>
            <w:shd w:fill="CCEEFF" w:val="clear"/>
            <w:vAlign w:val="center"/>
          </w:tcPr>
          <w:p>
            <w:pPr>
              <w:pStyle w:val="TableContents"/>
              <w:bidi w:val="0"/>
              <w:spacing w:before="1" w:after="0"/>
              <w:ind w:left="0" w:right="0" w:hanging="0"/>
              <w:jc w:val="left"/>
              <w:rPr/>
            </w:pPr>
            <w:r>
              <w:rPr/>
              <w:t>​</w:t>
            </w:r>
          </w:p>
        </w:tc>
        <w:tc>
          <w:tcPr>
            <w:tcW w:w="841" w:type="dxa"/>
            <w:tcBorders/>
            <w:shd w:fill="CCEEFF" w:val="clear"/>
            <w:vAlign w:val="center"/>
          </w:tcPr>
          <w:p>
            <w:pPr>
              <w:pStyle w:val="TableContents"/>
              <w:bidi w:val="0"/>
              <w:spacing w:before="1" w:after="0"/>
              <w:ind w:left="0" w:right="0" w:hanging="0"/>
              <w:jc w:val="center"/>
              <w:rPr/>
            </w:pPr>
            <w:r>
              <w:rPr/>
              <w:t>​</w:t>
            </w:r>
          </w:p>
        </w:tc>
        <w:tc>
          <w:tcPr>
            <w:tcW w:w="326" w:type="dxa"/>
            <w:tcBorders/>
            <w:shd w:fill="CCEEFF" w:val="clear"/>
            <w:vAlign w:val="center"/>
          </w:tcPr>
          <w:p>
            <w:pPr>
              <w:pStyle w:val="TableContents"/>
              <w:bidi w:val="0"/>
              <w:spacing w:before="1" w:after="0"/>
              <w:ind w:left="0" w:right="0" w:hanging="0"/>
              <w:jc w:val="left"/>
              <w:rPr/>
            </w:pPr>
            <w:r>
              <w:rPr/>
              <w:t>​</w:t>
            </w:r>
          </w:p>
        </w:tc>
        <w:tc>
          <w:tcPr>
            <w:tcW w:w="1261" w:type="dxa"/>
            <w:tcBorders/>
            <w:shd w:fill="CCEEFF" w:val="clear"/>
            <w:vAlign w:val="center"/>
          </w:tcPr>
          <w:p>
            <w:pPr>
              <w:pStyle w:val="TableContents"/>
              <w:bidi w:val="0"/>
              <w:spacing w:before="1" w:after="0"/>
              <w:ind w:left="0" w:right="0" w:hanging="0"/>
              <w:jc w:val="center"/>
              <w:rPr/>
            </w:pPr>
            <w:r>
              <w:rPr/>
              <w:t>​</w:t>
            </w:r>
          </w:p>
        </w:tc>
      </w:tr>
      <w:tr>
        <w:trPr/>
        <w:tc>
          <w:tcPr>
            <w:tcW w:w="2791" w:type="dxa"/>
            <w:tcBorders/>
            <w:vAlign w:val="center"/>
          </w:tcPr>
          <w:p>
            <w:pPr>
              <w:pStyle w:val="TableContents"/>
              <w:bidi w:val="0"/>
              <w:spacing w:before="1" w:after="0"/>
              <w:ind w:left="0" w:right="0" w:hanging="0"/>
              <w:jc w:val="left"/>
              <w:rPr>
                <w:rFonts w:ascii="Arial;Helvetica;sans-serif" w:hAnsi="Arial;Helvetica;sans-serif"/>
                <w:sz w:val="18"/>
              </w:rPr>
            </w:pPr>
            <w:r>
              <w:rPr>
                <w:rFonts w:ascii="Arial;Helvetica;sans-serif" w:hAnsi="Arial;Helvetica;sans-serif"/>
                <w:sz w:val="18"/>
              </w:rPr>
              <w:t>Nimiq 5</w:t>
            </w:r>
          </w:p>
        </w:tc>
        <w:tc>
          <w:tcPr>
            <w:tcW w:w="326" w:type="dxa"/>
            <w:tcBorders/>
            <w:vAlign w:val="center"/>
          </w:tcPr>
          <w:p>
            <w:pPr>
              <w:pStyle w:val="TableContents"/>
              <w:bidi w:val="0"/>
              <w:spacing w:before="1" w:after="0"/>
              <w:ind w:left="0" w:right="0" w:hanging="0"/>
              <w:jc w:val="left"/>
              <w:rPr/>
            </w:pPr>
            <w:r>
              <w:rPr/>
              <w:t>​</w:t>
            </w:r>
          </w:p>
        </w:tc>
        <w:tc>
          <w:tcPr>
            <w:tcW w:w="147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September 2009</w:t>
            </w:r>
          </w:p>
        </w:tc>
        <w:tc>
          <w:tcPr>
            <w:tcW w:w="326" w:type="dxa"/>
            <w:tcBorders/>
            <w:vAlign w:val="center"/>
          </w:tcPr>
          <w:p>
            <w:pPr>
              <w:pStyle w:val="TableContents"/>
              <w:bidi w:val="0"/>
              <w:spacing w:before="1" w:after="0"/>
              <w:ind w:left="0" w:right="0" w:hanging="0"/>
              <w:jc w:val="left"/>
              <w:rPr/>
            </w:pPr>
            <w:r>
              <w:rPr/>
              <w:t>​</w:t>
            </w:r>
          </w:p>
        </w:tc>
        <w:tc>
          <w:tcPr>
            <w:tcW w:w="84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72.7</w:t>
            </w:r>
          </w:p>
        </w:tc>
        <w:tc>
          <w:tcPr>
            <w:tcW w:w="326" w:type="dxa"/>
            <w:tcBorders/>
            <w:vAlign w:val="center"/>
          </w:tcPr>
          <w:p>
            <w:pPr>
              <w:pStyle w:val="TableContents"/>
              <w:bidi w:val="0"/>
              <w:spacing w:before="1" w:after="0"/>
              <w:ind w:left="0" w:right="0" w:hanging="0"/>
              <w:jc w:val="left"/>
              <w:rPr/>
            </w:pPr>
            <w:r>
              <w:rPr/>
              <w:t>​</w:t>
            </w:r>
          </w:p>
        </w:tc>
        <w:tc>
          <w:tcPr>
            <w:tcW w:w="1261" w:type="dxa"/>
            <w:tcBorders/>
            <w:vAlign w:val="center"/>
          </w:tcPr>
          <w:p>
            <w:pPr>
              <w:pStyle w:val="TableContents"/>
              <w:bidi w:val="0"/>
              <w:spacing w:before="1" w:after="0"/>
              <w:ind w:left="0" w:right="0" w:hanging="0"/>
              <w:jc w:val="center"/>
              <w:rPr>
                <w:rFonts w:ascii="Arial;Helvetica;sans-serif" w:hAnsi="Arial;Helvetica;sans-serif"/>
                <w:sz w:val="18"/>
              </w:rPr>
            </w:pPr>
            <w:r>
              <w:rPr>
                <w:rFonts w:ascii="Arial;Helvetica;sans-serif" w:hAnsi="Arial;Helvetica;sans-serif"/>
                <w:sz w:val="18"/>
              </w:rPr>
              <w:t>October 2029</w:t>
            </w:r>
          </w:p>
        </w:tc>
      </w:tr>
    </w:tbl>
    <w:p>
      <w:pPr>
        <w:pStyle w:val="TextBody"/>
        <w:bidi w:val="0"/>
        <w:spacing w:before="40" w:after="0"/>
        <w:ind w:left="0" w:right="0" w:hanging="0"/>
        <w:jc w:val="left"/>
        <w:rPr>
          <w:color w:val="000000"/>
        </w:rPr>
      </w:pPr>
      <w:r>
        <w:rPr>
          <w:color w:val="000000"/>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As of April 2025, we no longer lease the Anik F3 satellite. </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i/>
          <w:color w:val="000000"/>
          <w:sz w:val="20"/>
        </w:rPr>
      </w:pPr>
      <w:r>
        <w:rPr>
          <w:rFonts w:ascii="Arial;Helvetica;sans-serif" w:hAnsi="Arial;Helvetica;sans-serif"/>
          <w:i/>
          <w:color w:val="000000"/>
          <w:sz w:val="20"/>
        </w:rPr>
        <w:t>Satellites Under Construction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EchoStar XXV</w:t>
      </w:r>
      <w:r>
        <w:rPr>
          <w:rFonts w:ascii="Arial;Helvetica;sans-serif" w:hAnsi="Arial;Helvetica;sans-serif"/>
          <w:sz w:val="20"/>
        </w:rPr>
        <w:t>.</w:t>
      </w:r>
      <w:r>
        <w:rPr>
          <w:rFonts w:ascii="Times New Roman;Times;serif" w:hAnsi="Times New Roman;Times;serif"/>
          <w:color w:val="0000FF"/>
          <w:sz w:val="20"/>
        </w:rPr>
        <w:t xml:space="preserve"> </w:t>
      </w:r>
      <w:r>
        <w:rPr>
          <w:rFonts w:ascii="Arial;Helvetica;sans-serif" w:hAnsi="Arial;Helvetica;sans-serif"/>
          <w:sz w:val="20"/>
        </w:rPr>
        <w:t xml:space="preserve">On March 20, 2023, we entered into a contract with </w:t>
      </w:r>
      <w:r>
        <w:rPr>
          <w:rFonts w:ascii="Arial;Helvetica;sans-serif" w:hAnsi="Arial;Helvetica;sans-serif"/>
          <w:color w:val="222222"/>
          <w:sz w:val="20"/>
          <w:shd w:fill="FFFFFF" w:val="clear"/>
        </w:rPr>
        <w:t>Lanteris Space LLC</w:t>
      </w:r>
      <w:r>
        <w:rPr>
          <w:rFonts w:ascii="Times New Roman;Times;serif" w:hAnsi="Times New Roman;Times;serif"/>
          <w:sz w:val="20"/>
        </w:rPr>
        <w:t xml:space="preserve"> </w:t>
      </w:r>
      <w:r>
        <w:rPr>
          <w:rFonts w:ascii="Arial;Helvetica;sans-serif" w:hAnsi="Arial;Helvetica;sans-serif"/>
          <w:sz w:val="20"/>
        </w:rPr>
        <w:t>for the construction of EchoStar XXV, a DBS satellite that is capable of providing service to the continental United States (“CONUS”) and is intended to be used at the 110 degree orbital location. During the fourth quarter of 2023, we entered into an agreement with SpaceX for launch services for this satellite, which is expected to be launched during 2026. The EchoStar XXV contract was included in the Sale and Transfer of Assets to EchoStar on January 10, 2024.</w:t>
      </w:r>
      <w:r>
        <w:rPr>
          <w:rFonts w:ascii="Times New Roman;Times;serif" w:hAnsi="Times New Roman;Times;serif"/>
          <w:sz w:val="20"/>
        </w:rPr>
        <w:t xml:space="preserve"> </w:t>
      </w:r>
      <w:r>
        <w:rPr>
          <w:rFonts w:ascii="Arial;Helvetica;sans-serif" w:hAnsi="Arial;Helvetica;sans-serif"/>
          <w:sz w:val="20"/>
        </w:rPr>
        <w:t>Subsequently, on May 2, 2024, the EchoStar XXV contract was included in the Orbital II Transfer from EchoStar and is recorded in “Property and equipment, net” on our Condensed Consolidated Balance Sheets. For the nine months ended September 30, 2024, capital expenditures for EchoStar XXV totaled $94</w:t>
      </w:r>
      <w:r>
        <w:rPr>
          <w:rFonts w:ascii="Times New Roman;Times;serif" w:hAnsi="Times New Roman;Times;serif"/>
          <w:sz w:val="20"/>
        </w:rPr>
        <w:t xml:space="preserve"> </w:t>
      </w:r>
      <w:r>
        <w:rPr>
          <w:rFonts w:ascii="Arial;Helvetica;sans-serif" w:hAnsi="Arial;Helvetica;sans-serif"/>
          <w:sz w:val="20"/>
        </w:rPr>
        <w:t>million, which includes $47</w:t>
      </w:r>
      <w:r>
        <w:rPr>
          <w:rFonts w:ascii="Times New Roman;Times;serif" w:hAnsi="Times New Roman;Times;serif"/>
          <w:sz w:val="20"/>
        </w:rPr>
        <w:t xml:space="preserve"> </w:t>
      </w:r>
      <w:r>
        <w:rPr>
          <w:rFonts w:ascii="Arial;Helvetica;sans-serif" w:hAnsi="Arial;Helvetica;sans-serif"/>
          <w:sz w:val="20"/>
        </w:rPr>
        <w:t>million for capital expenditures incurred after May 2, 2024, which is included in “Purchases of property and equipment,” and $47</w:t>
      </w:r>
      <w:r>
        <w:rPr>
          <w:rFonts w:ascii="Times New Roman;Times;serif" w:hAnsi="Times New Roman;Times;serif"/>
          <w:sz w:val="20"/>
        </w:rPr>
        <w:t xml:space="preserve"> </w:t>
      </w:r>
      <w:r>
        <w:rPr>
          <w:rFonts w:ascii="Arial;Helvetica;sans-serif" w:hAnsi="Arial;Helvetica;sans-serif"/>
          <w:sz w:val="20"/>
        </w:rPr>
        <w:t xml:space="preserve">million for capital expenditures incurred between the Sale and Transfer of Assets to EchoStar on January 10, 2024 and May 2, 2024, which is included in “Other, net” within “Net cash flows from investing activities” on our Condensed Consolidated Statements of Cash Flows. See Note 12 for further information. </w:t>
      </w:r>
    </w:p>
    <w:p>
      <w:pPr>
        <w:pStyle w:val="TextBody"/>
        <w:bidi w:val="0"/>
        <w:spacing w:before="0" w:after="0"/>
        <w:ind w:left="0" w:right="0" w:hanging="0"/>
        <w:jc w:val="left"/>
        <w:rPr/>
      </w:pPr>
      <w:r>
        <w:rPr/>
        <w:t>​</w:t>
      </w:r>
    </w:p>
    <w:p>
      <w:pPr>
        <w:pStyle w:val="TextBody"/>
        <w:pBdr/>
        <w:bidi w:val="0"/>
        <w:spacing w:before="0" w:after="0"/>
        <w:ind w:left="0" w:right="0" w:hanging="9"/>
        <w:jc w:val="both"/>
        <w:rPr>
          <w:rFonts w:ascii="Times New Roman;Times;serif" w:hAnsi="Times New Roman;Times;serif"/>
          <w:spacing w:val="-2"/>
          <w:sz w:val="18"/>
        </w:rPr>
      </w:pPr>
      <w:r>
        <w:rPr>
          <w:rFonts w:ascii="Arial;Helvetica;sans-serif" w:hAnsi="Arial;Helvetica;sans-serif"/>
          <w:i/>
          <w:spacing w:val="-2"/>
          <w:sz w:val="20"/>
        </w:rPr>
        <w:t>EchoStar XXVI.</w:t>
      </w:r>
      <w:r>
        <w:rPr>
          <w:rFonts w:ascii="Times New Roman;Times;serif" w:hAnsi="Times New Roman;Times;serif"/>
          <w:spacing w:val="-2"/>
          <w:sz w:val="18"/>
        </w:rPr>
        <w:t xml:space="preserve"> </w:t>
      </w:r>
      <w:r>
        <w:rPr>
          <w:rFonts w:ascii="Arial;Helvetica;sans-serif" w:hAnsi="Arial;Helvetica;sans-serif"/>
          <w:spacing w:val="-2"/>
          <w:sz w:val="20"/>
        </w:rPr>
        <w:t xml:space="preserve">On May 15, 2025, we entered into a contract with </w:t>
      </w:r>
      <w:r>
        <w:rPr>
          <w:rFonts w:ascii="Arial;Helvetica;sans-serif" w:hAnsi="Arial;Helvetica;sans-serif"/>
          <w:color w:val="222222"/>
          <w:spacing w:val="-2"/>
          <w:sz w:val="20"/>
          <w:shd w:fill="FFFFFF" w:val="clear"/>
        </w:rPr>
        <w:t>Lanteris Space LLC</w:t>
      </w:r>
      <w:r>
        <w:rPr>
          <w:rFonts w:ascii="Times New Roman;Times;serif" w:hAnsi="Times New Roman;Times;serif"/>
          <w:spacing w:val="-2"/>
          <w:sz w:val="18"/>
        </w:rPr>
        <w:t xml:space="preserve"> </w:t>
      </w:r>
      <w:r>
        <w:rPr>
          <w:rFonts w:ascii="Arial;Helvetica;sans-serif" w:hAnsi="Arial;Helvetica;sans-serif"/>
          <w:spacing w:val="-2"/>
          <w:sz w:val="20"/>
        </w:rPr>
        <w:t xml:space="preserve">for the construction of EchoStar XXVI, a DBS satellite that is capable of providing service to the CONUS and is intended to be used at the 119 degree orbital location. </w:t>
      </w:r>
      <w:r>
        <w:rPr>
          <w:rFonts w:ascii="Arial;Helvetica;sans-serif" w:hAnsi="Arial;Helvetica;sans-serif"/>
          <w:color w:val="222222"/>
          <w:spacing w:val="-2"/>
          <w:sz w:val="20"/>
          <w:shd w:fill="FFFFFF" w:val="clear"/>
        </w:rPr>
        <w:t xml:space="preserve">During the third quarter of 2025, we entered into an agreement with SpaceX for launch services for this satellite, which is expected to be launched during 2028.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Times New Roman;Times;serif" w:hAnsi="Times New Roman;Times;serif"/>
          <w:spacing w:val="-2"/>
          <w:sz w:val="18"/>
        </w:rPr>
      </w:pPr>
      <w:bookmarkStart w:id="1130" w:name="Tc_QBC0wbfv3EedZt4vSgyFeQ_14_6"/>
      <w:bookmarkStart w:id="1131" w:name="Tc_gixeXL_7cEa0FxtaZMR7QA_14_5"/>
      <w:bookmarkStart w:id="1132" w:name="Tc_d_HzpP9cxUWJu5ODR4S4Fg_14_2"/>
      <w:bookmarkStart w:id="1133" w:name="Tc_vTXrwb5H6UyIcCO2xn6TGQ_14_0"/>
      <w:bookmarkStart w:id="1134" w:name="Tc_cbJBsIittEq8ODZJ7-EOVg_12_6"/>
      <w:bookmarkStart w:id="1135" w:name="Tc_lKP_i74O9kSUitLtG_Do1Q_12_5"/>
      <w:bookmarkStart w:id="1136" w:name="Tc_GKxiK9nirkGpE8IiaK_PzA_12_3"/>
      <w:bookmarkStart w:id="1137" w:name="Tc_DN8aSX8tPESwtnnKOd-tmg_12_2"/>
      <w:bookmarkStart w:id="1138" w:name="Tc_0dbODRJCvE2-EYks02yWzA_12_0"/>
      <w:bookmarkStart w:id="1139" w:name="Tc_yFpo4_wuskqP69_Woefw5A_11_5"/>
      <w:bookmarkStart w:id="1140" w:name="Tc_AoihqtLcikOZLh7bmUXdQw_11_2"/>
      <w:bookmarkStart w:id="1141" w:name="Tc_6Ne-tDbRBU-sGsieCd6BwA_11_0"/>
      <w:bookmarkStart w:id="1142" w:name="Tc_9NEQBe1fNEWEX5NkDFQEag_10_0"/>
      <w:bookmarkStart w:id="1143" w:name="Tc_Vatneh7a0ESL3uKeTMCY4Q_8_5"/>
      <w:bookmarkStart w:id="1144" w:name="Tc_GCjGlhO5Yk6OI3W9k5KHCQ_8_2"/>
      <w:bookmarkStart w:id="1145" w:name="Tc_m2u2CwTyG0GbiSIBX44JtQ_8_0"/>
      <w:bookmarkStart w:id="1146" w:name="Tc_fKBWXzoQBkmwyGuulEXo4Q_7_5"/>
      <w:bookmarkStart w:id="1147" w:name="Tc_rsuwKKvgJ0GzoiMruvRtfg_7_2"/>
      <w:bookmarkStart w:id="1148" w:name="Tc_9W-rdql2GE2vf2JibqEK_g_7_0"/>
      <w:bookmarkStart w:id="1149" w:name="Tc_xx5EbDLqM0yTr3jxkd0Yeg_6_5"/>
      <w:bookmarkStart w:id="1150" w:name="Tc_Oid1k2_kL06HopxbHtaPAQ_6_2"/>
      <w:bookmarkStart w:id="1151" w:name="Tc_RmaG7Oro90C7XbzixZIIag_6_0"/>
      <w:bookmarkStart w:id="1152" w:name="Tc_zqygPrGkkkWbT9rPkMa-GA_5_0"/>
      <w:bookmarkStart w:id="1153" w:name="Tc_q-3jBMLNN0Wh_6I00CAJmg_4_2"/>
      <w:bookmarkStart w:id="1154" w:name="Tc_YLbO7fnpp0GO7LM944nmCQ_3_5"/>
      <w:bookmarkStart w:id="1155" w:name="Tc_y-n-q5JBC0y02oTL9cXvQw_3_2"/>
      <w:bookmarkStart w:id="1156" w:name="Tc_l-g7soHcSEW7HEFuDaIRdg_2_2"/>
      <w:bookmarkStart w:id="1157" w:name="Tc_1zCcrIk1s0yOsoitGyZp0Q_1_2"/>
      <w:bookmarkStart w:id="1158" w:name="_63ff06dc_1a92_4ecb_8116_71066d99f586"/>
      <w:bookmarkStart w:id="1159" w:name="Tc_4tTWslS1Gk2ubVrjdfYKUw_13_11"/>
      <w:bookmarkStart w:id="1160" w:name="Tc_PPh7gN_Abk24Fexh-fVMVA_13_8"/>
      <w:bookmarkStart w:id="1161" w:name="Tc_E2DaB3d7hEqUs2lXXpS0iA_13_5"/>
      <w:bookmarkStart w:id="1162" w:name="Tc_RMvA4CMoE06EqQ-oTJK0ow_13_2"/>
      <w:bookmarkStart w:id="1163" w:name="Tc_2H90JYITeku2SW5egdUDtg_13_0"/>
      <w:bookmarkStart w:id="1164" w:name="Tc_U-7F1mYgn0OPylvvYg0s8w_12_0"/>
      <w:bookmarkStart w:id="1165" w:name="Tc_jMtl01D_aECJQAgRcLjnJA_11_0"/>
      <w:bookmarkStart w:id="1166" w:name="Tc_v7bPIBfP00al197oSgp4Tw_10_0"/>
      <w:bookmarkStart w:id="1167" w:name="Tc_slY9fvMdpU6izF0595Rc2w_9_0"/>
      <w:bookmarkStart w:id="1168" w:name="Tc_5mR0xVONJEWsDynt4IiU4Q_7_0"/>
      <w:bookmarkStart w:id="1169" w:name="Tc_56NuX58j2USr6Jap729m6w_5_11"/>
      <w:bookmarkStart w:id="1170" w:name="Tc_w0aP04eCxEasB6nVkCNQxw_5_8"/>
      <w:bookmarkStart w:id="1171" w:name="Tc_SLkmHbSNsUixfkj0HxJo9A_5_5"/>
      <w:bookmarkStart w:id="1172" w:name="Tc_IdfWVAtq_kul7wHd4BHe9g_5_2"/>
      <w:bookmarkStart w:id="1173" w:name="Tc_1NAm383CJ0CXwgyZb7uvMA_5_0"/>
      <w:bookmarkStart w:id="1174" w:name="Tc_T2ZVlwYHpkq2oWCp7g5G7Q_4_2"/>
      <w:bookmarkStart w:id="1175" w:name="Tc_gdkyvDjMjUqekD2MxK5idw_3_11"/>
      <w:bookmarkStart w:id="1176" w:name="Tc_7V7FTfooN0SeJO5cX9QAHg_3_8"/>
      <w:bookmarkStart w:id="1177" w:name="Tc_dTrBlO0fP0K5yG_WW7iYxA_3_5"/>
      <w:bookmarkStart w:id="1178" w:name="Tc_-iL0ZZuIp0a0u4PfQqGG6A_3_2"/>
      <w:bookmarkStart w:id="1179" w:name="Tc_zHKxEmxMS02KhAUbimrySA_2_8"/>
      <w:bookmarkStart w:id="1180" w:name="Tc_QzQu_2T2DUq7xeO29CFC0Q_2_2"/>
      <w:bookmarkStart w:id="1181" w:name="Tc_ga-d4qLbjEe0E5fSyXE_uw_1_8"/>
      <w:bookmarkStart w:id="1182" w:name="Tc_rZT21WWPt0GRWWcfOgLlWA_1_2"/>
      <w:bookmarkStart w:id="1183" w:name="_3826d178_1d59_4914_8665_9cf7f90b4c7f"/>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ascii="Arial;Helvetica;sans-serif" w:hAnsi="Arial;Helvetica;sans-serif"/>
          <w:b/>
          <w:i w:val="false"/>
          <w:caps w:val="false"/>
          <w:smallCaps w:val="false"/>
          <w:spacing w:val="-2"/>
          <w:sz w:val="20"/>
        </w:rPr>
        <w:t>7.</w:t>
      </w:r>
      <w:r>
        <w:rPr>
          <w:rFonts w:ascii="Arial;Helvetica;sans-serif" w:hAnsi="Arial;Helvetica;sans-serif"/>
          <w:b/>
          <w:spacing w:val="-2"/>
          <w:sz w:val="20"/>
        </w:rPr>
        <w:t xml:space="preserve">Leases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i/>
          <w:spacing w:val="-2"/>
          <w:sz w:val="20"/>
        </w:rPr>
      </w:pPr>
      <w:r>
        <w:rPr>
          <w:rFonts w:ascii="Arial;Helvetica;sans-serif" w:hAnsi="Arial;Helvetica;sans-serif"/>
          <w:b/>
          <w:i/>
          <w:spacing w:val="-2"/>
          <w:sz w:val="20"/>
        </w:rPr>
        <w:t>Lessee Accounting</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w:t>
      </w:r>
      <w:r>
        <w:rPr>
          <w:rFonts w:ascii="Times New Roman;Times;serif" w:hAnsi="Times New Roman;Times;serif"/>
          <w:sz w:val="20"/>
        </w:rPr>
        <w:t xml:space="preserve"> </w:t>
      </w:r>
      <w:r>
        <w:rPr>
          <w:rFonts w:ascii="Arial;Helvetica;sans-serif" w:hAnsi="Arial;Helvetica;sans-serif"/>
          <w:sz w:val="20"/>
        </w:rPr>
        <w:t xml:space="preserve">Substantially all of our leases have remaining lease terms from </w:t>
      </w:r>
      <w:r>
        <w:rPr>
          <w:rFonts w:ascii="Arial;Helvetica;sans-serif" w:hAnsi="Arial;Helvetica;sans-serif"/>
          <w:b w:val="false"/>
          <w:i w:val="false"/>
          <w:caps w:val="false"/>
          <w:smallCaps w:val="false"/>
          <w:sz w:val="20"/>
        </w:rPr>
        <w:t>one</w:t>
      </w:r>
      <w:r>
        <w:rPr>
          <w:rFonts w:ascii="Times New Roman;Times;serif" w:hAnsi="Times New Roman;Times;serif"/>
          <w:sz w:val="20"/>
        </w:rPr>
        <w:t xml:space="preserve"> </w:t>
      </w:r>
      <w:r>
        <w:rPr>
          <w:rFonts w:ascii="Arial;Helvetica;sans-serif" w:hAnsi="Arial;Helvetica;sans-serif"/>
          <w:sz w:val="20"/>
        </w:rPr>
        <w:t>to 13 years, with a weighted average remaining lease term of 1.1</w:t>
      </w:r>
      <w:r>
        <w:rPr>
          <w:rFonts w:ascii="Times New Roman;Times;serif" w:hAnsi="Times New Roman;Times;serif"/>
          <w:sz w:val="20"/>
        </w:rPr>
        <w:t xml:space="preserve"> </w:t>
      </w:r>
      <w:r>
        <w:rPr>
          <w:rFonts w:ascii="Arial;Helvetica;sans-serif" w:hAnsi="Arial;Helvetica;sans-serif"/>
          <w:sz w:val="20"/>
        </w:rPr>
        <w:t>to 9.7</w:t>
      </w:r>
      <w:r>
        <w:rPr>
          <w:rFonts w:ascii="Times New Roman;Times;serif" w:hAnsi="Times New Roman;Times;serif"/>
          <w:sz w:val="20"/>
        </w:rPr>
        <w:t xml:space="preserve"> </w:t>
      </w:r>
      <w:r>
        <w:rPr>
          <w:rFonts w:ascii="Arial;Helvetica;sans-serif" w:hAnsi="Arial;Helvetica;sans-serif"/>
          <w:sz w:val="20"/>
        </w:rPr>
        <w:t>years, some of which include renewal</w:t>
      </w:r>
      <w:r>
        <w:rPr>
          <w:rFonts w:ascii="Times New Roman;Times;serif" w:hAnsi="Times New Roman;Times;serif"/>
          <w:sz w:val="20"/>
        </w:rPr>
        <w:t xml:space="preserve"> </w:t>
      </w:r>
      <w:r>
        <w:rPr>
          <w:rFonts w:ascii="Arial;Helvetica;sans-serif" w:hAnsi="Arial;Helvetica;sans-serif"/>
          <w:sz w:val="20"/>
        </w:rPr>
        <w:t>options, and some of which include options to terminate</w:t>
      </w:r>
      <w:r>
        <w:rPr>
          <w:rFonts w:ascii="Times New Roman;Times;serif" w:hAnsi="Times New Roman;Times;serif"/>
          <w:sz w:val="20"/>
        </w:rPr>
        <w:t xml:space="preserve"> </w:t>
      </w:r>
      <w:r>
        <w:rPr>
          <w:rFonts w:ascii="Arial;Helvetica;sans-serif" w:hAnsi="Arial;Helvetica;sans-serif"/>
          <w:sz w:val="20"/>
        </w:rPr>
        <w:t>the leases within one year. For certain arrangements the lease term includes the non-cancelable period plus the renewal period that we are reasonably certain to exercise.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Through the third quarter of 2024, our Nimiq 5 satellite was accounted for as finance lease within our Pay-TV segment. However, during October 2024, we extended the Nimiq 5 lease and as a result it is currently accounted for as an operating lease. In addition, through the first quarter of 2025, our Anik F3 satellite was accounted for as an operating lease within our Pay-TV segment and as of April 2025 we no longer lease this satellite. Substantially all of our remaining leases are accounted for as operating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components of lease expense were as follows:</w:t>
      </w:r>
    </w:p>
    <w:p>
      <w:pPr>
        <w:pStyle w:val="TextBody"/>
        <w:bidi w:val="0"/>
        <w:spacing w:before="0" w:after="0"/>
        <w:ind w:left="0" w:right="0" w:hanging="0"/>
        <w:jc w:val="both"/>
        <w:rPr>
          <w:spacing w:val="-2"/>
        </w:rPr>
      </w:pPr>
      <w:r>
        <w:rPr>
          <w:spacing w:val="-2"/>
        </w:rPr>
        <w:t>​</w:t>
      </w:r>
    </w:p>
    <w:tbl>
      <w:tblPr>
        <w:tblW w:w="8354" w:type="dxa"/>
        <w:jc w:val="left"/>
        <w:tblInd w:w="0" w:type="dxa"/>
        <w:tblLayout w:type="fixed"/>
        <w:tblCellMar>
          <w:top w:w="0" w:type="dxa"/>
          <w:left w:w="0" w:type="dxa"/>
          <w:bottom w:w="0" w:type="dxa"/>
          <w:right w:w="0" w:type="dxa"/>
        </w:tblCellMar>
      </w:tblPr>
      <w:tblGrid>
        <w:gridCol w:w="2881"/>
        <w:gridCol w:w="326"/>
        <w:gridCol w:w="257"/>
        <w:gridCol w:w="951"/>
        <w:gridCol w:w="132"/>
        <w:gridCol w:w="257"/>
        <w:gridCol w:w="951"/>
        <w:gridCol w:w="109"/>
        <w:gridCol w:w="239"/>
        <w:gridCol w:w="885"/>
        <w:gridCol w:w="123"/>
        <w:gridCol w:w="239"/>
        <w:gridCol w:w="1004"/>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829435" cy="175260"/>
                      <wp:effectExtent l="0" t="0" r="0" b="0"/>
                      <wp:wrapNone/>
                      <wp:docPr id="182" name="Frame182"/>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3195" cy="175260"/>
                      <wp:effectExtent l="0" t="0" r="0" b="0"/>
                      <wp:wrapNone/>
                      <wp:docPr id="184" name="Frame18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03885" cy="175260"/>
                      <wp:effectExtent l="0" t="0" r="0" b="0"/>
                      <wp:wrapNone/>
                      <wp:docPr id="185" name="Frame185"/>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83820" cy="175260"/>
                      <wp:effectExtent l="0" t="0" r="0" b="0"/>
                      <wp:wrapNone/>
                      <wp:docPr id="186" name="Frame186"/>
                      <a:graphic xmlns:a="http://schemas.openxmlformats.org/drawingml/2006/main">
                        <a:graphicData uri="http://schemas.microsoft.com/office/word/2010/wordprocessingShape">
                          <wps:wsp>
                            <wps:cNvSpPr txBox="1"/>
                            <wps:spPr>
                              <a:xfrm>
                                <a:off x="0" y="0"/>
                                <a:ext cx="83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63195" cy="175260"/>
                      <wp:effectExtent l="0" t="0" r="0" b="0"/>
                      <wp:wrapNone/>
                      <wp:docPr id="187" name="Frame18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03885" cy="175260"/>
                      <wp:effectExtent l="0" t="0" r="0" b="0"/>
                      <wp:wrapNone/>
                      <wp:docPr id="188" name="Frame188"/>
                      <a:graphic xmlns:a="http://schemas.openxmlformats.org/drawingml/2006/main">
                        <a:graphicData uri="http://schemas.microsoft.com/office/word/2010/wordprocessingShape">
                          <wps:wsp>
                            <wps:cNvSpPr txBox="1"/>
                            <wps:spPr>
                              <a:xfrm>
                                <a:off x="0" y="0"/>
                                <a:ext cx="603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1765" cy="175260"/>
                      <wp:effectExtent l="0" t="0" r="0" b="0"/>
                      <wp:wrapNone/>
                      <wp:docPr id="190" name="Frame19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61975" cy="175260"/>
                      <wp:effectExtent l="0" t="0" r="0" b="0"/>
                      <wp:wrapNone/>
                      <wp:docPr id="191" name="Frame191"/>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78105" cy="175260"/>
                      <wp:effectExtent l="0" t="0" r="0" b="0"/>
                      <wp:wrapNone/>
                      <wp:docPr id="192" name="Frame192"/>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1765" cy="175260"/>
                      <wp:effectExtent l="0" t="0" r="0" b="0"/>
                      <wp:wrapNone/>
                      <wp:docPr id="193" name="Frame19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37540" cy="175260"/>
                      <wp:effectExtent l="0" t="0" r="0" b="0"/>
                      <wp:wrapNone/>
                      <wp:docPr id="194" name="Frame194"/>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center"/>
              <w:rPr/>
            </w:pPr>
            <w:r>
              <w:rPr/>
              <w:t>​</w:t>
            </w:r>
          </w:p>
        </w:tc>
        <w:tc>
          <w:tcPr>
            <w:tcW w:w="249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center"/>
              <w:rPr/>
            </w:pPr>
            <w:r>
              <w:rPr/>
              <w:t>​</w:t>
            </w:r>
          </w:p>
        </w:tc>
        <w:tc>
          <w:tcPr>
            <w:tcW w:w="249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32" w:type="dxa"/>
            <w:tcBorders/>
            <w:vAlign w:val="center"/>
          </w:tcPr>
          <w:p>
            <w:pPr>
              <w:pStyle w:val="TableContents"/>
              <w:bidi w:val="0"/>
              <w:spacing w:before="0" w:after="0"/>
              <w:ind w:left="0" w:right="0" w:hanging="0"/>
              <w:jc w:val="center"/>
              <w:rPr/>
            </w:pPr>
            <w:r>
              <w:rPr/>
              <w:t>​</w:t>
            </w:r>
          </w:p>
        </w:tc>
        <w:tc>
          <w:tcPr>
            <w:tcW w:w="12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center"/>
              <w:rPr/>
            </w:pPr>
            <w:r>
              <w:rPr/>
              <w:t>​</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23" w:type="dxa"/>
            <w:tcBorders/>
            <w:vAlign w:val="center"/>
          </w:tcPr>
          <w:p>
            <w:pPr>
              <w:pStyle w:val="TableContents"/>
              <w:bidi w:val="0"/>
              <w:spacing w:before="0" w:after="0"/>
              <w:ind w:left="0" w:right="0" w:hanging="0"/>
              <w:jc w:val="center"/>
              <w:rPr/>
            </w:pPr>
            <w:r>
              <w:rPr/>
              <w:t>​</w:t>
            </w:r>
          </w:p>
        </w:tc>
        <w:tc>
          <w:tcPr>
            <w:tcW w:w="12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35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47"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152,877</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150,048</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474,345</w:t>
            </w:r>
          </w:p>
        </w:tc>
        <w:tc>
          <w:tcPr>
            <w:tcW w:w="1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461,172</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Short-term lease cost (1)</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4,023</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3,089</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16,174</w:t>
            </w:r>
          </w:p>
        </w:tc>
        <w:tc>
          <w:tcPr>
            <w:tcW w:w="1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8,951</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3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1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9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c>
          <w:tcPr>
            <w:tcW w:w="123"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5,031</w:t>
            </w:r>
          </w:p>
        </w:tc>
        <w:tc>
          <w:tcPr>
            <w:tcW w:w="13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12,847</w:t>
            </w:r>
          </w:p>
        </w:tc>
        <w:tc>
          <w:tcPr>
            <w:tcW w:w="10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19,788</w:t>
            </w:r>
          </w:p>
        </w:tc>
        <w:tc>
          <w:tcPr>
            <w:tcW w:w="123"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40,211</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1,184</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1,980</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4,028</w:t>
            </w:r>
          </w:p>
        </w:tc>
        <w:tc>
          <w:tcPr>
            <w:tcW w:w="123"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7,169</w:t>
            </w:r>
          </w:p>
        </w:tc>
      </w:tr>
      <w:tr>
        <w:trPr/>
        <w:tc>
          <w:tcPr>
            <w:tcW w:w="2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finance lease cost</w:t>
            </w:r>
          </w:p>
        </w:tc>
        <w:tc>
          <w:tcPr>
            <w:tcW w:w="32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6,215</w:t>
            </w:r>
          </w:p>
        </w:tc>
        <w:tc>
          <w:tcPr>
            <w:tcW w:w="132"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14,827</w:t>
            </w:r>
          </w:p>
        </w:tc>
        <w:tc>
          <w:tcPr>
            <w:tcW w:w="10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23,816</w:t>
            </w:r>
          </w:p>
        </w:tc>
        <w:tc>
          <w:tcPr>
            <w:tcW w:w="123"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47,380</w:t>
            </w:r>
          </w:p>
        </w:tc>
      </w:tr>
      <w:tr>
        <w:trPr/>
        <w:tc>
          <w:tcPr>
            <w:tcW w:w="2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costs</w:t>
            </w:r>
          </w:p>
        </w:tc>
        <w:tc>
          <w:tcPr>
            <w:tcW w:w="326"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163,115</w:t>
            </w:r>
          </w:p>
        </w:tc>
        <w:tc>
          <w:tcPr>
            <w:tcW w:w="132"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167,964</w:t>
            </w:r>
          </w:p>
        </w:tc>
        <w:tc>
          <w:tcPr>
            <w:tcW w:w="109"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514,335</w:t>
            </w:r>
          </w:p>
        </w:tc>
        <w:tc>
          <w:tcPr>
            <w:tcW w:w="123"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517,503</w:t>
            </w:r>
          </w:p>
        </w:tc>
      </w:tr>
    </w:tbl>
    <w:p>
      <w:pPr>
        <w:pStyle w:val="TextBody"/>
        <w:bidi w:val="0"/>
        <w:spacing w:before="0" w:after="0"/>
        <w:ind w:left="0" w:right="0" w:hanging="0"/>
        <w:jc w:val="both"/>
        <w:rPr>
          <w:spacing w:val="-2"/>
        </w:rPr>
      </w:pPr>
      <w:r>
        <w:rPr>
          <w:spacing w:val="-2"/>
        </w:rPr>
        <w:t>​</w:t>
      </w:r>
    </w:p>
    <w:tbl>
      <w:tblPr>
        <w:tblW w:w="4517" w:type="dxa"/>
        <w:jc w:val="left"/>
        <w:tblInd w:w="0" w:type="dxa"/>
        <w:tblLayout w:type="fixed"/>
        <w:tblCellMar>
          <w:top w:w="0" w:type="dxa"/>
          <w:left w:w="0" w:type="dxa"/>
          <w:bottom w:w="0" w:type="dxa"/>
          <w:right w:w="0" w:type="dxa"/>
        </w:tblCellMar>
      </w:tblPr>
      <w:tblGrid>
        <w:gridCol w:w="346"/>
        <w:gridCol w:w="417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417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Leases that have terms of 12 months or less.</w:t>
            </w:r>
            <w:r>
              <w:rPr>
                <w:caps w:val="false"/>
                <w:smallCaps w:val="false"/>
              </w:rPr>
              <w:t xml:space="preserve"> </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Supplemental cash flow information related to leases was as follows:</w:t>
      </w:r>
      <w:r>
        <w:rPr>
          <w:rFonts w:ascii="Arial;Helvetica;sans-serif" w:hAnsi="Arial;Helvetica;sans-serif"/>
          <w:spacing w:val="-2"/>
          <w:sz w:val="18"/>
        </w:rPr>
        <w:br/>
      </w:r>
      <w:r>
        <w:rPr>
          <w:rFonts w:ascii="Times New Roman;Times;serif" w:hAnsi="Times New Roman;Times;serif"/>
          <w:spacing w:val="-2"/>
          <w:sz w:val="18"/>
        </w:rPr>
        <w:t>​</w:t>
      </w:r>
    </w:p>
    <w:p>
      <w:pPr>
        <w:pStyle w:val="TextBody"/>
        <w:bidi w:val="0"/>
        <w:spacing w:before="0" w:after="0"/>
        <w:ind w:left="0" w:right="0" w:hanging="0"/>
        <w:jc w:val="left"/>
        <w:rPr/>
      </w:pPr>
      <w:r>
        <w:rPr/>
        <w:t>​</w:t>
      </w:r>
    </w:p>
    <w:tbl>
      <w:tblPr>
        <w:tblW w:w="8695" w:type="dxa"/>
        <w:jc w:val="left"/>
        <w:tblInd w:w="0" w:type="dxa"/>
        <w:tblLayout w:type="fixed"/>
        <w:tblCellMar>
          <w:top w:w="0" w:type="dxa"/>
          <w:left w:w="0" w:type="dxa"/>
          <w:bottom w:w="0" w:type="dxa"/>
          <w:right w:w="0" w:type="dxa"/>
        </w:tblCellMar>
      </w:tblPr>
      <w:tblGrid>
        <w:gridCol w:w="5881"/>
        <w:gridCol w:w="326"/>
        <w:gridCol w:w="229"/>
        <w:gridCol w:w="1013"/>
        <w:gridCol w:w="118"/>
        <w:gridCol w:w="229"/>
        <w:gridCol w:w="899"/>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3734435" cy="175260"/>
                      <wp:effectExtent l="0" t="0" r="0" b="0"/>
                      <wp:wrapNone/>
                      <wp:docPr id="195" name="Frame195"/>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45415" cy="175260"/>
                      <wp:effectExtent l="0" t="0" r="0" b="0"/>
                      <wp:wrapNone/>
                      <wp:docPr id="197" name="Frame197"/>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3255" cy="175260"/>
                      <wp:effectExtent l="0" t="0" r="0" b="0"/>
                      <wp:wrapNone/>
                      <wp:docPr id="198" name="Frame198"/>
                      <a:graphic xmlns:a="http://schemas.openxmlformats.org/drawingml/2006/main">
                        <a:graphicData uri="http://schemas.microsoft.com/office/word/2010/wordprocessingShape">
                          <wps:wsp>
                            <wps:cNvSpPr txBox="1"/>
                            <wps:spPr>
                              <a:xfrm>
                                <a:off x="0" y="0"/>
                                <a:ext cx="643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4930" cy="175260"/>
                      <wp:effectExtent l="0" t="0" r="0" b="0"/>
                      <wp:wrapNone/>
                      <wp:docPr id="199" name="Frame199"/>
                      <a:graphic xmlns:a="http://schemas.openxmlformats.org/drawingml/2006/main">
                        <a:graphicData uri="http://schemas.microsoft.com/office/word/2010/wordprocessingShape">
                          <wps:wsp>
                            <wps:cNvSpPr txBox="1"/>
                            <wps:spPr>
                              <a:xfrm>
                                <a:off x="0" y="0"/>
                                <a:ext cx="74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45415" cy="175260"/>
                      <wp:effectExtent l="0" t="0" r="0" b="0"/>
                      <wp:wrapNone/>
                      <wp:docPr id="200" name="Frame200"/>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70865" cy="175260"/>
                      <wp:effectExtent l="0" t="0" r="0" b="0"/>
                      <wp:wrapNone/>
                      <wp:docPr id="201" name="Frame20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8"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18" w:type="dxa"/>
            <w:tcBorders/>
            <w:vAlign w:val="center"/>
          </w:tcPr>
          <w:p>
            <w:pPr>
              <w:pStyle w:val="TableContents"/>
              <w:bidi w:val="0"/>
              <w:spacing w:before="0" w:after="0"/>
              <w:ind w:left="0" w:right="0" w:hanging="0"/>
              <w:jc w:val="left"/>
              <w:rPr/>
            </w:pPr>
            <w:r>
              <w:rPr/>
              <w:t>​</w:t>
            </w:r>
          </w:p>
        </w:tc>
        <w:tc>
          <w:tcPr>
            <w:tcW w:w="11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869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8"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5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cash flows from operating leases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434,137</w:t>
            </w:r>
          </w:p>
        </w:tc>
        <w:tc>
          <w:tcPr>
            <w:tcW w:w="118"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344,810</w:t>
            </w:r>
          </w:p>
        </w:tc>
      </w:tr>
      <w:tr>
        <w:trPr/>
        <w:tc>
          <w:tcPr>
            <w:tcW w:w="5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cash flows from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3,483</w:t>
            </w:r>
          </w:p>
        </w:tc>
        <w:tc>
          <w:tcPr>
            <w:tcW w:w="118"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7,363</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Financing cash flows from finance leases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18,488</w:t>
            </w:r>
          </w:p>
        </w:tc>
        <w:tc>
          <w:tcPr>
            <w:tcW w:w="118"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49,648</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Right-of-use assets obtained in exchange for lease obligations: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1013" w:type="dxa"/>
            <w:tcBorders/>
            <w:vAlign w:val="center"/>
          </w:tcPr>
          <w:p>
            <w:pPr>
              <w:pStyle w:val="TableContents"/>
              <w:bidi w:val="0"/>
              <w:spacing w:before="0" w:after="0"/>
              <w:ind w:left="0" w:right="0" w:hanging="0"/>
              <w:jc w:val="left"/>
              <w:rPr/>
            </w:pPr>
            <w:r>
              <w:rPr/>
              <w:t>​</w:t>
            </w:r>
          </w:p>
        </w:tc>
        <w:tc>
          <w:tcPr>
            <w:tcW w:w="118"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Operating leases </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3"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151,839</w:t>
            </w:r>
          </w:p>
        </w:tc>
        <w:tc>
          <w:tcPr>
            <w:tcW w:w="118"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406,101</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leases</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3" w:type="dxa"/>
            <w:tcBorders/>
            <w:vAlign w:val="center"/>
          </w:tcPr>
          <w:p>
            <w:pPr>
              <w:pStyle w:val="TableContents"/>
              <w:bidi w:val="0"/>
              <w:spacing w:before="0" w:after="0"/>
              <w:ind w:left="0" w:right="0" w:hanging="0"/>
              <w:jc w:val="right"/>
              <w:rPr/>
            </w:pPr>
            <w:r>
              <w:rPr/>
              <w:t>—</w:t>
            </w:r>
          </w:p>
        </w:tc>
        <w:tc>
          <w:tcPr>
            <w:tcW w:w="118"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vAlign w:val="center"/>
          </w:tcPr>
          <w:p>
            <w:pPr>
              <w:pStyle w:val="TableContents"/>
              <w:bidi w:val="0"/>
              <w:spacing w:before="0" w:after="0"/>
              <w:ind w:left="0" w:right="0" w:hanging="0"/>
              <w:jc w:val="righ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118"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Remeasured right of use asset and liability </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3"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1,283,916</w:t>
            </w:r>
          </w:p>
        </w:tc>
        <w:tc>
          <w:tcPr>
            <w:tcW w:w="118"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99" w:type="dxa"/>
            <w:tcBorders/>
            <w:vAlign w:val="center"/>
          </w:tcPr>
          <w:p>
            <w:pPr>
              <w:pStyle w:val="TableContents"/>
              <w:bidi w:val="0"/>
              <w:spacing w:before="0" w:after="0"/>
              <w:ind w:left="0" w:right="60" w:hanging="0"/>
              <w:jc w:val="righ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184" w:name="m_2632088634441215353__Hlk211518582"/>
      <w:bookmarkStart w:id="1185" w:name="Tc_FycI2HpcY0y00gDCZJvnGQ_28_0"/>
      <w:bookmarkStart w:id="1186" w:name="Tc_LFUTyi-8LUycdBxBhjghiw_27_0"/>
      <w:bookmarkStart w:id="1187" w:name="Tc_gvzK1KkTfE2ArOkgVSBdOA_26_0"/>
      <w:bookmarkStart w:id="1188" w:name="Tc_hUdR3VD3SUeOKJ07M229wA_24_6"/>
      <w:bookmarkStart w:id="1189" w:name="Tc_pRPvQDSx5ku9PR6gbIenNw_24_3"/>
      <w:bookmarkStart w:id="1190" w:name="Tc_-jXB2Avn30mGcZVMkOjm7A_24_0"/>
      <w:bookmarkStart w:id="1191" w:name="Tc_2zJwBPLjike-8tb5zTKLjA_23_6"/>
      <w:bookmarkStart w:id="1192" w:name="Tc_l2VrD2Nw4UyS5D414TP7Vg_23_3"/>
      <w:bookmarkStart w:id="1193" w:name="Tc_Jtmtg5_3HUaPnsXfYFUlQQ_23_0"/>
      <w:bookmarkStart w:id="1194" w:name="Tc_vyKeww-pzkaU3m3ubgwfnA_22_0"/>
      <w:bookmarkStart w:id="1195" w:name="Tc_7NCoyiAdSEukcNQCpuZnVg_20_5"/>
      <w:bookmarkStart w:id="1196" w:name="Tc_SUq0IT3KqkaceBmp91-rtg_20_2"/>
      <w:bookmarkStart w:id="1197" w:name="Tc_6nuigyTNSkiBRek5GFuSxg_18_5"/>
      <w:bookmarkStart w:id="1198" w:name="Tc_wlLpC54r30CCx_MGL-9few_18_2"/>
      <w:bookmarkStart w:id="1199" w:name="Tc_rBATit1AB0yj3JMHHAzFbA_16_5"/>
      <w:bookmarkStart w:id="1200" w:name="Tc_LrhYkt_iv0aAA5hUDMtbFg_16_2"/>
      <w:bookmarkStart w:id="1201" w:name="Tc_bCf6i4bhxkCeLxWWcqyZOQ_16_0"/>
      <w:bookmarkStart w:id="1202" w:name="Tc_OQVO2YdB6kS3OLmt6laqVA_15_0"/>
      <w:bookmarkStart w:id="1203" w:name="Tc__G4TRnSP40uFzj-5dhx5eQ_14_5"/>
      <w:bookmarkStart w:id="1204" w:name="Tc_IewOYTMkzECiBjo90aWwFQ_14_2"/>
      <w:bookmarkStart w:id="1205" w:name="Tc_TbbvbKGBCky-OBXKzH99NA_14_0"/>
      <w:bookmarkStart w:id="1206" w:name="Tc_jeHMGP2BdkWBmOG0al8wLQ_13_0"/>
      <w:bookmarkStart w:id="1207" w:name="Tc_Jzamad-9EEOF06GU5sL6gQ_11_5"/>
      <w:bookmarkStart w:id="1208" w:name="Tc_4ibyjDMnVEClEh1WEUpSLg_11_2"/>
      <w:bookmarkStart w:id="1209" w:name="Tc_mIWVqD83dkW3yWzfkmaE_g_9_5"/>
      <w:bookmarkStart w:id="1210" w:name="Tc_e_56vzF59kWenTeAH8i6JA_9_2"/>
      <w:bookmarkStart w:id="1211" w:name="Tc_ZUYwemglIk-W_wS-NFKTCw_7_5"/>
      <w:bookmarkStart w:id="1212" w:name="Tc_MpvhXpdXwUS4VXqJO2ssyA_7_2"/>
      <w:bookmarkStart w:id="1213" w:name="Tc_Y3o58d7CfUyRcu85fkhoyg_7_0"/>
      <w:bookmarkStart w:id="1214" w:name="Tc_kvq_6URKyUe0ygyrUmIDQQ_6_0"/>
      <w:bookmarkStart w:id="1215" w:name="Tc_w9buLzrtm0KLZroNp2cmhw_5_2"/>
      <w:bookmarkStart w:id="1216" w:name="Tc_7fvVWCkSUkauv5ztlPfKsg_4_5"/>
      <w:bookmarkStart w:id="1217" w:name="Tc_bD2AtWURrEq1fhlUbSAvvg_4_2"/>
      <w:bookmarkStart w:id="1218" w:name="Tc_1BvOsZKO10WNJILVNran5w_3_5"/>
      <w:bookmarkStart w:id="1219" w:name="Tc__gfZGn62RE2lgXvB4vAo0Q_3_2"/>
      <w:bookmarkStart w:id="1220" w:name="Tc_MjzTMo0hwUSQDlq2IZMlFg_2_2"/>
      <w:bookmarkStart w:id="1221" w:name="_a21bc066_f5ab_4608_bbaf_47840d13f3fa"/>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Supplemental balance sheet information related to leases was as follows:</w:t>
      </w:r>
    </w:p>
    <w:p>
      <w:pPr>
        <w:pStyle w:val="TextBody"/>
        <w:bidi w:val="0"/>
        <w:spacing w:before="0" w:after="0"/>
        <w:ind w:left="0" w:right="0" w:hanging="0"/>
        <w:jc w:val="both"/>
        <w:rPr>
          <w:spacing w:val="-2"/>
        </w:rPr>
      </w:pPr>
      <w:r>
        <w:rPr>
          <w:spacing w:val="-2"/>
        </w:rPr>
        <w:t>​</w:t>
      </w:r>
    </w:p>
    <w:tbl>
      <w:tblPr>
        <w:tblW w:w="6789" w:type="dxa"/>
        <w:jc w:val="left"/>
        <w:tblInd w:w="0" w:type="dxa"/>
        <w:tblLayout w:type="fixed"/>
        <w:tblCellMar>
          <w:top w:w="0" w:type="dxa"/>
          <w:left w:w="0" w:type="dxa"/>
          <w:bottom w:w="0" w:type="dxa"/>
          <w:right w:w="0" w:type="dxa"/>
        </w:tblCellMar>
      </w:tblPr>
      <w:tblGrid>
        <w:gridCol w:w="3781"/>
        <w:gridCol w:w="109"/>
        <w:gridCol w:w="257"/>
        <w:gridCol w:w="1138"/>
        <w:gridCol w:w="109"/>
        <w:gridCol w:w="247"/>
        <w:gridCol w:w="1148"/>
      </w:tblGrid>
      <w:tr>
        <w:trPr/>
        <w:tc>
          <w:tcPr>
            <w:tcW w:w="3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400935" cy="175260"/>
                      <wp:effectExtent l="0" t="0" r="0" b="0"/>
                      <wp:wrapNone/>
                      <wp:docPr id="202" name="Frame202"/>
                      <a:graphic xmlns:a="http://schemas.openxmlformats.org/drawingml/2006/main">
                        <a:graphicData uri="http://schemas.microsoft.com/office/word/2010/wordprocessingShape">
                          <wps:wsp>
                            <wps:cNvSpPr txBox="1"/>
                            <wps:spPr>
                              <a:xfrm>
                                <a:off x="0" y="0"/>
                                <a:ext cx="2400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63195" cy="175260"/>
                      <wp:effectExtent l="0" t="0" r="0" b="0"/>
                      <wp:wrapNone/>
                      <wp:docPr id="204" name="Frame204"/>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722630" cy="175260"/>
                      <wp:effectExtent l="0" t="0" r="0" b="0"/>
                      <wp:wrapNone/>
                      <wp:docPr id="205" name="Frame205"/>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9215" cy="175260"/>
                      <wp:effectExtent l="0" t="0" r="0" b="0"/>
                      <wp:wrapNone/>
                      <wp:docPr id="206" name="Frame2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56845" cy="175260"/>
                      <wp:effectExtent l="0" t="0" r="0" b="0"/>
                      <wp:wrapNone/>
                      <wp:docPr id="207" name="Frame20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728980" cy="175260"/>
                      <wp:effectExtent l="0" t="0" r="0" b="0"/>
                      <wp:wrapNone/>
                      <wp:docPr id="208" name="Frame208"/>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6789"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9"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Leases:</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assets (1)</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173,367</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3,134,938</w:t>
            </w:r>
          </w:p>
        </w:tc>
      </w:tr>
      <w:tr>
        <w:trPr/>
        <w:tc>
          <w:tcPr>
            <w:tcW w:w="3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current liabilities (1)</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731,095</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510,697</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Operating lease liabilities (1)</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4,150,673</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3,089,950</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operating lease liabilities (1)</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4,881,768</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3,600,647</w:t>
            </w:r>
          </w:p>
        </w:tc>
      </w:tr>
      <w:tr>
        <w:trPr/>
        <w:tc>
          <w:tcPr>
            <w:tcW w:w="378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Finance Leases:</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Property and equipment, gross</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6,025</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121,102</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(4,824)</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(73,419)</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Property and equipment, net</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47,683</w: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33,894</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30,381</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long-term liabilities</w:t>
            </w:r>
          </w:p>
        </w:tc>
        <w:tc>
          <w:tcPr>
            <w:tcW w:w="109"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14,817</w:t>
            </w:r>
          </w:p>
        </w:tc>
        <w:tc>
          <w:tcPr>
            <w:tcW w:w="109"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36,818</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finance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48,711</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67,199</w: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Weighted Average Remaining Lease Term:</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leases</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Arial;Helvetica;sans-serif" w:hAnsi="Arial;Helvetica;sans-serif"/>
                <w:sz w:val="18"/>
              </w:rPr>
              <w:t>9.7</w:t>
            </w:r>
            <w:r>
              <w:rPr>
                <w:rFonts w:ascii="Times New Roman;Times;serif" w:hAnsi="Times New Roman;Times;serif"/>
                <w:sz w:val="20"/>
              </w:rPr>
              <w:t xml:space="preserve"> </w:t>
            </w:r>
            <w:r>
              <w:rPr>
                <w:rFonts w:ascii="Arial;Helvetica;sans-serif" w:hAnsi="Arial;Helvetica;sans-serif"/>
                <w:sz w:val="18"/>
              </w:rPr>
              <w:t>years</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Arial;Helvetica;sans-serif" w:hAnsi="Arial;Helvetica;sans-serif"/>
                <w:sz w:val="18"/>
              </w:rPr>
              <w:t>9.7</w:t>
            </w:r>
            <w:r>
              <w:rPr>
                <w:rFonts w:ascii="Times New Roman;Times;serif" w:hAnsi="Times New Roman;Times;serif"/>
                <w:sz w:val="20"/>
              </w:rPr>
              <w:t xml:space="preserve"> </w:t>
            </w:r>
            <w:r>
              <w:rPr>
                <w:rFonts w:ascii="Arial;Helvetica;sans-serif" w:hAnsi="Arial;Helvetica;sans-serif"/>
                <w:sz w:val="18"/>
              </w:rPr>
              <w:t>years</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Arial;Helvetica;sans-serif" w:hAnsi="Arial;Helvetica;sans-serif"/>
                <w:sz w:val="18"/>
              </w:rPr>
              <w:t>1.1</w:t>
            </w:r>
            <w:r>
              <w:rPr>
                <w:rFonts w:ascii="Times New Roman;Times;serif" w:hAnsi="Times New Roman;Times;serif"/>
                <w:sz w:val="20"/>
              </w:rPr>
              <w:t xml:space="preserve"> </w:t>
            </w:r>
            <w:r>
              <w:rPr>
                <w:rFonts w:ascii="Arial;Helvetica;sans-serif" w:hAnsi="Arial;Helvetica;sans-serif"/>
                <w:sz w:val="18"/>
              </w:rPr>
              <w:t>years</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Arial;Helvetica;sans-serif" w:hAnsi="Arial;Helvetica;sans-serif"/>
                <w:sz w:val="18"/>
              </w:rPr>
              <w:t>1.7</w:t>
            </w:r>
            <w:r>
              <w:rPr>
                <w:rFonts w:ascii="Times New Roman;Times;serif" w:hAnsi="Times New Roman;Times;serif"/>
                <w:sz w:val="20"/>
              </w:rPr>
              <w:t xml:space="preserve"> </w:t>
            </w:r>
            <w:r>
              <w:rPr>
                <w:rFonts w:ascii="Arial;Helvetica;sans-serif" w:hAnsi="Arial;Helvetica;sans-serif"/>
                <w:sz w:val="18"/>
              </w:rPr>
              <w:t>years</w:t>
            </w:r>
          </w:p>
        </w:tc>
      </w:tr>
      <w:tr>
        <w:trPr/>
        <w:tc>
          <w:tcPr>
            <w:tcW w:w="3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left"/>
              <w:rPr/>
            </w:pPr>
            <w:r>
              <w:rPr/>
              <w:t>​</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Weighted Average Discount Rate:</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left"/>
              <w:rPr/>
            </w:pPr>
            <w:r>
              <w:rPr/>
              <w:t>​</w:t>
            </w:r>
          </w:p>
        </w:tc>
      </w:tr>
      <w:tr>
        <w:trPr/>
        <w:tc>
          <w:tcPr>
            <w:tcW w:w="378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leases</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113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w:t>
            </w:r>
          </w:p>
        </w:tc>
        <w:tc>
          <w:tcPr>
            <w:tcW w:w="109"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w:t>
            </w:r>
          </w:p>
        </w:tc>
      </w:tr>
      <w:tr>
        <w:trPr/>
        <w:tc>
          <w:tcPr>
            <w:tcW w:w="378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Finance leases</w:t>
            </w:r>
          </w:p>
        </w:tc>
        <w:tc>
          <w:tcPr>
            <w:tcW w:w="109"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w:t>
            </w:r>
          </w:p>
        </w:tc>
        <w:tc>
          <w:tcPr>
            <w:tcW w:w="109"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9.3%</w:t>
            </w:r>
          </w:p>
        </w:tc>
      </w:tr>
    </w:tbl>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916"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shd w:fill="FFFFFF" w:val="clear"/>
              </w:rPr>
              <w:t>During the third quarter of 2025, as a result of the AT&amp;T Transactions and SpaceX Transactions, we began the abandonment and decommission process for certain portions of our 5G Network that will not be utilized in our Hybrid MNO business model, resulting in a significant adverse change in the intended use of such assets.</w:t>
            </w:r>
            <w:r>
              <w:rPr>
                <w:caps w:val="false"/>
                <w:smallCaps w:val="false"/>
              </w:rPr>
              <w:t xml:space="preserve"> </w:t>
            </w:r>
            <w:r>
              <w:rPr>
                <w:rFonts w:ascii="Arial;Helvetica;sans-serif" w:hAnsi="Arial;Helvetica;sans-serif"/>
                <w:b w:val="false"/>
                <w:i w:val="false"/>
                <w:caps w:val="false"/>
                <w:smallCaps w:val="false"/>
                <w:color w:val="222222"/>
                <w:sz w:val="20"/>
                <w:shd w:fill="FFFFFF" w:val="clear"/>
              </w:rPr>
              <w:t>These developments were considered triggering events and resulted in, among other things,</w:t>
            </w:r>
            <w:r>
              <w:rPr>
                <w:caps w:val="false"/>
                <w:smallCaps w:val="false"/>
                <w:color w:val="222222"/>
                <w:shd w:fill="FFFFFF" w:val="clear"/>
              </w:rPr>
              <w:t xml:space="preserve"> </w:t>
            </w:r>
            <w:r>
              <w:rPr>
                <w:rFonts w:ascii="Arial;Helvetica;sans-serif" w:hAnsi="Arial;Helvetica;sans-serif"/>
                <w:b w:val="false"/>
                <w:i w:val="false"/>
                <w:caps w:val="false"/>
                <w:smallCaps w:val="false"/>
                <w:sz w:val="20"/>
              </w:rPr>
              <w:t>our review of communication tower lease obligations related to our 5G Network, through which we determined we will no longer take on any new communication tower leases, including those under our take or pay arrangements with certain vendors. Consequently, all future cash flows associated with certain communication tower leases not previously commenced under the take or pay arrangements were attributed to existing leases and certain lease liabilities were remeasured and we recorded $1.284</w:t>
            </w:r>
            <w:r>
              <w:rPr>
                <w:caps w:val="false"/>
                <w:smallCaps w:val="false"/>
              </w:rPr>
              <w:t xml:space="preserve"> </w:t>
            </w:r>
            <w:r>
              <w:rPr>
                <w:rFonts w:ascii="Arial;Helvetica;sans-serif" w:hAnsi="Arial;Helvetica;sans-serif"/>
                <w:b w:val="false"/>
                <w:i w:val="false"/>
                <w:caps w:val="false"/>
                <w:smallCaps w:val="false"/>
                <w:sz w:val="20"/>
              </w:rPr>
              <w:t>billion as an ROU asset and liability on our Consolidated Balance Sheets as of September 30, 2025, and the ROU assets associated with such remeasured leases were impaired in the same period and we recorded $4.191</w:t>
            </w:r>
            <w:r>
              <w:rPr>
                <w:caps w:val="false"/>
                <w:smallCaps w:val="false"/>
              </w:rPr>
              <w:t xml:space="preserve"> </w:t>
            </w:r>
            <w:r>
              <w:rPr>
                <w:rFonts w:ascii="Arial;Helvetica;sans-serif" w:hAnsi="Arial;Helvetica;sans-serif"/>
                <w:b w:val="false"/>
                <w:i w:val="false"/>
                <w:caps w:val="false"/>
                <w:smallCaps w:val="false"/>
                <w:sz w:val="20"/>
              </w:rPr>
              <w:t>billion in "Impairments and other" on our Condensed Consolidated Statements of Operations and Comprehensive Income (Loss) in the same period. As a result, a one-time charge for variable lease payment expense resulting from this remeasurement event related to our 5G Network</w:t>
            </w:r>
            <w:r>
              <w:rPr>
                <w:caps w:val="false"/>
                <w:smallCaps w:val="false"/>
              </w:rPr>
              <w:t xml:space="preserve"> </w:t>
            </w:r>
            <w:r>
              <w:rPr>
                <w:rFonts w:ascii="Arial;Helvetica;sans-serif" w:hAnsi="Arial;Helvetica;sans-serif"/>
                <w:b w:val="false"/>
                <w:i w:val="false"/>
                <w:caps w:val="false"/>
                <w:smallCaps w:val="false"/>
                <w:sz w:val="20"/>
              </w:rPr>
              <w:t>was recorded in "Impairments and other" on our Condensed Consolidated Statements of Operations and Comprehensive Income (Loss). See Note 1 for further information.</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222" w:name="Tc_WpFBMVBodUCzY6kt7yvPdg_15_8"/>
      <w:bookmarkStart w:id="1223" w:name="Tc_H7jgqsFvH0Ov4Obj0twFLg_15_5"/>
      <w:bookmarkStart w:id="1224" w:name="Tc_gZWnhbmSLkmiXXMRy4Qw-Q_15_2"/>
      <w:bookmarkStart w:id="1225" w:name="Tc_Qsyal12GCUCJA4olfDm0gw_15_0"/>
      <w:bookmarkStart w:id="1226" w:name="Tc_h76xFMBfEEWwzo_4ZKqRhg_14_0"/>
      <w:bookmarkStart w:id="1227" w:name="Tc_Yu2I1BNnbECRdVEd3xvm9w_13_0"/>
      <w:bookmarkStart w:id="1228" w:name="Tc_JLDefuIglkqsDGo5_3gEyg_12_0"/>
      <w:bookmarkStart w:id="1229" w:name="Tc_OBp6O5HJw06al4r15o6kmA_11_0"/>
      <w:bookmarkStart w:id="1230" w:name="Tc_qRyVucwMiUyVCheXHt6Ugg_10_6"/>
      <w:bookmarkStart w:id="1231" w:name="Tc_XeaqD9ST2E-HztnSlj3WgA_10_0"/>
      <w:bookmarkStart w:id="1232" w:name="Tc_3g73pGwGmEW8ZCcydWb0DA_9_6"/>
      <w:bookmarkStart w:id="1233" w:name="Tc_vM1S0dX-EkSKo9H9afqTew_9_0"/>
      <w:bookmarkStart w:id="1234" w:name="Tc_jBCiulSrdUSs4dR3RPFWGQ_8_6"/>
      <w:bookmarkStart w:id="1235" w:name="Tc_ppLcAobT30e8tfQ1L7nKFg_8_0"/>
      <w:bookmarkStart w:id="1236" w:name="Tc_4su9S_571EKpbIz1-Sw3xg_7_0"/>
      <w:bookmarkStart w:id="1237" w:name="Tc_5LGpFX26W0SrCRSHh-9daQ_6_0"/>
      <w:bookmarkStart w:id="1238" w:name="Tc_lklGMwrL8EybNEA3__kGuw_5_8"/>
      <w:bookmarkStart w:id="1239" w:name="Tc_75UOheF1rE2nsKMCwV3pzw_5_5"/>
      <w:bookmarkStart w:id="1240" w:name="Tc_kq-bQ5we-0iVvN9AqD2cyw_5_2"/>
      <w:bookmarkStart w:id="1241" w:name="Tc_vkNgXXXC9EqnSbQoUxY7WA_5_0"/>
      <w:bookmarkStart w:id="1242" w:name="Tc_tjCZHXi78UWeX0cnzhvYPg_4_2"/>
      <w:bookmarkStart w:id="1243" w:name="Tc_Di5T4Tqan0WFhS6JBdM2gg_3_8"/>
      <w:bookmarkStart w:id="1244" w:name="Tc_PQi0qiMeyU6o_ehAm8jXjQ_3_5"/>
      <w:bookmarkStart w:id="1245" w:name="Tc_xagwGYv5kUGB66jK8riLZQ_3_2"/>
      <w:bookmarkStart w:id="1246" w:name="Tc_8I7p6bNs5Eut5G2WzZnKDg_3_0"/>
      <w:bookmarkStart w:id="1247" w:name="Tc_PU5R5JayF0enXGtv2Ces2w_2_5"/>
      <w:bookmarkStart w:id="1248" w:name="Tc_HHiO2whXwUa4u1rimfbn8A_2_2"/>
      <w:bookmarkStart w:id="1249" w:name="Tc_OM9FhYoe0U2e6lBEmQnR8w_1_2"/>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Maturities of lease liabilities as of September 30, 2025 were as follows:</w:t>
      </w:r>
    </w:p>
    <w:p>
      <w:pPr>
        <w:pStyle w:val="TextBody"/>
        <w:bidi w:val="0"/>
        <w:spacing w:before="0" w:after="0"/>
        <w:ind w:left="0" w:right="0" w:hanging="0"/>
        <w:jc w:val="both"/>
        <w:rPr>
          <w:spacing w:val="-2"/>
        </w:rPr>
      </w:pPr>
      <w:r>
        <w:rPr>
          <w:spacing w:val="-2"/>
        </w:rPr>
        <w:t>​</w:t>
      </w:r>
    </w:p>
    <w:tbl>
      <w:tblPr>
        <w:tblW w:w="7114" w:type="dxa"/>
        <w:jc w:val="left"/>
        <w:tblInd w:w="0" w:type="dxa"/>
        <w:tblLayout w:type="fixed"/>
        <w:tblCellMar>
          <w:top w:w="0" w:type="dxa"/>
          <w:left w:w="0" w:type="dxa"/>
          <w:bottom w:w="0" w:type="dxa"/>
          <w:right w:w="0" w:type="dxa"/>
        </w:tblCellMar>
      </w:tblPr>
      <w:tblGrid>
        <w:gridCol w:w="3211"/>
        <w:gridCol w:w="109"/>
        <w:gridCol w:w="211"/>
        <w:gridCol w:w="1051"/>
        <w:gridCol w:w="109"/>
        <w:gridCol w:w="211"/>
        <w:gridCol w:w="796"/>
        <w:gridCol w:w="109"/>
        <w:gridCol w:w="211"/>
        <w:gridCol w:w="109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38985" cy="175260"/>
                      <wp:effectExtent l="0" t="0" r="0" b="0"/>
                      <wp:wrapNone/>
                      <wp:docPr id="209" name="Frame209"/>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9215" cy="175260"/>
                      <wp:effectExtent l="0" t="0" r="0" b="0"/>
                      <wp:wrapNone/>
                      <wp:docPr id="210" name="Frame2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67385" cy="175260"/>
                      <wp:effectExtent l="0" t="0" r="0" b="0"/>
                      <wp:wrapNone/>
                      <wp:docPr id="212" name="Frame21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05460" cy="175260"/>
                      <wp:effectExtent l="0" t="0" r="0" b="0"/>
                      <wp:wrapNone/>
                      <wp:docPr id="215" name="Frame21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95960" cy="175260"/>
                      <wp:effectExtent l="0" t="0" r="0" b="0"/>
                      <wp:wrapNone/>
                      <wp:docPr id="218" name="Frame218"/>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94" w:type="dxa"/>
            <w:gridSpan w:val="8"/>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Maturities of Lease Liabilities</w:t>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Operating</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Finance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r>
      <w:tr>
        <w:trPr/>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Years Ending December 31,</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Leases</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Leases</w:t>
            </w:r>
          </w:p>
        </w:tc>
        <w:tc>
          <w:tcPr>
            <w:tcW w:w="109" w:type="dxa"/>
            <w:tcBorders/>
            <w:vAlign w:val="center"/>
          </w:tcPr>
          <w:p>
            <w:pPr>
              <w:pStyle w:val="TableContents"/>
              <w:bidi w:val="0"/>
              <w:spacing w:before="0" w:after="0"/>
              <w:ind w:left="0" w:right="0" w:hanging="0"/>
              <w:jc w:val="left"/>
              <w:rPr/>
            </w:pPr>
            <w:r>
              <w:rPr/>
              <w:t>​</w:t>
            </w:r>
          </w:p>
        </w:tc>
        <w:tc>
          <w:tcPr>
            <w:tcW w:w="13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711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94"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2025 (remaining three months)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190,495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203,920</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795,405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36,588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831,993</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796,266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798,840</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737,938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737,938</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703,515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703,515</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4,501,160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4,501,160</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7,724,779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52,587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7,777,366</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Imputed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(2,843,011)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(2,846,887)</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4,881,768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48,711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4,930,479</w:t>
            </w:r>
          </w:p>
        </w:tc>
      </w:tr>
      <w:tr>
        <w:trPr/>
        <w:tc>
          <w:tcPr>
            <w:tcW w:w="3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Current portion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(731,095)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(33,894)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(764,989)</w:t>
            </w:r>
          </w:p>
        </w:tc>
      </w:tr>
      <w:tr>
        <w:trPr/>
        <w:tc>
          <w:tcPr>
            <w:tcW w:w="3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portion of lease obligations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4,150,673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14,817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4,165,490</w:t>
            </w:r>
          </w:p>
        </w:tc>
      </w:tr>
    </w:tbl>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Times New Roman;Times;serif" w:hAnsi="Times New Roman;Times;serif"/>
          <w:spacing w:val="-2"/>
          <w:sz w:val="18"/>
        </w:rPr>
      </w:pPr>
      <w:bookmarkStart w:id="1250" w:name="_DV_C389"/>
      <w:bookmarkStart w:id="1251" w:name="Tc_S6c3xREOTU2OEuV25FrlMA_24_9"/>
      <w:bookmarkStart w:id="1252" w:name="Tc_VPwHaBeExUqxlkf-f1pnGA_24_3"/>
      <w:bookmarkStart w:id="1253" w:name="Tc_lWfUFhTgCkGEvGbR0BKZ0Q_24_0"/>
      <w:bookmarkStart w:id="1254" w:name="Tc_9GLM1a4-PkGVIN3dqngFsQ_23_0"/>
      <w:bookmarkStart w:id="1255" w:name="Tc_s_YnRh5kM0yT7ByKFG4Pvg_22_0"/>
      <w:bookmarkStart w:id="1256" w:name="Tc_-EPK1NR9OEa8alFajsO4BQ_21_0"/>
      <w:bookmarkStart w:id="1257" w:name="Tc_mlhB5tu2mkOi-3XxZOQWfg_20_0"/>
      <w:bookmarkStart w:id="1258" w:name="Tc_bj6A2NKsRk6vRaMAXJiK_Q_19_12"/>
      <w:bookmarkStart w:id="1259" w:name="Tc_u9BsXSD660Se-7wpH7cfVQ_19_6"/>
      <w:bookmarkStart w:id="1260" w:name="Tc_PxPIHZ0qHEyWD2EJA5iGig_19_0"/>
      <w:bookmarkStart w:id="1261" w:name="Tc_2UWbS1GpyUG0pygQWDPAOg_18_0"/>
      <w:bookmarkStart w:id="1262" w:name="Tc_7nusnQYnE0CZ3k6sqx39PA_17_1"/>
      <w:bookmarkStart w:id="1263" w:name="Tc_Xz7AfTS2EUiIDzBJuXjSgw_17_0"/>
      <w:bookmarkStart w:id="1264" w:name="Tc_DE3RI0YDOEyjZlUE9BYBgA_16_1"/>
      <w:bookmarkStart w:id="1265" w:name="Tc_MGNO6DBKIkOIRJxjXemv7A_16_0"/>
      <w:bookmarkStart w:id="1266" w:name="Tc_HOyRL6BtbkuM1tzI1QeDjw_15_1"/>
      <w:bookmarkStart w:id="1267" w:name="Tc_6FMH2GANVUmwPs9QILYRcA_15_0"/>
      <w:bookmarkStart w:id="1268" w:name="Tc_Jezuuu_c80mzXPdqvmdn7A_14_1"/>
      <w:bookmarkStart w:id="1269" w:name="Tc_bvTKOTmo4k65IyonBZkBbA_14_0"/>
      <w:bookmarkStart w:id="1270" w:name="Tc_5O9QGZ61QUe0SYaJA8cMlw_13_1"/>
      <w:bookmarkStart w:id="1271" w:name="Tc_nh_TgXznGEy5-SxLZf5Fwg_13_0"/>
      <w:bookmarkStart w:id="1272" w:name="Tc_u0vozgI2Jku8yimj7_MShw_12_1"/>
      <w:bookmarkStart w:id="1273" w:name="Tc_1k820ZTsCEqCW4cVk_KGcg_12_0"/>
      <w:bookmarkStart w:id="1274" w:name="Tc_ghOHhoVQK0qR8V3dDCEd6g_11_1"/>
      <w:bookmarkStart w:id="1275" w:name="Tc_yM1mUMb1K06FksWmTANmcg_11_0"/>
      <w:bookmarkStart w:id="1276" w:name="Tc_gcBsFKYsIEyUYI3VtjrCew_10_1"/>
      <w:bookmarkStart w:id="1277" w:name="Tc_CiSIxPZmCU6IK_FCWE6t0w_10_0"/>
      <w:bookmarkStart w:id="1278" w:name="Tc_FCorWFNkHUiM9o7AnxMlVg_9_1"/>
      <w:bookmarkStart w:id="1279" w:name="Tc_v-AKUiy3F0m1u3C9Q1otPg_9_0"/>
      <w:bookmarkStart w:id="1280" w:name="Tc_ZUBg61lGmUi8QMkYE0wRpg_8_1"/>
      <w:bookmarkStart w:id="1281" w:name="Tc_-bE4qf4iTkG08yjKDiOYeA_8_0"/>
      <w:bookmarkStart w:id="1282" w:name="Tc_qOWGo5UiwkuxCBBoJbg_hQ_7_1"/>
      <w:bookmarkStart w:id="1283" w:name="Tc_-B3-PiCsD0eJhzJh8XMTLQ_7_0"/>
      <w:bookmarkStart w:id="1284" w:name="Tc__Kp9dhGEqESV--jrpogyow_6_7"/>
      <w:bookmarkStart w:id="1285" w:name="Tc_QVaJvriPYEWPcTVuSCdJ1A_6_4"/>
      <w:bookmarkStart w:id="1286" w:name="Tc_2pbpqQsfHESMl3uwhaSjrw_6_1"/>
      <w:bookmarkStart w:id="1287" w:name="Tc_uQljw05_M0O-mO0jRTr8-w_6_0"/>
      <w:bookmarkStart w:id="1288" w:name="Tc_TSLaeRQD0U6VOZjLy9GuVw_5_12"/>
      <w:bookmarkStart w:id="1289" w:name="Tc_0a5rDbKwEU-PjCRZCtKm7g_5_9"/>
      <w:bookmarkStart w:id="1290" w:name="Tc_bY8krUYZD0uFeNeJxd5ppg_5_6"/>
      <w:bookmarkStart w:id="1291" w:name="Tc_qzFLO5gvtEaszPTbdaxYKQ_5_3"/>
      <w:bookmarkStart w:id="1292" w:name="Tc_Y9_uJmKTdU6PLdUaUKSlaQ_5_1"/>
      <w:bookmarkStart w:id="1293" w:name="Tc_MjXTzFP26kyIh6hzDbEL7Q_5_0"/>
      <w:bookmarkStart w:id="1294" w:name="Tc_hRBtn5Bml0q58SaZvOgIlA_4_3"/>
      <w:bookmarkStart w:id="1295" w:name="Tc_xOErX4W9D0qP0HyasW2f8Q_3_12"/>
      <w:bookmarkStart w:id="1296" w:name="Tc_4GrCvqGRMUCekwjg7Kx9SA_3_9"/>
      <w:bookmarkStart w:id="1297" w:name="Tc_6jGqudtv90CBeNuli_9K5A_3_6"/>
      <w:bookmarkStart w:id="1298" w:name="Tc_9fHuio7y6kGihqC0oxaQSw_3_3"/>
      <w:bookmarkStart w:id="1299" w:name="Tc_VIVFunwAEU-AU2Mee4bSEA_3_1"/>
      <w:bookmarkStart w:id="1300" w:name="Tc_WSl3dfk04EOhWA7DGAV63w_2_9"/>
      <w:bookmarkStart w:id="1301" w:name="Tc_MY1kDXwI80e2nTqUHTfdbA_2_3"/>
      <w:bookmarkStart w:id="1302" w:name="Tc_wUfIre_mVUiHmmeOjpF3_A_1_3"/>
      <w:bookmarkStart w:id="1303" w:name="_7a509d1d_48ca_4ed4_bc9a_a0719e752101"/>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ascii="Arial;Helvetica;sans-serif" w:hAnsi="Arial;Helvetica;sans-serif"/>
          <w:b/>
          <w:i w:val="false"/>
          <w:caps w:val="false"/>
          <w:smallCaps w:val="false"/>
          <w:spacing w:val="-2"/>
          <w:sz w:val="20"/>
        </w:rPr>
        <w:t>8.</w:t>
      </w:r>
      <w:r>
        <w:rPr>
          <w:rFonts w:ascii="Arial;Helvetica;sans-serif" w:hAnsi="Arial;Helvetica;sans-serif"/>
          <w:b/>
          <w:spacing w:val="-2"/>
          <w:sz w:val="20"/>
        </w:rPr>
        <w:t>Debt and Finance Lease Obligations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Fair Value of our Debt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following table summarizes the carrying amount and fair value of our debt facilities as of September 30, 2025 and December 31, 2024:</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756"/>
        <w:gridCol w:w="1179"/>
        <w:gridCol w:w="326"/>
        <w:gridCol w:w="181"/>
        <w:gridCol w:w="807"/>
        <w:gridCol w:w="326"/>
        <w:gridCol w:w="181"/>
        <w:gridCol w:w="796"/>
        <w:gridCol w:w="326"/>
        <w:gridCol w:w="181"/>
        <w:gridCol w:w="796"/>
        <w:gridCol w:w="326"/>
        <w:gridCol w:w="181"/>
        <w:gridCol w:w="843"/>
      </w:tblGrid>
      <w:tr>
        <w:trPr/>
        <w:tc>
          <w:tcPr>
            <w:tcW w:w="3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85060" cy="175260"/>
                      <wp:effectExtent l="0" t="0" r="0" b="0"/>
                      <wp:wrapNone/>
                      <wp:docPr id="219" name="Frame219"/>
                      <a:graphic xmlns:a="http://schemas.openxmlformats.org/drawingml/2006/main">
                        <a:graphicData uri="http://schemas.microsoft.com/office/word/2010/wordprocessingShape">
                          <wps:wsp>
                            <wps:cNvSpPr txBox="1"/>
                            <wps:spPr>
                              <a:xfrm>
                                <a:off x="0" y="0"/>
                                <a:ext cx="238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748665" cy="175260"/>
                      <wp:effectExtent l="0" t="0" r="0" b="0"/>
                      <wp:wrapNone/>
                      <wp:docPr id="220" name="Frame220"/>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2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14935" cy="175260"/>
                      <wp:effectExtent l="0" t="0" r="0" b="0"/>
                      <wp:wrapNone/>
                      <wp:docPr id="222" name="Frame22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12445" cy="175260"/>
                      <wp:effectExtent l="0" t="0" r="0" b="0"/>
                      <wp:wrapNone/>
                      <wp:docPr id="223" name="Frame223"/>
                      <a:graphic xmlns:a="http://schemas.openxmlformats.org/drawingml/2006/main">
                        <a:graphicData uri="http://schemas.microsoft.com/office/word/2010/wordprocessingShape">
                          <wps:wsp>
                            <wps:cNvSpPr txBox="1"/>
                            <wps:spPr>
                              <a:xfrm>
                                <a:off x="0" y="0"/>
                                <a:ext cx="512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14935" cy="175260"/>
                      <wp:effectExtent l="0" t="0" r="0" b="0"/>
                      <wp:wrapNone/>
                      <wp:docPr id="225" name="Frame22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505460" cy="175260"/>
                      <wp:effectExtent l="0" t="0" r="0" b="0"/>
                      <wp:wrapNone/>
                      <wp:docPr id="226" name="Frame22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14935" cy="175260"/>
                      <wp:effectExtent l="0" t="0" r="0" b="0"/>
                      <wp:wrapNone/>
                      <wp:docPr id="228" name="Frame22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05460" cy="175260"/>
                      <wp:effectExtent l="0" t="0" r="0" b="0"/>
                      <wp:wrapNone/>
                      <wp:docPr id="229" name="Frame22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14935" cy="175260"/>
                      <wp:effectExtent l="0" t="0" r="0" b="0"/>
                      <wp:wrapNone/>
                      <wp:docPr id="231" name="Frame23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535305" cy="175260"/>
                      <wp:effectExtent l="0" t="0" r="0" b="0"/>
                      <wp:wrapNone/>
                      <wp:docPr id="232" name="Frame232"/>
                      <a:graphic xmlns:a="http://schemas.openxmlformats.org/drawingml/2006/main">
                        <a:graphicData uri="http://schemas.microsoft.com/office/word/2010/wordprocessingShape">
                          <wps:wsp>
                            <wps:cNvSpPr txBox="1"/>
                            <wps:spPr>
                              <a:xfrm>
                                <a:off x="0" y="0"/>
                                <a:ext cx="535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944" w:type="dxa"/>
            <w:gridSpan w:val="11"/>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As of</w:t>
            </w:r>
          </w:p>
        </w:tc>
      </w:tr>
      <w:tr>
        <w:trPr/>
        <w:tc>
          <w:tcPr>
            <w:tcW w:w="375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September 30, 2025</w:t>
            </w:r>
          </w:p>
        </w:tc>
        <w:tc>
          <w:tcPr>
            <w:tcW w:w="326" w:type="dxa"/>
            <w:tcBorders/>
            <w:vAlign w:val="center"/>
          </w:tcPr>
          <w:p>
            <w:pPr>
              <w:pStyle w:val="TableContents"/>
              <w:bidi w:val="0"/>
              <w:spacing w:before="0" w:after="0"/>
              <w:ind w:left="0" w:right="0" w:hanging="0"/>
              <w:jc w:val="left"/>
              <w:rPr/>
            </w:pPr>
            <w:r>
              <w:rPr/>
              <w:t>​</w:t>
            </w:r>
          </w:p>
        </w:tc>
        <w:tc>
          <w:tcPr>
            <w:tcW w:w="232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December 31, 2024</w:t>
            </w:r>
          </w:p>
        </w:tc>
      </w:tr>
      <w:tr>
        <w:trPr/>
        <w:tc>
          <w:tcPr>
            <w:tcW w:w="3756" w:type="dxa"/>
            <w:tcBorders/>
            <w:vAlign w:val="center"/>
          </w:tcPr>
          <w:p>
            <w:pPr>
              <w:pStyle w:val="TableContents"/>
              <w:bidi w:val="0"/>
              <w:spacing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Issuer </w:t>
            </w:r>
          </w:p>
        </w:tc>
        <w:tc>
          <w:tcPr>
            <w:tcW w:w="326" w:type="dxa"/>
            <w:tcBorders/>
            <w:vAlign w:val="center"/>
          </w:tcPr>
          <w:p>
            <w:pPr>
              <w:pStyle w:val="TableContents"/>
              <w:bidi w:val="0"/>
              <w:spacing w:before="0" w:after="0"/>
              <w:ind w:left="0" w:right="0" w:hanging="0"/>
              <w:jc w:val="left"/>
              <w:rPr/>
            </w:pPr>
            <w:r>
              <w:rPr/>
              <w:t>    </w:t>
            </w:r>
          </w:p>
        </w:tc>
        <w:tc>
          <w:tcPr>
            <w:tcW w:w="9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Carrying</w:t>
              <w:br/>
              <w:t>Amount</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Fair Value</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Carrying</w:t>
              <w:br/>
              <w:t>Amount</w:t>
            </w:r>
          </w:p>
        </w:tc>
        <w:tc>
          <w:tcPr>
            <w:tcW w:w="326" w:type="dxa"/>
            <w:tcBorders/>
            <w:vAlign w:val="center"/>
          </w:tcPr>
          <w:p>
            <w:pPr>
              <w:pStyle w:val="TableContents"/>
              <w:bidi w:val="0"/>
              <w:spacing w:before="0" w:after="0"/>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Fair Value</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3756" w:type="dxa"/>
            <w:tcBorders/>
            <w:vAlign w:val="center"/>
          </w:tcPr>
          <w:p>
            <w:pPr>
              <w:pStyle w:val="TableContents"/>
              <w:bidi w:val="0"/>
              <w:spacing w:before="0" w:after="0"/>
              <w:ind w:left="0" w:right="0" w:hanging="0"/>
              <w:jc w:val="left"/>
              <w:rPr/>
            </w:pPr>
            <w:r>
              <w:rPr/>
              <w:t>​</w:t>
            </w:r>
          </w:p>
        </w:tc>
        <w:tc>
          <w:tcPr>
            <w:tcW w:w="11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944" w:type="dxa"/>
            <w:gridSpan w:val="11"/>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 thousands)</w:t>
            </w:r>
          </w:p>
        </w:tc>
      </w:tr>
      <w:tr>
        <w:trPr/>
        <w:tc>
          <w:tcPr>
            <w:tcW w:w="375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Arial;Helvetica;sans-serif" w:hAnsi="Arial;Helvetica;sans-serif"/>
                <w:sz w:val="14"/>
              </w:rPr>
              <w:t>0%</w:t>
            </w:r>
            <w:r>
              <w:rPr>
                <w:rFonts w:ascii="Times New Roman;Times;serif" w:hAnsi="Times New Roman;Times;serif"/>
                <w:sz w:val="14"/>
              </w:rPr>
              <w:t xml:space="preserve"> </w:t>
            </w:r>
            <w:r>
              <w:rPr>
                <w:rFonts w:ascii="Arial;Helvetica;sans-serif" w:hAnsi="Arial;Helvetica;sans-serif"/>
                <w:sz w:val="14"/>
              </w:rPr>
              <w:t>Convertible Notes due 2025</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DISH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138,403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136,766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138,403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124,916</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Term Loan due 2025 (1)</w:t>
            </w:r>
          </w:p>
        </w:tc>
        <w:tc>
          <w:tcPr>
            <w:tcW w:w="1179"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500,000</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7 3/4% Senior Notes due 2026 (2)</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1,985,900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1,678,640</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3 3/8% Convertible Notes due 2026 (2)</w:t>
            </w:r>
          </w:p>
        </w:tc>
        <w:tc>
          <w:tcPr>
            <w:tcW w:w="1179"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DISH</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45,209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43,708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45,209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38,495</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5 1/4% Senior Secured Notes due 2026</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2,702,315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2,750,000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2,507,780</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11 3/4% Senior Secured Notes due 2027</w:t>
            </w:r>
          </w:p>
        </w:tc>
        <w:tc>
          <w:tcPr>
            <w:tcW w:w="1179"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DISH</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3,653,755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3,500,000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3,708,460</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7 3/8% Senior Notes due 2028</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922,180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715,680</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5 3/4% Senior Secured Notes due 2028</w:t>
            </w:r>
          </w:p>
        </w:tc>
        <w:tc>
          <w:tcPr>
            <w:tcW w:w="1179"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2,399,625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2,143,350</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5 1/8% Senior Notes due 2029</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DDBS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1,287,825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959,610</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Term Loan due 2029 (3)</w:t>
            </w:r>
          </w:p>
        </w:tc>
        <w:tc>
          <w:tcPr>
            <w:tcW w:w="1179"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1,770,922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1,800,000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1,800,000</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Mandatorily Redeemable Preferred Shares due 2029 (3)(6)</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DBS SubscriberCo</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196,211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200,000</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DISH 2021 Intercompany Loan 2026 Tranche (4)</w:t>
            </w:r>
          </w:p>
        </w:tc>
        <w:tc>
          <w:tcPr>
            <w:tcW w:w="1179"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Intercompany</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4,767,289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4,767,289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4,767,289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4,767,289</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EchoStar 2024 Intercompany Loan (5)</w:t>
            </w:r>
          </w:p>
        </w:tc>
        <w:tc>
          <w:tcPr>
            <w:tcW w:w="1179"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Intercompany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3,398,789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3,398,789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1,014,522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1,014,522</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Other notes payable</w:t>
            </w:r>
          </w:p>
        </w:tc>
        <w:tc>
          <w:tcPr>
            <w:tcW w:w="11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36,654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36,654</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63,297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3"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63,297</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Subtotal</w:t>
            </w:r>
          </w:p>
        </w:tc>
        <w:tc>
          <w:tcPr>
            <w:tcW w:w="11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07"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23,636,344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23,301,939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21,778,720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4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20,222,039</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Unamortized deferred financing costs and other debt discounts, net</w:t>
            </w:r>
          </w:p>
        </w:tc>
        <w:tc>
          <w:tcPr>
            <w:tcW w:w="11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(87,225)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(157,662)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Finance lease obligations (7)</w:t>
            </w:r>
          </w:p>
        </w:tc>
        <w:tc>
          <w:tcPr>
            <w:tcW w:w="11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48,711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67,199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left"/>
              <w:rPr/>
            </w:pPr>
            <w:r>
              <w:rPr/>
              <w:t>​</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w:t>
            </w:r>
          </w:p>
        </w:tc>
        <w:tc>
          <w:tcPr>
            <w:tcW w:w="11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07"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23,597,830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21,688,257</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r>
      <w:tr>
        <w:trPr/>
        <w:tc>
          <w:tcPr>
            <w:tcW w:w="3756"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Less: current portion (3)</w:t>
            </w:r>
          </w:p>
        </w:tc>
        <w:tc>
          <w:tcPr>
            <w:tcW w:w="117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(3,131,385)</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(933,481)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843" w:type="dxa"/>
            <w:tcBorders/>
            <w:shd w:fill="CCEEFF" w:val="clear"/>
            <w:vAlign w:val="center"/>
          </w:tcPr>
          <w:p>
            <w:pPr>
              <w:pStyle w:val="TableContents"/>
              <w:bidi w:val="0"/>
              <w:spacing w:before="0" w:after="0"/>
              <w:ind w:left="0" w:right="0" w:hanging="0"/>
              <w:jc w:val="left"/>
              <w:rPr/>
            </w:pPr>
            <w:r>
              <w:rPr/>
              <w:t>​</w:t>
            </w:r>
          </w:p>
        </w:tc>
      </w:tr>
      <w:tr>
        <w:trPr/>
        <w:tc>
          <w:tcPr>
            <w:tcW w:w="3756"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 debt, finance lease and other obligations, net of current portion</w:t>
            </w:r>
          </w:p>
        </w:tc>
        <w:tc>
          <w:tcPr>
            <w:tcW w:w="117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20,466,445</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20,754,776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84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6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We redeemed the principal balance of our Term Loan due 2025</w:t>
            </w:r>
            <w:r>
              <w:rPr>
                <w:caps w:val="false"/>
                <w:smallCaps w:val="false"/>
              </w:rPr>
              <w:t xml:space="preserve"> </w:t>
            </w:r>
            <w:r>
              <w:rPr>
                <w:rFonts w:ascii="Arial;Helvetica;sans-serif" w:hAnsi="Arial;Helvetica;sans-serif"/>
                <w:b w:val="false"/>
                <w:i w:val="false"/>
                <w:caps w:val="false"/>
                <w:smallCaps w:val="false"/>
                <w:sz w:val="20"/>
              </w:rPr>
              <w:t>as of September 30, 2025, the instrument’s maturity date.</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3"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These notes</w:t>
            </w:r>
            <w:r>
              <w:rPr>
                <w:caps w:val="false"/>
                <w:smallCaps w:val="false"/>
              </w:rPr>
              <w:t xml:space="preserve"> </w:t>
            </w:r>
            <w:r>
              <w:rPr>
                <w:rFonts w:ascii="Arial;Helvetica;sans-serif" w:hAnsi="Arial;Helvetica;sans-serif"/>
                <w:b w:val="false"/>
                <w:i w:val="false"/>
                <w:caps w:val="false"/>
                <w:smallCaps w:val="false"/>
                <w:sz w:val="20"/>
              </w:rPr>
              <w:t xml:space="preserve">have been reclassified to “Current portion of debt, finance lease and other obligations” on our Condensed Consolidated Balance Sheets as of September 30, 2025. </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A portion of the principal balance of these instruments is classified as </w:t>
            </w:r>
            <w:r>
              <w:rPr>
                <w:caps w:val="false"/>
                <w:smallCaps w:val="false"/>
              </w:rPr>
              <w:t>“</w:t>
            </w:r>
            <w:r>
              <w:rPr>
                <w:rFonts w:ascii="Arial;Helvetica;sans-serif" w:hAnsi="Arial;Helvetica;sans-serif"/>
                <w:b w:val="false"/>
                <w:i w:val="false"/>
                <w:caps w:val="false"/>
                <w:smallCaps w:val="false"/>
                <w:sz w:val="20"/>
              </w:rPr>
              <w:t xml:space="preserve">Current portion of debt, finance lease and other obligations” due to payment terms upon which </w:t>
            </w:r>
            <w:r>
              <w:rPr>
                <w:rFonts w:ascii="Arial;Helvetica;sans-serif" w:hAnsi="Arial;Helvetica;sans-serif"/>
                <w:b w:val="false"/>
                <w:i w:val="false"/>
                <w:caps w:val="false"/>
                <w:smallCaps w:val="false"/>
                <w:color w:val="222222"/>
                <w:sz w:val="20"/>
                <w:shd w:fill="FFFFFF" w:val="clear"/>
              </w:rPr>
              <w:t xml:space="preserve">we will pay a portion of </w:t>
            </w:r>
            <w:r>
              <w:rPr>
                <w:rFonts w:ascii="Arial;Helvetica;sans-serif" w:hAnsi="Arial;Helvetica;sans-serif"/>
                <w:b w:val="false"/>
                <w:i w:val="false"/>
                <w:caps w:val="false"/>
                <w:smallCaps w:val="false"/>
                <w:sz w:val="20"/>
              </w:rPr>
              <w:t>principal balance</w:t>
            </w:r>
            <w:r>
              <w:rPr>
                <w:caps w:val="false"/>
                <w:smallCaps w:val="false"/>
                <w:color w:val="222222"/>
                <w:shd w:fill="FFFFFF" w:val="clear"/>
              </w:rPr>
              <w:t xml:space="preserve"> </w:t>
            </w:r>
            <w:r>
              <w:rPr>
                <w:rFonts w:ascii="Arial;Helvetica;sans-serif" w:hAnsi="Arial;Helvetica;sans-serif"/>
                <w:b w:val="false"/>
                <w:i w:val="false"/>
                <w:caps w:val="false"/>
                <w:smallCaps w:val="false"/>
                <w:sz w:val="20"/>
              </w:rPr>
              <w:t xml:space="preserve">based on the </w:t>
            </w:r>
            <w:r>
              <w:rPr>
                <w:rFonts w:ascii="Arial;Helvetica;sans-serif" w:hAnsi="Arial;Helvetica;sans-serif"/>
                <w:b w:val="false"/>
                <w:i w:val="false"/>
                <w:caps w:val="false"/>
                <w:smallCaps w:val="false"/>
                <w:color w:val="222222"/>
                <w:sz w:val="20"/>
                <w:shd w:fill="FFFFFF" w:val="clear"/>
              </w:rPr>
              <w:t>variable cash flows for certain Pay-TV business metrics which are an estimate and could change significantly based on actual performance.</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989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 xml:space="preserve">The </w:t>
            </w:r>
            <w:r>
              <w:rPr>
                <w:rFonts w:ascii="Arial;Helvetica;sans-serif" w:hAnsi="Arial;Helvetica;sans-serif"/>
                <w:b w:val="false"/>
                <w:i w:val="false"/>
                <w:caps w:val="false"/>
                <w:smallCaps w:val="false"/>
                <w:sz w:val="20"/>
                <w:shd w:fill="FFFFFF" w:val="clear"/>
              </w:rPr>
              <w:t xml:space="preserve">DISH 2021 </w:t>
            </w:r>
            <w:r>
              <w:rPr>
                <w:rFonts w:ascii="Arial;Helvetica;sans-serif" w:hAnsi="Arial;Helvetica;sans-serif"/>
                <w:b w:val="false"/>
                <w:i w:val="false"/>
                <w:caps w:val="false"/>
                <w:smallCaps w:val="false"/>
                <w:sz w:val="20"/>
              </w:rPr>
              <w:t>Intercompany Loan 2026 Tranche is not publicly traded and the estimated fair value of the assets associated with the underlying collateral are greater than or equal to carrying value in part due to the instrument’s remaining duration, therefore the carrying value is deemed to be the fair value.</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990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During the three and nine months ended September 30, 2025, we borrowed an additional principal amount of $645</w:t>
            </w:r>
            <w:r>
              <w:rPr>
                <w:caps w:val="false"/>
                <w:smallCaps w:val="false"/>
              </w:rPr>
              <w:t xml:space="preserve"> </w:t>
            </w:r>
            <w:r>
              <w:rPr>
                <w:rFonts w:ascii="Arial;Helvetica;sans-serif" w:hAnsi="Arial;Helvetica;sans-serif"/>
                <w:b w:val="false"/>
                <w:i w:val="false"/>
                <w:caps w:val="false"/>
                <w:smallCaps w:val="false"/>
                <w:sz w:val="20"/>
              </w:rPr>
              <w:t>million and $2.202</w:t>
            </w:r>
            <w:r>
              <w:rPr>
                <w:caps w:val="false"/>
                <w:smallCaps w:val="false"/>
              </w:rPr>
              <w:t xml:space="preserve"> </w:t>
            </w:r>
            <w:r>
              <w:rPr>
                <w:rFonts w:ascii="Arial;Helvetica;sans-serif" w:hAnsi="Arial;Helvetica;sans-serif"/>
                <w:b w:val="false"/>
                <w:i w:val="false"/>
                <w:caps w:val="false"/>
                <w:smallCaps w:val="false"/>
                <w:sz w:val="20"/>
              </w:rPr>
              <w:t>billion, respectively, under the EchoStar 2024 Intercompany Loan. In addition, during the three and nine months ended September 30, 2025, we made interest payments in kind of $87</w:t>
            </w:r>
            <w:r>
              <w:rPr>
                <w:caps w:val="false"/>
                <w:smallCaps w:val="false"/>
              </w:rPr>
              <w:t xml:space="preserve"> </w:t>
            </w:r>
            <w:r>
              <w:rPr>
                <w:rFonts w:ascii="Arial;Helvetica;sans-serif" w:hAnsi="Arial;Helvetica;sans-serif"/>
                <w:b w:val="false"/>
                <w:i w:val="false"/>
                <w:caps w:val="false"/>
                <w:smallCaps w:val="false"/>
                <w:sz w:val="20"/>
              </w:rPr>
              <w:t>million and $182</w:t>
            </w:r>
            <w:r>
              <w:rPr>
                <w:caps w:val="false"/>
                <w:smallCaps w:val="false"/>
              </w:rPr>
              <w:t xml:space="preserve"> </w:t>
            </w:r>
            <w:r>
              <w:rPr>
                <w:rFonts w:ascii="Arial;Helvetica;sans-serif" w:hAnsi="Arial;Helvetica;sans-serif"/>
                <w:b w:val="false"/>
                <w:i w:val="false"/>
                <w:caps w:val="false"/>
                <w:smallCaps w:val="false"/>
                <w:sz w:val="20"/>
              </w:rPr>
              <w:t xml:space="preserve">million, respectively. </w:t>
            </w:r>
          </w:p>
        </w:tc>
      </w:tr>
    </w:tbl>
    <w:tbl>
      <w:tblPr>
        <w:tblW w:w="9992" w:type="dxa"/>
        <w:jc w:val="left"/>
        <w:tblInd w:w="0" w:type="dxa"/>
        <w:tblLayout w:type="fixed"/>
        <w:tblCellMar>
          <w:top w:w="0" w:type="dxa"/>
          <w:left w:w="0" w:type="dxa"/>
          <w:bottom w:w="0" w:type="dxa"/>
          <w:right w:w="0" w:type="dxa"/>
        </w:tblCellMar>
      </w:tblPr>
      <w:tblGrid>
        <w:gridCol w:w="346"/>
        <w:gridCol w:w="964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64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Due to the June 30, 2029 mandatory redemption feature of this instrument, it is considered a debt instrument.</w:t>
            </w:r>
          </w:p>
        </w:tc>
      </w:tr>
    </w:tbl>
    <w:tbl>
      <w:tblPr>
        <w:tblW w:w="6077" w:type="dxa"/>
        <w:jc w:val="left"/>
        <w:tblInd w:w="0" w:type="dxa"/>
        <w:tblLayout w:type="fixed"/>
        <w:tblCellMar>
          <w:top w:w="0" w:type="dxa"/>
          <w:left w:w="0" w:type="dxa"/>
          <w:bottom w:w="0" w:type="dxa"/>
          <w:right w:w="0" w:type="dxa"/>
        </w:tblCellMar>
      </w:tblPr>
      <w:tblGrid>
        <w:gridCol w:w="346"/>
        <w:gridCol w:w="573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(7)</w:t>
            </w:r>
          </w:p>
        </w:tc>
        <w:tc>
          <w:tcPr>
            <w:tcW w:w="573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Disclosure regarding fair value of finance leases is not required. </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estimated the fair value of our publicly traded long-term debt using market prices in less active markets (Level</w:t>
      </w:r>
      <w:r>
        <w:rPr>
          <w:rFonts w:ascii="Times New Roman;Times;serif" w:hAnsi="Times New Roman;Times;serif"/>
          <w:spacing w:val="-2"/>
          <w:sz w:val="18"/>
        </w:rPr>
        <w:t> </w:t>
      </w:r>
      <w:r>
        <w:rPr>
          <w:rFonts w:ascii="Arial;Helvetica;sans-serif" w:hAnsi="Arial;Helvetica;sans-serif"/>
          <w:spacing w:val="-2"/>
          <w:sz w:val="20"/>
        </w:rPr>
        <w:t>2).</w:t>
      </w:r>
      <w:r>
        <w:rPr>
          <w:rFonts w:ascii="Times New Roman;Times;serif" w:hAnsi="Times New Roman;Times;serif"/>
          <w:spacing w:val="-2"/>
          <w:sz w:val="18"/>
        </w:rPr>
        <w:t xml:space="preserve"> </w:t>
      </w:r>
      <w:r>
        <w:rPr>
          <w:rFonts w:ascii="Arial;Helvetica;sans-serif" w:hAnsi="Arial;Helvetica;sans-serif"/>
          <w:spacing w:val="-2"/>
          <w:sz w:val="20"/>
        </w:rPr>
        <w:t>We estimated the fair value of our non-publicly traded debt based on, among other things, available trade information and/or valuations performed by a third-party (Level 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Senior Notes and Convertible Notes</w:t>
      </w:r>
    </w:p>
    <w:p>
      <w:pPr>
        <w:pStyle w:val="TextBody"/>
        <w:bidi w:val="0"/>
        <w:spacing w:before="0" w:after="0"/>
        <w:ind w:left="0" w:right="0" w:hanging="0"/>
        <w:jc w:val="left"/>
        <w:rPr>
          <w:spacing w:val="-2"/>
        </w:rPr>
      </w:pPr>
      <w:r>
        <w:rPr>
          <w:spacing w:val="-2"/>
        </w:rPr>
        <w:t>​</w:t>
      </w:r>
    </w:p>
    <w:p>
      <w:pPr>
        <w:pStyle w:val="TextBody"/>
        <w:bidi w:val="0"/>
        <w:spacing w:before="0" w:after="0"/>
        <w:ind w:left="0" w:right="340" w:hanging="0"/>
        <w:jc w:val="left"/>
        <w:rPr>
          <w:rFonts w:ascii="Arial;Helvetica;sans-serif" w:hAnsi="Arial;Helvetica;sans-serif"/>
          <w:sz w:val="20"/>
        </w:rPr>
      </w:pPr>
      <w:r>
        <w:rPr>
          <w:rFonts w:ascii="Arial;Helvetica;sans-serif" w:hAnsi="Arial;Helvetica;sans-serif"/>
          <w:sz w:val="20"/>
        </w:rPr>
        <w:t xml:space="preserve">The below summaries are not complete and are qualified in entirety by reference to the full and complete text of the applicable indentures.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Existing DISH Convertible Notes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0%</w:t>
      </w:r>
      <w:r>
        <w:rPr>
          <w:rFonts w:ascii="Times New Roman;Times;serif" w:hAnsi="Times New Roman;Times;serif"/>
          <w:spacing w:val="-2"/>
          <w:sz w:val="18"/>
        </w:rPr>
        <w:t xml:space="preserve"> </w:t>
      </w:r>
      <w:r>
        <w:rPr>
          <w:rFonts w:ascii="Arial;Helvetica;sans-serif" w:hAnsi="Arial;Helvetica;sans-serif"/>
          <w:i/>
          <w:spacing w:val="-2"/>
          <w:sz w:val="20"/>
        </w:rPr>
        <w:t>Convertible Notes due 2025</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December 21, 2020, we issued $2.0</w:t>
      </w:r>
      <w:r>
        <w:rPr>
          <w:rFonts w:ascii="Times New Roman;Times;serif" w:hAnsi="Times New Roman;Times;serif"/>
          <w:spacing w:val="-2"/>
          <w:sz w:val="18"/>
        </w:rPr>
        <w:t xml:space="preserve"> </w:t>
      </w:r>
      <w:r>
        <w:rPr>
          <w:rFonts w:ascii="Arial;Helvetica;sans-serif" w:hAnsi="Arial;Helvetica;sans-serif"/>
          <w:spacing w:val="-2"/>
          <w:sz w:val="20"/>
        </w:rPr>
        <w:t xml:space="preserve">billion aggregate principal amount of the Convertible Notes due December 15, 2025 in a private placement. A portion of these notes were extinguished </w:t>
      </w:r>
      <w:r>
        <w:rPr>
          <w:rFonts w:ascii="Arial;Helvetica;sans-serif" w:hAnsi="Arial;Helvetica;sans-serif"/>
          <w:spacing w:val="-2"/>
          <w:sz w:val="20"/>
          <w:shd w:fill="FFFFFF" w:val="clear"/>
        </w:rPr>
        <w:t>and an aggregate principal amount of</w:t>
      </w:r>
      <w:r>
        <w:rPr>
          <w:rFonts w:ascii="Times New Roman;Times;serif" w:hAnsi="Times New Roman;Times;serif"/>
          <w:spacing w:val="-2"/>
          <w:sz w:val="18"/>
        </w:rPr>
        <w:t xml:space="preserve"> </w:t>
      </w:r>
      <w:r>
        <w:rPr>
          <w:rFonts w:ascii="Arial;Helvetica;sans-serif" w:hAnsi="Arial;Helvetica;sans-serif"/>
          <w:spacing w:val="-2"/>
          <w:sz w:val="20"/>
        </w:rPr>
        <w:t>$138</w:t>
      </w:r>
      <w:r>
        <w:rPr>
          <w:rFonts w:ascii="Times New Roman;Times;serif" w:hAnsi="Times New Roman;Times;serif"/>
          <w:spacing w:val="-2"/>
          <w:sz w:val="18"/>
        </w:rPr>
        <w:t xml:space="preserve"> </w:t>
      </w:r>
      <w:r>
        <w:rPr>
          <w:rFonts w:ascii="Arial;Helvetica;sans-serif" w:hAnsi="Arial;Helvetica;sans-serif"/>
          <w:spacing w:val="-2"/>
          <w:sz w:val="20"/>
        </w:rPr>
        <w:t xml:space="preserve">million remains outstanding. These notes will not bear interest, and the principal amount of the Notes will not increase over time.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The Convertible Notes</w:t>
      </w:r>
      <w:r>
        <w:rPr>
          <w:rFonts w:ascii="Times New Roman;Times;serif" w:hAnsi="Times New Roman;Times;serif"/>
          <w:spacing w:val="-2"/>
          <w:sz w:val="18"/>
        </w:rPr>
        <w:t xml:space="preserve"> </w:t>
      </w:r>
      <w:r>
        <w:rPr>
          <w:rFonts w:ascii="Arial;Helvetica;sans-serif" w:hAnsi="Arial;Helvetica;sans-serif"/>
          <w:spacing w:val="-2"/>
          <w:sz w:val="20"/>
        </w:rPr>
        <w:t>due 2025</w:t>
      </w:r>
      <w:r>
        <w:rPr>
          <w:rFonts w:ascii="Times New Roman;Times;serif" w:hAnsi="Times New Roman;Times;serif"/>
          <w:spacing w:val="-2"/>
          <w:sz w:val="18"/>
        </w:rPr>
        <w:t xml:space="preserve"> </w:t>
      </w:r>
      <w:r>
        <w:rPr>
          <w:rFonts w:ascii="Arial;Helvetica;sans-serif" w:hAnsi="Arial;Helvetica;sans-serif"/>
          <w:spacing w:val="-2"/>
          <w:sz w:val="20"/>
        </w:rPr>
        <w:t xml:space="preserve">are: </w:t>
      </w:r>
    </w:p>
    <w:p>
      <w:pPr>
        <w:pStyle w:val="TextBody"/>
        <w:bidi w:val="0"/>
        <w:spacing w:before="0" w:after="0"/>
        <w:ind w:left="0" w:right="0" w:hanging="0"/>
        <w:jc w:val="left"/>
        <w:rPr>
          <w:spacing w:val="-2"/>
        </w:rPr>
      </w:pPr>
      <w:r>
        <w:rPr>
          <w:spacing w:val="-2"/>
        </w:rPr>
        <w:t>​</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future indebtedness that is expressly subordinated in right of payment to the Convertible Notes due 2025;</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effectively junior to any of our existing and future secured indebtedness to the extent of the value of the assets securing such indebtedness;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structurally junior to all indebtedness and other liabilities of our subsidiaries; and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guaranteed by our subsidiaries.</w:t>
            </w:r>
          </w:p>
        </w:tc>
      </w:tr>
    </w:tbl>
    <w:p>
      <w:pPr>
        <w:pStyle w:val="TextBody"/>
        <w:bidi w:val="0"/>
        <w:spacing w:before="0" w:after="0"/>
        <w:ind w:left="0" w:right="0" w:hanging="0"/>
        <w:jc w:val="left"/>
        <w:rPr>
          <w:spacing w:val="-2"/>
          <w:shd w:fill="FFFF00" w:val="clear"/>
        </w:rPr>
      </w:pPr>
      <w:r>
        <w:rPr>
          <w:spacing w:val="-2"/>
          <w:shd w:fill="FFFF00" w:val="clea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may not redeem the Convertible Notes due 2025</w:t>
      </w:r>
      <w:r>
        <w:rPr>
          <w:rFonts w:ascii="Times New Roman;Times;serif" w:hAnsi="Times New Roman;Times;serif"/>
          <w:spacing w:val="-2"/>
          <w:sz w:val="18"/>
        </w:rPr>
        <w:t xml:space="preserve"> </w:t>
      </w:r>
      <w:r>
        <w:rPr>
          <w:rFonts w:ascii="Arial;Helvetica;sans-serif" w:hAnsi="Arial;Helvetica;sans-serif"/>
          <w:spacing w:val="-2"/>
          <w:sz w:val="20"/>
        </w:rPr>
        <w:t>prior to the maturity date. If a “fundamental change” (as defined in the related indenture) occurs prior to the maturity date of the Convertible Notes due 2025, holders may require us to repurchase for cash all or part of their Convertible Notes due 2025</w:t>
      </w:r>
      <w:r>
        <w:rPr>
          <w:rFonts w:ascii="Times New Roman;Times;serif" w:hAnsi="Times New Roman;Times;serif"/>
          <w:spacing w:val="-2"/>
          <w:sz w:val="18"/>
        </w:rPr>
        <w:t xml:space="preserve"> </w:t>
      </w:r>
      <w:r>
        <w:rPr>
          <w:rFonts w:ascii="Arial;Helvetica;sans-serif" w:hAnsi="Arial;Helvetica;sans-serif"/>
          <w:spacing w:val="-2"/>
          <w:sz w:val="20"/>
        </w:rPr>
        <w:t>at a repurchase price equal to 100%</w:t>
      </w:r>
      <w:r>
        <w:rPr>
          <w:rFonts w:ascii="Times New Roman;Times;serif" w:hAnsi="Times New Roman;Times;serif"/>
          <w:spacing w:val="-2"/>
          <w:sz w:val="18"/>
        </w:rPr>
        <w:t xml:space="preserve"> </w:t>
      </w:r>
      <w:r>
        <w:rPr>
          <w:rFonts w:ascii="Arial;Helvetica;sans-serif" w:hAnsi="Arial;Helvetica;sans-serif"/>
          <w:spacing w:val="-2"/>
          <w:sz w:val="20"/>
        </w:rPr>
        <w:t>of the principal amount of such Convertible Notes due 2025, plus accrued and unpaid interest to, but not including, the fundamental change repurchase date.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Subject to the terms of the related indenture, the Convertible Notes due 2025 may be converted at an initial conversion rate of 8.566</w:t>
      </w:r>
      <w:r>
        <w:rPr>
          <w:rFonts w:ascii="Times New Roman;Times;serif" w:hAnsi="Times New Roman;Times;serif"/>
          <w:spacing w:val="-2"/>
          <w:sz w:val="18"/>
        </w:rPr>
        <w:t xml:space="preserve"> </w:t>
      </w:r>
      <w:r>
        <w:rPr>
          <w:rFonts w:ascii="Arial;Helvetica;sans-serif" w:hAnsi="Arial;Helvetica;sans-serif"/>
          <w:spacing w:val="-2"/>
          <w:sz w:val="20"/>
        </w:rPr>
        <w:t>shares of EchoStar’s Class A common stock per $1,000</w:t>
      </w:r>
      <w:r>
        <w:rPr>
          <w:rFonts w:ascii="Times New Roman;Times;serif" w:hAnsi="Times New Roman;Times;serif"/>
          <w:spacing w:val="-2"/>
          <w:sz w:val="18"/>
        </w:rPr>
        <w:t xml:space="preserve"> </w:t>
      </w:r>
      <w:r>
        <w:rPr>
          <w:rFonts w:ascii="Arial;Helvetica;sans-serif" w:hAnsi="Arial;Helvetica;sans-serif"/>
          <w:spacing w:val="-2"/>
          <w:sz w:val="20"/>
        </w:rPr>
        <w:t>principal amount of the Convertible Notes due 2025</w:t>
      </w:r>
      <w:r>
        <w:rPr>
          <w:rFonts w:ascii="Times New Roman;Times;serif" w:hAnsi="Times New Roman;Times;serif"/>
          <w:spacing w:val="-2"/>
          <w:sz w:val="18"/>
        </w:rPr>
        <w:t xml:space="preserve"> </w:t>
      </w:r>
      <w:r>
        <w:rPr>
          <w:rFonts w:ascii="Arial;Helvetica;sans-serif" w:hAnsi="Arial;Helvetica;sans-serif"/>
          <w:spacing w:val="-2"/>
          <w:sz w:val="20"/>
        </w:rPr>
        <w:t>(equivalent to an initial conversion price of approximately $116.74</w:t>
      </w:r>
      <w:r>
        <w:rPr>
          <w:rFonts w:ascii="Times New Roman;Times;serif" w:hAnsi="Times New Roman;Times;serif"/>
          <w:spacing w:val="-2"/>
          <w:sz w:val="18"/>
        </w:rPr>
        <w:t xml:space="preserve"> </w:t>
      </w:r>
      <w:r>
        <w:rPr>
          <w:rFonts w:ascii="Arial;Helvetica;sans-serif" w:hAnsi="Arial;Helvetica;sans-serif"/>
          <w:spacing w:val="-2"/>
          <w:sz w:val="20"/>
        </w:rPr>
        <w:t>per share of EchoStar’s Class A common stock) (the “Initial Conversion Rate”), at any time on or after July 15, 2025 through the second scheduled trading day preceding the maturity date. Holders of the Convertible Notes due 2025 also had the right to convert the Convertible Notes due 2025</w:t>
      </w:r>
      <w:r>
        <w:rPr>
          <w:rFonts w:ascii="Times New Roman;Times;serif" w:hAnsi="Times New Roman;Times;serif"/>
          <w:spacing w:val="-2"/>
          <w:sz w:val="18"/>
        </w:rPr>
        <w:t xml:space="preserve"> </w:t>
      </w:r>
      <w:r>
        <w:rPr>
          <w:rFonts w:ascii="Arial;Helvetica;sans-serif" w:hAnsi="Arial;Helvetica;sans-serif"/>
          <w:spacing w:val="-2"/>
          <w:sz w:val="20"/>
        </w:rPr>
        <w:t xml:space="preserve">at the Initial Conversion Rate prior to July 15, 2025, but only upon the occurrence of specified events described in the related indenture. The conversion rate is subject to anti-dilution adjustments if certain events occur. </w:t>
      </w:r>
      <w:r>
        <w:rPr>
          <w:rFonts w:ascii="Arial;Helvetica;sans-serif" w:hAnsi="Arial;Helvetica;sans-serif"/>
          <w:spacing w:val="-2"/>
          <w:sz w:val="20"/>
          <w:shd w:fill="FFFFFF" w:val="clear"/>
        </w:rPr>
        <w:t>Upon any conversion, EchoStar will settle its conversion obligation in cash, shares of EchoStar’s Class A common stock or a combination of cash and shares of EchoStar’s Class A common stock, at its election.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b w:val="false"/>
          <w:i/>
          <w:spacing w:val="-2"/>
          <w:sz w:val="20"/>
        </w:rPr>
        <w:t>3 3/8%</w:t>
      </w:r>
      <w:r>
        <w:rPr>
          <w:rFonts w:ascii="Times New Roman;Times;serif" w:hAnsi="Times New Roman;Times;serif"/>
          <w:spacing w:val="-2"/>
          <w:sz w:val="20"/>
        </w:rPr>
        <w:t xml:space="preserve"> </w:t>
      </w:r>
      <w:r>
        <w:rPr>
          <w:rFonts w:ascii="Arial;Helvetica;sans-serif" w:hAnsi="Arial;Helvetica;sans-serif"/>
          <w:i/>
          <w:spacing w:val="-2"/>
          <w:sz w:val="20"/>
        </w:rPr>
        <w:t>Convertible Notes due 2026</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spacing w:val="-2"/>
          <w:sz w:val="20"/>
        </w:rPr>
        <w:t>On August 8, 2016, we issued $3.0</w:t>
      </w:r>
      <w:r>
        <w:rPr>
          <w:rFonts w:ascii="Times New Roman;Times;serif" w:hAnsi="Times New Roman;Times;serif"/>
          <w:spacing w:val="-2"/>
          <w:sz w:val="20"/>
        </w:rPr>
        <w:t xml:space="preserve"> </w:t>
      </w:r>
      <w:r>
        <w:rPr>
          <w:rFonts w:ascii="Arial;Helvetica;sans-serif" w:hAnsi="Arial;Helvetica;sans-serif"/>
          <w:spacing w:val="-2"/>
          <w:sz w:val="20"/>
        </w:rPr>
        <w:t xml:space="preserve">billion aggregate principal amount of the Convertible Notes due August 15, 2026 in a private offering. A portion of these notes were extinguished and </w:t>
      </w:r>
      <w:r>
        <w:rPr>
          <w:rFonts w:ascii="Arial;Helvetica;sans-serif" w:hAnsi="Arial;Helvetica;sans-serif"/>
          <w:spacing w:val="-2"/>
          <w:sz w:val="20"/>
          <w:shd w:fill="FFFFFF" w:val="clear"/>
        </w:rPr>
        <w:t>an aggregate principal amount of</w:t>
      </w:r>
      <w:r>
        <w:rPr>
          <w:rFonts w:ascii="Times New Roman;Times;serif" w:hAnsi="Times New Roman;Times;serif"/>
          <w:spacing w:val="-2"/>
          <w:sz w:val="20"/>
        </w:rPr>
        <w:t xml:space="preserve"> </w:t>
      </w:r>
      <w:r>
        <w:rPr>
          <w:rFonts w:ascii="Arial;Helvetica;sans-serif" w:hAnsi="Arial;Helvetica;sans-serif"/>
          <w:spacing w:val="-2"/>
          <w:sz w:val="20"/>
        </w:rPr>
        <w:t>$45</w:t>
      </w:r>
      <w:r>
        <w:rPr>
          <w:rFonts w:ascii="Times New Roman;Times;serif" w:hAnsi="Times New Roman;Times;serif"/>
          <w:spacing w:val="-2"/>
          <w:sz w:val="20"/>
        </w:rPr>
        <w:t xml:space="preserve"> </w:t>
      </w:r>
      <w:r>
        <w:rPr>
          <w:rFonts w:ascii="Arial;Helvetica;sans-serif" w:hAnsi="Arial;Helvetica;sans-serif"/>
          <w:spacing w:val="-2"/>
          <w:sz w:val="20"/>
        </w:rPr>
        <w:t xml:space="preserve">million remains outstanding. Interest accrues at an annual rate of </w:t>
      </w:r>
      <w:r>
        <w:rPr>
          <w:rFonts w:ascii="Arial;Helvetica;sans-serif" w:hAnsi="Arial;Helvetica;sans-serif"/>
          <w:b w:val="false"/>
          <w:i w:val="false"/>
          <w:caps w:val="false"/>
          <w:smallCaps w:val="false"/>
          <w:spacing w:val="-2"/>
          <w:sz w:val="20"/>
        </w:rPr>
        <w:t>3 3/8%</w:t>
      </w:r>
      <w:r>
        <w:rPr>
          <w:rFonts w:ascii="Times New Roman;Times;serif" w:hAnsi="Times New Roman;Times;serif"/>
          <w:spacing w:val="-2"/>
          <w:sz w:val="20"/>
        </w:rPr>
        <w:t xml:space="preserve"> </w:t>
      </w:r>
      <w:r>
        <w:rPr>
          <w:rFonts w:ascii="Arial;Helvetica;sans-serif" w:hAnsi="Arial;Helvetica;sans-serif"/>
          <w:spacing w:val="-2"/>
          <w:sz w:val="20"/>
        </w:rPr>
        <w:t>and is payable semi-annually in cash, in arrears on February 15 and August 15 of each year.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The Convertible Notes</w:t>
      </w:r>
      <w:r>
        <w:rPr>
          <w:rFonts w:ascii="Times New Roman;Times;serif" w:hAnsi="Times New Roman;Times;serif"/>
          <w:spacing w:val="-2"/>
          <w:sz w:val="18"/>
        </w:rPr>
        <w:t xml:space="preserve"> </w:t>
      </w:r>
      <w:r>
        <w:rPr>
          <w:rFonts w:ascii="Arial;Helvetica;sans-serif" w:hAnsi="Arial;Helvetica;sans-serif"/>
          <w:spacing w:val="-2"/>
          <w:sz w:val="20"/>
        </w:rPr>
        <w:t>due 2026</w:t>
      </w:r>
      <w:r>
        <w:rPr>
          <w:rFonts w:ascii="Times New Roman;Times;serif" w:hAnsi="Times New Roman;Times;serif"/>
          <w:spacing w:val="-2"/>
          <w:sz w:val="18"/>
        </w:rPr>
        <w:t xml:space="preserve"> </w:t>
      </w:r>
      <w:r>
        <w:rPr>
          <w:rFonts w:ascii="Arial;Helvetica;sans-serif" w:hAnsi="Arial;Helvetica;sans-serif"/>
          <w:spacing w:val="-2"/>
          <w:sz w:val="20"/>
        </w:rPr>
        <w:t xml:space="preserve">are: </w:t>
      </w:r>
    </w:p>
    <w:p>
      <w:pPr>
        <w:pStyle w:val="TextBody"/>
        <w:bidi w:val="0"/>
        <w:spacing w:before="0" w:after="0"/>
        <w:ind w:left="0" w:right="0" w:hanging="0"/>
        <w:jc w:val="left"/>
        <w:rPr>
          <w:spacing w:val="-2"/>
        </w:rPr>
      </w:pPr>
      <w:r>
        <w:rPr>
          <w:spacing w:val="-2"/>
        </w:rPr>
        <w:t>​</w:t>
      </w:r>
    </w:p>
    <w:tbl>
      <w:tblPr>
        <w:tblW w:w="3501" w:type="dxa"/>
        <w:jc w:val="left"/>
        <w:tblInd w:w="0" w:type="dxa"/>
        <w:tblLayout w:type="fixed"/>
        <w:tblCellMar>
          <w:top w:w="28" w:type="dxa"/>
          <w:left w:w="28" w:type="dxa"/>
          <w:bottom w:w="28" w:type="dxa"/>
          <w:right w:w="28" w:type="dxa"/>
        </w:tblCellMar>
      </w:tblPr>
      <w:tblGrid>
        <w:gridCol w:w="124"/>
        <w:gridCol w:w="256"/>
        <w:gridCol w:w="3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general unsecured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senior in right of payment to any future indebtedness that is expressly subordinated in right of payment to the Convertible Notes due 2026;</w:t>
            </w:r>
          </w:p>
        </w:tc>
      </w:tr>
    </w:tbl>
    <w:tbl>
      <w:tblPr>
        <w:tblW w:w="9171" w:type="dxa"/>
        <w:jc w:val="left"/>
        <w:tblInd w:w="0" w:type="dxa"/>
        <w:tblLayout w:type="fixed"/>
        <w:tblCellMar>
          <w:top w:w="28" w:type="dxa"/>
          <w:left w:w="28" w:type="dxa"/>
          <w:bottom w:w="28" w:type="dxa"/>
          <w:right w:w="28" w:type="dxa"/>
        </w:tblCellMar>
      </w:tblPr>
      <w:tblGrid>
        <w:gridCol w:w="124"/>
        <w:gridCol w:w="256"/>
        <w:gridCol w:w="87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9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equally in right of payment with all of our existing and future unsecured senior indebtedness;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effectively junior to any of our existing and future secured indebtedness to the extent of the value of the assets securing such indebtedness;</w:t>
            </w:r>
          </w:p>
        </w:tc>
      </w:tr>
    </w:tbl>
    <w:tbl>
      <w:tblPr>
        <w:tblW w:w="8121" w:type="dxa"/>
        <w:jc w:val="left"/>
        <w:tblInd w:w="0" w:type="dxa"/>
        <w:tblLayout w:type="fixed"/>
        <w:tblCellMar>
          <w:top w:w="28" w:type="dxa"/>
          <w:left w:w="28" w:type="dxa"/>
          <w:bottom w:w="28" w:type="dxa"/>
          <w:right w:w="28" w:type="dxa"/>
        </w:tblCellMar>
      </w:tblPr>
      <w:tblGrid>
        <w:gridCol w:w="124"/>
        <w:gridCol w:w="256"/>
        <w:gridCol w:w="7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41"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ranked structurally junior to all indebtedness and other liabilities of our subsidiaries; and</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 guaranteed by our subsidiaries.</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may not redeem the Convertible Notes due 2026</w:t>
      </w:r>
      <w:r>
        <w:rPr>
          <w:rFonts w:ascii="Times New Roman;Times;serif" w:hAnsi="Times New Roman;Times;serif"/>
          <w:spacing w:val="-2"/>
          <w:sz w:val="18"/>
        </w:rPr>
        <w:t xml:space="preserve"> </w:t>
      </w:r>
      <w:r>
        <w:rPr>
          <w:rFonts w:ascii="Arial;Helvetica;sans-serif" w:hAnsi="Arial;Helvetica;sans-serif"/>
          <w:spacing w:val="-2"/>
          <w:sz w:val="20"/>
        </w:rPr>
        <w:t>prior to the maturity date. If a “fundamental change” (as defined in the related indenture) occurs prior to the maturity date of the Convertible Notes due 2026, holders may require us to repurchase for cash all or part of their Convertible Notes due 2026</w:t>
      </w:r>
      <w:r>
        <w:rPr>
          <w:rFonts w:ascii="Times New Roman;Times;serif" w:hAnsi="Times New Roman;Times;serif"/>
          <w:spacing w:val="-2"/>
          <w:sz w:val="18"/>
        </w:rPr>
        <w:t xml:space="preserve"> </w:t>
      </w:r>
      <w:r>
        <w:rPr>
          <w:rFonts w:ascii="Arial;Helvetica;sans-serif" w:hAnsi="Arial;Helvetica;sans-serif"/>
          <w:spacing w:val="-2"/>
          <w:sz w:val="20"/>
        </w:rPr>
        <w:t>at a specified make-whole price equal to 100%</w:t>
      </w:r>
      <w:r>
        <w:rPr>
          <w:rFonts w:ascii="Times New Roman;Times;serif" w:hAnsi="Times New Roman;Times;serif"/>
          <w:spacing w:val="-2"/>
          <w:sz w:val="18"/>
        </w:rPr>
        <w:t xml:space="preserve"> </w:t>
      </w:r>
      <w:r>
        <w:rPr>
          <w:rFonts w:ascii="Arial;Helvetica;sans-serif" w:hAnsi="Arial;Helvetica;sans-serif"/>
          <w:spacing w:val="-2"/>
          <w:sz w:val="20"/>
        </w:rPr>
        <w:t>of the principal amount of such Convertible Notes due 2026, plus accrued and unpaid interest to, but not including, the fundamental change repurchase date.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Subject to the terms of the related indenture, the Convertible Notes due 2026 may be converted at an initial conversion rate of 5.383</w:t>
      </w:r>
      <w:r>
        <w:rPr>
          <w:rFonts w:ascii="Times New Roman;Times;serif" w:hAnsi="Times New Roman;Times;serif"/>
          <w:spacing w:val="-2"/>
          <w:sz w:val="18"/>
        </w:rPr>
        <w:t xml:space="preserve"> </w:t>
      </w:r>
      <w:r>
        <w:rPr>
          <w:rFonts w:ascii="Arial;Helvetica;sans-serif" w:hAnsi="Arial;Helvetica;sans-serif"/>
          <w:spacing w:val="-2"/>
          <w:sz w:val="20"/>
        </w:rPr>
        <w:t>shares of EchoStar’s Class A common stock per $1,000</w:t>
      </w:r>
      <w:r>
        <w:rPr>
          <w:rFonts w:ascii="Times New Roman;Times;serif" w:hAnsi="Times New Roman;Times;serif"/>
          <w:spacing w:val="-2"/>
          <w:sz w:val="18"/>
        </w:rPr>
        <w:t xml:space="preserve"> </w:t>
      </w:r>
      <w:r>
        <w:rPr>
          <w:rFonts w:ascii="Arial;Helvetica;sans-serif" w:hAnsi="Arial;Helvetica;sans-serif"/>
          <w:spacing w:val="-2"/>
          <w:sz w:val="20"/>
        </w:rPr>
        <w:t>principal amount of Convertible Notes due 2026</w:t>
      </w:r>
      <w:r>
        <w:rPr>
          <w:rFonts w:ascii="Times New Roman;Times;serif" w:hAnsi="Times New Roman;Times;serif"/>
          <w:spacing w:val="-2"/>
          <w:sz w:val="18"/>
        </w:rPr>
        <w:t xml:space="preserve"> </w:t>
      </w:r>
      <w:r>
        <w:rPr>
          <w:rFonts w:ascii="Arial;Helvetica;sans-serif" w:hAnsi="Arial;Helvetica;sans-serif"/>
          <w:spacing w:val="-2"/>
          <w:sz w:val="20"/>
        </w:rPr>
        <w:t>(equivalent to an initial conversion price of approximately $185.76</w:t>
      </w:r>
      <w:r>
        <w:rPr>
          <w:rFonts w:ascii="Times New Roman;Times;serif" w:hAnsi="Times New Roman;Times;serif"/>
          <w:spacing w:val="-2"/>
          <w:sz w:val="18"/>
        </w:rPr>
        <w:t xml:space="preserve"> </w:t>
      </w:r>
      <w:r>
        <w:rPr>
          <w:rFonts w:ascii="Arial;Helvetica;sans-serif" w:hAnsi="Arial;Helvetica;sans-serif"/>
          <w:spacing w:val="-2"/>
          <w:sz w:val="20"/>
        </w:rPr>
        <w:t>per share of EchoStar’s Class A common stock) (the “Initial Conversion Rate”), at any time on or after March 15, 2026 through the second scheduled trading day preceding the maturity date. Holders of the Convertible Notes due 2026 will also have the right to convert the Convertible Notes due 2026</w:t>
      </w:r>
      <w:r>
        <w:rPr>
          <w:rFonts w:ascii="Times New Roman;Times;serif" w:hAnsi="Times New Roman;Times;serif"/>
          <w:spacing w:val="-2"/>
          <w:sz w:val="18"/>
        </w:rPr>
        <w:t xml:space="preserve"> </w:t>
      </w:r>
      <w:r>
        <w:rPr>
          <w:rFonts w:ascii="Arial;Helvetica;sans-serif" w:hAnsi="Arial;Helvetica;sans-serif"/>
          <w:spacing w:val="-2"/>
          <w:sz w:val="20"/>
        </w:rPr>
        <w:t xml:space="preserve">at the Initial Conversion Rate prior to March 15, 2026, but only upon the occurrence of specified events described in the related indenture. The conversion rate is subject to anti-dilution adjustments if certain events occur. </w:t>
      </w:r>
      <w:r>
        <w:rPr>
          <w:rFonts w:ascii="Arial;Helvetica;sans-serif" w:hAnsi="Arial;Helvetica;sans-serif"/>
          <w:spacing w:val="-2"/>
          <w:sz w:val="20"/>
          <w:shd w:fill="FFFFFF" w:val="clear"/>
        </w:rPr>
        <w:t>Upon any conversion, EchoStar will settle its conversion obligation in cash, shares of EchoStar’s Class A common stock or a combination of cash and shares of EchoStar’s Class A common stock, at its election.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4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DISH DBS Unsecured Senior Notes</w:t>
      </w:r>
    </w:p>
    <w:p>
      <w:pPr>
        <w:pStyle w:val="TextBody"/>
        <w:bidi w:val="0"/>
        <w:spacing w:before="0" w:after="0"/>
        <w:ind w:left="0" w:right="0" w:hanging="0"/>
        <w:jc w:val="left"/>
        <w:rPr>
          <w:spacing w:val="-2"/>
        </w:rPr>
      </w:pPr>
      <w:r>
        <w:rPr>
          <w:spacing w:val="-2"/>
        </w:rPr>
        <w:t>​</w:t>
      </w:r>
    </w:p>
    <w:p>
      <w:pPr>
        <w:pStyle w:val="TextBody"/>
        <w:bidi w:val="0"/>
        <w:spacing w:before="40" w:after="0"/>
        <w:ind w:left="0" w:right="0" w:hanging="0"/>
        <w:jc w:val="left"/>
        <w:rPr>
          <w:rFonts w:ascii="Cambria" w:hAnsi="Cambria"/>
          <w:color w:val="244061"/>
          <w:sz w:val="24"/>
        </w:rPr>
      </w:pPr>
      <w:r>
        <w:rPr>
          <w:rFonts w:ascii="Arial;Helvetica;sans-serif" w:hAnsi="Arial;Helvetica;sans-serif"/>
          <w:b w:val="false"/>
          <w:i/>
          <w:color w:val="000000"/>
          <w:sz w:val="20"/>
        </w:rPr>
        <w:t>7 3/4%</w:t>
      </w:r>
      <w:r>
        <w:rPr>
          <w:rFonts w:ascii="Cambria" w:hAnsi="Cambria"/>
          <w:color w:val="000000"/>
          <w:sz w:val="24"/>
        </w:rPr>
        <w:t xml:space="preserve"> </w:t>
      </w:r>
      <w:r>
        <w:rPr>
          <w:rFonts w:ascii="Arial;Helvetica;sans-serif" w:hAnsi="Arial;Helvetica;sans-serif"/>
          <w:i/>
          <w:color w:val="000000"/>
          <w:sz w:val="20"/>
        </w:rPr>
        <w:t>Senior Notes due 2026</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spacing w:val="-2"/>
          <w:sz w:val="20"/>
        </w:rPr>
        <w:t>On June 13, 2016, we issued $2.0</w:t>
      </w:r>
      <w:r>
        <w:rPr>
          <w:rFonts w:ascii="Times New Roman;Times;serif" w:hAnsi="Times New Roman;Times;serif"/>
          <w:spacing w:val="-2"/>
          <w:sz w:val="20"/>
        </w:rPr>
        <w:t xml:space="preserve"> </w:t>
      </w:r>
      <w:r>
        <w:rPr>
          <w:rFonts w:ascii="Arial;Helvetica;sans-serif" w:hAnsi="Arial;Helvetica;sans-serif"/>
          <w:spacing w:val="-2"/>
          <w:sz w:val="20"/>
        </w:rPr>
        <w:t>billion aggregate principal amount of our ten-year</w:t>
      </w:r>
      <w:r>
        <w:rPr>
          <w:rFonts w:ascii="Times New Roman;Times;serif" w:hAnsi="Times New Roman;Times;serif"/>
          <w:spacing w:val="-2"/>
          <w:sz w:val="20"/>
        </w:rPr>
        <w:t xml:space="preserve"> </w:t>
      </w:r>
      <w:r>
        <w:rPr>
          <w:rFonts w:ascii="Arial;Helvetica;sans-serif" w:hAnsi="Arial;Helvetica;sans-serif"/>
          <w:b w:val="false"/>
          <w:i w:val="false"/>
          <w:caps w:val="false"/>
          <w:smallCaps w:val="false"/>
          <w:spacing w:val="-2"/>
          <w:sz w:val="20"/>
        </w:rPr>
        <w:t>7 3/4%</w:t>
      </w:r>
      <w:r>
        <w:rPr>
          <w:rFonts w:ascii="Times New Roman;Times;serif" w:hAnsi="Times New Roman;Times;serif"/>
          <w:spacing w:val="-2"/>
          <w:sz w:val="20"/>
        </w:rPr>
        <w:t xml:space="preserve"> </w:t>
      </w:r>
      <w:r>
        <w:rPr>
          <w:rFonts w:ascii="Arial;Helvetica;sans-serif" w:hAnsi="Arial;Helvetica;sans-serif"/>
          <w:spacing w:val="-2"/>
          <w:sz w:val="20"/>
        </w:rPr>
        <w:t xml:space="preserve">Senior Notes due July 1, 2026. Interest accrues at an annual rate of </w:t>
      </w:r>
      <w:r>
        <w:rPr>
          <w:rFonts w:ascii="Arial;Helvetica;sans-serif" w:hAnsi="Arial;Helvetica;sans-serif"/>
          <w:b w:val="false"/>
          <w:i w:val="false"/>
          <w:caps w:val="false"/>
          <w:smallCaps w:val="false"/>
          <w:spacing w:val="-2"/>
          <w:sz w:val="20"/>
        </w:rPr>
        <w:t>7 3/4%</w:t>
      </w:r>
      <w:r>
        <w:rPr>
          <w:rFonts w:ascii="Times New Roman;Times;serif" w:hAnsi="Times New Roman;Times;serif"/>
          <w:spacing w:val="-2"/>
          <w:sz w:val="20"/>
        </w:rPr>
        <w:t xml:space="preserve"> </w:t>
      </w:r>
      <w:r>
        <w:rPr>
          <w:rFonts w:ascii="Arial;Helvetica;sans-serif" w:hAnsi="Arial;Helvetica;sans-serif"/>
          <w:spacing w:val="-2"/>
          <w:sz w:val="20"/>
        </w:rPr>
        <w:t xml:space="preserve">and is payable semi-annually in cash, in arrears on January 1 and July 1 of each year. </w:t>
      </w:r>
      <w:r>
        <w:rPr>
          <w:rFonts w:ascii="Arial;Helvetica;sans-serif" w:hAnsi="Arial;Helvetica;sans-serif"/>
          <w:color w:val="222222"/>
          <w:spacing w:val="-2"/>
          <w:sz w:val="20"/>
          <w:shd w:fill="FFFFFF" w:val="clear"/>
        </w:rPr>
        <w:t>We elected not to make the approximately $78</w:t>
      </w:r>
      <w:r>
        <w:rPr>
          <w:rFonts w:ascii="Times New Roman;Times;serif" w:hAnsi="Times New Roman;Times;serif"/>
          <w:color w:val="222222"/>
          <w:spacing w:val="-2"/>
          <w:sz w:val="20"/>
          <w:shd w:fill="FFFFFF" w:val="clear"/>
        </w:rPr>
        <w:t xml:space="preserve"> </w:t>
      </w:r>
      <w:r>
        <w:rPr>
          <w:rFonts w:ascii="Arial;Helvetica;sans-serif" w:hAnsi="Arial;Helvetica;sans-serif"/>
          <w:color w:val="222222"/>
          <w:spacing w:val="-2"/>
          <w:sz w:val="20"/>
          <w:shd w:fill="FFFFFF" w:val="clear"/>
        </w:rPr>
        <w:t>million cash interest payment due on July 1, 2025 (the “</w:t>
      </w:r>
      <w:r>
        <w:rPr>
          <w:rFonts w:ascii="Arial;Helvetica;sans-serif" w:hAnsi="Arial;Helvetica;sans-serif"/>
          <w:b w:val="false"/>
          <w:i w:val="false"/>
          <w:caps w:val="false"/>
          <w:smallCaps w:val="false"/>
          <w:spacing w:val="-2"/>
          <w:sz w:val="20"/>
        </w:rPr>
        <w:t>7 3/4%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 xml:space="preserve">Interest Payment”). Under the related indenture, such non-payment is a default and we had a 30-day grace period to make the </w:t>
      </w:r>
      <w:r>
        <w:rPr>
          <w:rFonts w:ascii="Arial;Helvetica;sans-serif" w:hAnsi="Arial;Helvetica;sans-serif"/>
          <w:b w:val="false"/>
          <w:i w:val="false"/>
          <w:caps w:val="false"/>
          <w:smallCaps w:val="false"/>
          <w:spacing w:val="-2"/>
          <w:sz w:val="20"/>
        </w:rPr>
        <w:t>7 3/4%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 before such non-payment would have been an Event of Default</w:t>
      </w:r>
      <w:r>
        <w:rPr>
          <w:rFonts w:ascii="Arial;Helvetica;sans-serif" w:hAnsi="Arial;Helvetica;sans-serif"/>
          <w:spacing w:val="-2"/>
          <w:sz w:val="20"/>
        </w:rPr>
        <w:t>, as defined in the related indenture</w:t>
      </w:r>
      <w:r>
        <w:rPr>
          <w:rFonts w:ascii="Arial;Helvetica;sans-serif" w:hAnsi="Arial;Helvetica;sans-serif"/>
          <w:color w:val="222222"/>
          <w:spacing w:val="-2"/>
          <w:sz w:val="20"/>
          <w:shd w:fill="FFFFFF" w:val="clear"/>
        </w:rPr>
        <w:t xml:space="preserve">. On July 30, 2025, we made </w:t>
      </w:r>
      <w:r>
        <w:rPr>
          <w:rFonts w:ascii="Arial;Helvetica;sans-serif" w:hAnsi="Arial;Helvetica;sans-serif"/>
          <w:color w:val="222222"/>
          <w:spacing w:val="-2"/>
          <w:sz w:val="20"/>
        </w:rPr>
        <w:t xml:space="preserve">the scheduled </w:t>
      </w:r>
      <w:r>
        <w:rPr>
          <w:rFonts w:ascii="Arial;Helvetica;sans-serif" w:hAnsi="Arial;Helvetica;sans-serif"/>
          <w:b w:val="false"/>
          <w:i w:val="false"/>
          <w:caps w:val="false"/>
          <w:smallCaps w:val="false"/>
          <w:spacing w:val="-2"/>
          <w:sz w:val="20"/>
        </w:rPr>
        <w:t>7 3/4%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 xml:space="preserve">originally due </w:t>
      </w:r>
      <w:r>
        <w:rPr>
          <w:rFonts w:ascii="Arial;Helvetica;sans-serif" w:hAnsi="Arial;Helvetica;sans-serif"/>
          <w:color w:val="222222"/>
          <w:spacing w:val="-2"/>
          <w:sz w:val="20"/>
          <w:shd w:fill="FFFFFF" w:val="clear"/>
        </w:rPr>
        <w:t>July 1, 2025</w:t>
      </w:r>
      <w:r>
        <w:rPr>
          <w:rFonts w:ascii="Arial;Helvetica;sans-serif" w:hAnsi="Arial;Helvetica;sans-serif"/>
          <w:spacing w:val="-2"/>
          <w:sz w:val="20"/>
          <w:shd w:fill="FFFFFF" w:val="clear"/>
        </w:rPr>
        <w:t xml:space="preserve">, </w:t>
      </w:r>
      <w:r>
        <w:rPr>
          <w:rFonts w:ascii="Arial;Helvetica;sans-serif" w:hAnsi="Arial;Helvetica;sans-serif"/>
          <w:color w:val="222222"/>
          <w:spacing w:val="-2"/>
          <w:sz w:val="20"/>
        </w:rPr>
        <w:t xml:space="preserve">including interest on the defaulted interest, within the applicable </w:t>
      </w:r>
      <w:r>
        <w:rPr>
          <w:rFonts w:ascii="Arial;Helvetica;sans-serif" w:hAnsi="Arial;Helvetica;sans-serif"/>
          <w:color w:val="222222"/>
          <w:spacing w:val="-2"/>
          <w:sz w:val="20"/>
          <w:shd w:fill="FFFFFF" w:val="clear"/>
        </w:rPr>
        <w:t>30-day grace period</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to make such interest payment</w:t>
      </w:r>
      <w:r>
        <w:rPr>
          <w:rFonts w:ascii="Arial;Helvetica;sans-serif" w:hAnsi="Arial;Helvetica;sans-serif"/>
          <w:spacing w:val="-2"/>
          <w:sz w:val="20"/>
        </w:rPr>
        <w:t>.</w:t>
      </w:r>
    </w:p>
    <w:p>
      <w:pPr>
        <w:pStyle w:val="TextBody"/>
        <w:bidi w:val="0"/>
        <w:spacing w:before="0" w:after="0"/>
        <w:ind w:left="0" w:right="0" w:hanging="0"/>
        <w:jc w:val="both"/>
        <w:rPr>
          <w:spacing w:val="-2"/>
        </w:rPr>
      </w:pPr>
      <w:r>
        <w:rPr>
          <w:spacing w:val="-2"/>
        </w:rPr>
        <w:t>​</w:t>
      </w:r>
    </w:p>
    <w:p>
      <w:pPr>
        <w:pStyle w:val="TextBody"/>
        <w:bidi w:val="0"/>
        <w:spacing w:before="40" w:after="0"/>
        <w:ind w:left="0" w:right="0" w:hanging="0"/>
        <w:jc w:val="left"/>
        <w:rPr>
          <w:rFonts w:ascii="Cambria" w:hAnsi="Cambria"/>
          <w:color w:val="244061"/>
          <w:sz w:val="24"/>
        </w:rPr>
      </w:pPr>
      <w:r>
        <w:rPr>
          <w:rFonts w:ascii="Arial;Helvetica;sans-serif" w:hAnsi="Arial;Helvetica;sans-serif"/>
          <w:b w:val="false"/>
          <w:i/>
          <w:color w:val="000000"/>
          <w:sz w:val="20"/>
        </w:rPr>
        <w:t>7 3/8%</w:t>
      </w:r>
      <w:r>
        <w:rPr>
          <w:rFonts w:ascii="Cambria" w:hAnsi="Cambria"/>
          <w:color w:val="000000"/>
          <w:sz w:val="24"/>
        </w:rPr>
        <w:t xml:space="preserve"> </w:t>
      </w:r>
      <w:r>
        <w:rPr>
          <w:rFonts w:ascii="Arial;Helvetica;sans-serif" w:hAnsi="Arial;Helvetica;sans-serif"/>
          <w:i/>
          <w:color w:val="000000"/>
          <w:sz w:val="20"/>
        </w:rPr>
        <w:t>Senior Notes due 2028</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spacing w:val="-2"/>
          <w:sz w:val="20"/>
        </w:rPr>
        <w:t>On July 1, 2020, we issued $1.0</w:t>
      </w:r>
      <w:r>
        <w:rPr>
          <w:rFonts w:ascii="Times New Roman;Times;serif" w:hAnsi="Times New Roman;Times;serif"/>
          <w:spacing w:val="-2"/>
          <w:sz w:val="20"/>
        </w:rPr>
        <w:t xml:space="preserve"> </w:t>
      </w:r>
      <w:r>
        <w:rPr>
          <w:rFonts w:ascii="Arial;Helvetica;sans-serif" w:hAnsi="Arial;Helvetica;sans-serif"/>
          <w:spacing w:val="-2"/>
          <w:sz w:val="20"/>
        </w:rPr>
        <w:t xml:space="preserve">billion aggregate principal amount of our </w:t>
      </w:r>
      <w:r>
        <w:rPr>
          <w:rFonts w:ascii="Arial;Helvetica;sans-serif" w:hAnsi="Arial;Helvetica;sans-serif"/>
          <w:b w:val="false"/>
          <w:i w:val="false"/>
          <w:caps w:val="false"/>
          <w:smallCaps w:val="false"/>
          <w:spacing w:val="-2"/>
          <w:sz w:val="20"/>
        </w:rPr>
        <w:t>7 3/8%</w:t>
      </w:r>
      <w:r>
        <w:rPr>
          <w:rFonts w:ascii="Times New Roman;Times;serif" w:hAnsi="Times New Roman;Times;serif"/>
          <w:spacing w:val="-2"/>
          <w:sz w:val="20"/>
        </w:rPr>
        <w:t xml:space="preserve"> </w:t>
      </w:r>
      <w:r>
        <w:rPr>
          <w:rFonts w:ascii="Arial;Helvetica;sans-serif" w:hAnsi="Arial;Helvetica;sans-serif"/>
          <w:spacing w:val="-2"/>
          <w:sz w:val="20"/>
        </w:rPr>
        <w:t xml:space="preserve">Senior Notes due July 1, 2028. Interest accrues at an annual rate of </w:t>
      </w:r>
      <w:r>
        <w:rPr>
          <w:rFonts w:ascii="Arial;Helvetica;sans-serif" w:hAnsi="Arial;Helvetica;sans-serif"/>
          <w:b w:val="false"/>
          <w:i w:val="false"/>
          <w:caps w:val="false"/>
          <w:smallCaps w:val="false"/>
          <w:spacing w:val="-2"/>
          <w:sz w:val="20"/>
        </w:rPr>
        <w:t>7 3/8%</w:t>
      </w:r>
      <w:r>
        <w:rPr>
          <w:rFonts w:ascii="Times New Roman;Times;serif" w:hAnsi="Times New Roman;Times;serif"/>
          <w:spacing w:val="-2"/>
          <w:sz w:val="20"/>
        </w:rPr>
        <w:t xml:space="preserve"> </w:t>
      </w:r>
      <w:r>
        <w:rPr>
          <w:rFonts w:ascii="Arial;Helvetica;sans-serif" w:hAnsi="Arial;Helvetica;sans-serif"/>
          <w:spacing w:val="-2"/>
          <w:sz w:val="20"/>
        </w:rPr>
        <w:t xml:space="preserve">and is payable semi-annually in cash, in arrears on January 1 and July 1 of each year. </w:t>
      </w:r>
      <w:r>
        <w:rPr>
          <w:rFonts w:ascii="Arial;Helvetica;sans-serif" w:hAnsi="Arial;Helvetica;sans-serif"/>
          <w:spacing w:val="-2"/>
          <w:sz w:val="20"/>
          <w:shd w:fill="FFFFFF" w:val="clear"/>
        </w:rPr>
        <w:t>We elected not to make the approximately $37</w:t>
      </w:r>
      <w:r>
        <w:rPr>
          <w:rFonts w:ascii="Times New Roman;Times;serif" w:hAnsi="Times New Roman;Times;serif"/>
          <w:spacing w:val="-2"/>
          <w:sz w:val="20"/>
          <w:shd w:fill="FFFFFF" w:val="clear"/>
        </w:rPr>
        <w:t xml:space="preserve"> </w:t>
      </w:r>
      <w:r>
        <w:rPr>
          <w:rFonts w:ascii="Arial;Helvetica;sans-serif" w:hAnsi="Arial;Helvetica;sans-serif"/>
          <w:spacing w:val="-2"/>
          <w:sz w:val="20"/>
          <w:shd w:fill="FFFFFF" w:val="clear"/>
        </w:rPr>
        <w:t>million cash interest payment due on July 1, 2025 (the “</w:t>
      </w:r>
      <w:r>
        <w:rPr>
          <w:rFonts w:ascii="Arial;Helvetica;sans-serif" w:hAnsi="Arial;Helvetica;sans-serif"/>
          <w:b w:val="false"/>
          <w:i w:val="false"/>
          <w:caps w:val="false"/>
          <w:smallCaps w:val="false"/>
          <w:spacing w:val="-2"/>
          <w:sz w:val="20"/>
        </w:rPr>
        <w:t>7 3/8%</w:t>
      </w:r>
      <w:r>
        <w:rPr>
          <w:rFonts w:ascii="Times New Roman;Times;serif" w:hAnsi="Times New Roman;Times;serif"/>
          <w:spacing w:val="-2"/>
          <w:sz w:val="20"/>
        </w:rPr>
        <w:t xml:space="preserve"> </w:t>
      </w:r>
      <w:r>
        <w:rPr>
          <w:rFonts w:ascii="Arial;Helvetica;sans-serif" w:hAnsi="Arial;Helvetica;sans-serif"/>
          <w:spacing w:val="-2"/>
          <w:sz w:val="20"/>
          <w:shd w:fill="FFFFFF" w:val="clear"/>
        </w:rPr>
        <w:t xml:space="preserve">Interest Payment”). </w:t>
      </w:r>
      <w:r>
        <w:rPr>
          <w:rFonts w:ascii="Arial;Helvetica;sans-serif" w:hAnsi="Arial;Helvetica;sans-serif"/>
          <w:color w:val="222222"/>
          <w:spacing w:val="-2"/>
          <w:sz w:val="20"/>
          <w:shd w:fill="FFFFFF" w:val="clear"/>
        </w:rPr>
        <w:t xml:space="preserve">Under the related indenture, such non-payment is a default and we had a 30-day grace period to make the </w:t>
      </w:r>
      <w:r>
        <w:rPr>
          <w:rFonts w:ascii="Arial;Helvetica;sans-serif" w:hAnsi="Arial;Helvetica;sans-serif"/>
          <w:b w:val="false"/>
          <w:i w:val="false"/>
          <w:caps w:val="false"/>
          <w:smallCaps w:val="false"/>
          <w:spacing w:val="-2"/>
          <w:sz w:val="20"/>
        </w:rPr>
        <w:t>7</w:t>
      </w:r>
      <w:r>
        <w:rPr>
          <w:rFonts w:ascii="Times New Roman;Times;serif" w:hAnsi="Times New Roman;Times;serif"/>
          <w:caps w:val="false"/>
          <w:smallCaps w:val="false"/>
          <w:spacing w:val="-2"/>
          <w:sz w:val="20"/>
          <w:shd w:fill="FFFFFF" w:val="clear"/>
        </w:rPr>
        <w:t> </w:t>
      </w:r>
      <w:r>
        <w:rPr>
          <w:rFonts w:ascii="Arial;Helvetica;sans-serif" w:hAnsi="Arial;Helvetica;sans-serif"/>
          <w:b w:val="false"/>
          <w:i w:val="false"/>
          <w:caps w:val="false"/>
          <w:smallCaps w:val="false"/>
          <w:spacing w:val="-2"/>
          <w:sz w:val="20"/>
        </w:rPr>
        <w:t>3/8%</w:t>
      </w:r>
      <w:r>
        <w:rPr>
          <w:rFonts w:ascii="Times New Roman;Times;serif" w:hAnsi="Times New Roman;Times;serif"/>
          <w:spacing w:val="-2"/>
          <w:sz w:val="20"/>
        </w:rPr>
        <w:t xml:space="preserve"> </w:t>
      </w:r>
      <w:r>
        <w:rPr>
          <w:rFonts w:ascii="Arial;Helvetica;sans-serif" w:hAnsi="Arial;Helvetica;sans-serif"/>
          <w:spacing w:val="-2"/>
          <w:sz w:val="20"/>
          <w:shd w:fill="FFFFFF" w:val="clear"/>
        </w:rPr>
        <w:t>Interest Payment</w:t>
      </w:r>
      <w:r>
        <w:rPr>
          <w:rFonts w:ascii="Times New Roman;Times;serif" w:hAnsi="Times New Roman;Times;serif"/>
          <w:color w:val="222222"/>
          <w:spacing w:val="-2"/>
          <w:sz w:val="20"/>
          <w:shd w:fill="FFFFFF" w:val="clear"/>
        </w:rPr>
        <w:t xml:space="preserve"> </w:t>
      </w:r>
      <w:r>
        <w:rPr>
          <w:rFonts w:ascii="Arial;Helvetica;sans-serif" w:hAnsi="Arial;Helvetica;sans-serif"/>
          <w:color w:val="222222"/>
          <w:spacing w:val="-2"/>
          <w:sz w:val="20"/>
          <w:shd w:fill="FFFFFF" w:val="clear"/>
        </w:rPr>
        <w:t>before such non-payment would have been an Event of Default</w:t>
      </w:r>
      <w:r>
        <w:rPr>
          <w:rFonts w:ascii="Arial;Helvetica;sans-serif" w:hAnsi="Arial;Helvetica;sans-serif"/>
          <w:spacing w:val="-2"/>
          <w:sz w:val="20"/>
        </w:rPr>
        <w:t>, as defined in the related indenture</w:t>
      </w:r>
      <w:r>
        <w:rPr>
          <w:rFonts w:ascii="Arial;Helvetica;sans-serif" w:hAnsi="Arial;Helvetica;sans-serif"/>
          <w:color w:val="222222"/>
          <w:spacing w:val="-2"/>
          <w:sz w:val="20"/>
          <w:shd w:fill="FFFFFF" w:val="clear"/>
        </w:rPr>
        <w:t xml:space="preserve">. On July 30, 2025, we made </w:t>
      </w:r>
      <w:r>
        <w:rPr>
          <w:rFonts w:ascii="Arial;Helvetica;sans-serif" w:hAnsi="Arial;Helvetica;sans-serif"/>
          <w:color w:val="222222"/>
          <w:spacing w:val="-2"/>
          <w:sz w:val="20"/>
        </w:rPr>
        <w:t xml:space="preserve">the scheduled </w:t>
      </w:r>
      <w:r>
        <w:rPr>
          <w:rFonts w:ascii="Arial;Helvetica;sans-serif" w:hAnsi="Arial;Helvetica;sans-serif"/>
          <w:b w:val="false"/>
          <w:i w:val="false"/>
          <w:caps w:val="false"/>
          <w:smallCaps w:val="false"/>
          <w:spacing w:val="-2"/>
          <w:sz w:val="20"/>
        </w:rPr>
        <w:t>7 3/8%</w:t>
      </w:r>
      <w:r>
        <w:rPr>
          <w:rFonts w:ascii="Times New Roman;Times;serif" w:hAnsi="Times New Roman;Times;serif"/>
          <w:spacing w:val="-2"/>
          <w:sz w:val="20"/>
        </w:rPr>
        <w:t xml:space="preserve"> </w:t>
      </w:r>
      <w:r>
        <w:rPr>
          <w:rFonts w:ascii="Arial;Helvetica;sans-serif" w:hAnsi="Arial;Helvetica;sans-serif"/>
          <w:spacing w:val="-2"/>
          <w:sz w:val="20"/>
          <w:shd w:fill="FFFFFF" w:val="clear"/>
        </w:rPr>
        <w:t>Interest Payment</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 xml:space="preserve">originally due </w:t>
      </w:r>
      <w:r>
        <w:rPr>
          <w:rFonts w:ascii="Arial;Helvetica;sans-serif" w:hAnsi="Arial;Helvetica;sans-serif"/>
          <w:color w:val="222222"/>
          <w:spacing w:val="-2"/>
          <w:sz w:val="20"/>
          <w:shd w:fill="FFFFFF" w:val="clear"/>
        </w:rPr>
        <w:t>July 1, 2025</w:t>
      </w:r>
      <w:r>
        <w:rPr>
          <w:rFonts w:ascii="Arial;Helvetica;sans-serif" w:hAnsi="Arial;Helvetica;sans-serif"/>
          <w:spacing w:val="-2"/>
          <w:sz w:val="20"/>
          <w:shd w:fill="FFFFFF" w:val="clear"/>
        </w:rPr>
        <w:t xml:space="preserve">, </w:t>
      </w:r>
      <w:r>
        <w:rPr>
          <w:rFonts w:ascii="Arial;Helvetica;sans-serif" w:hAnsi="Arial;Helvetica;sans-serif"/>
          <w:color w:val="222222"/>
          <w:spacing w:val="-2"/>
          <w:sz w:val="20"/>
        </w:rPr>
        <w:t xml:space="preserve">including interest on the defaulted interest, within the applicable </w:t>
      </w:r>
      <w:r>
        <w:rPr>
          <w:rFonts w:ascii="Arial;Helvetica;sans-serif" w:hAnsi="Arial;Helvetica;sans-serif"/>
          <w:color w:val="222222"/>
          <w:spacing w:val="-2"/>
          <w:sz w:val="20"/>
          <w:shd w:fill="FFFFFF" w:val="clear"/>
        </w:rPr>
        <w:t>30-day grace period</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to make such interest payment</w:t>
      </w:r>
      <w:r>
        <w:rPr>
          <w:rFonts w:ascii="Arial;Helvetica;sans-serif" w:hAnsi="Arial;Helvetica;sans-serif"/>
          <w:spacing w:val="-2"/>
          <w:sz w:val="20"/>
        </w:rPr>
        <w:t>.</w:t>
      </w:r>
    </w:p>
    <w:p>
      <w:pPr>
        <w:pStyle w:val="TextBody"/>
        <w:bidi w:val="0"/>
        <w:spacing w:before="0" w:after="0"/>
        <w:ind w:left="0" w:right="0" w:hanging="0"/>
        <w:jc w:val="both"/>
        <w:rPr>
          <w:spacing w:val="-2"/>
        </w:rPr>
      </w:pPr>
      <w:r>
        <w:rPr>
          <w:spacing w:val="-2"/>
        </w:rPr>
        <w:t>​</w:t>
      </w:r>
    </w:p>
    <w:p>
      <w:pPr>
        <w:pStyle w:val="TextBody"/>
        <w:bidi w:val="0"/>
        <w:spacing w:before="40" w:after="0"/>
        <w:ind w:left="0" w:right="0" w:hanging="0"/>
        <w:jc w:val="left"/>
        <w:rPr>
          <w:rFonts w:ascii="Cambria" w:hAnsi="Cambria"/>
          <w:color w:val="244061"/>
          <w:sz w:val="24"/>
        </w:rPr>
      </w:pPr>
      <w:r>
        <w:rPr>
          <w:rFonts w:ascii="Arial;Helvetica;sans-serif" w:hAnsi="Arial;Helvetica;sans-serif"/>
          <w:b w:val="false"/>
          <w:i/>
          <w:color w:val="000000"/>
          <w:sz w:val="20"/>
        </w:rPr>
        <w:t>5 1/8%</w:t>
      </w:r>
      <w:r>
        <w:rPr>
          <w:rFonts w:ascii="Cambria" w:hAnsi="Cambria"/>
          <w:color w:val="000000"/>
          <w:sz w:val="24"/>
        </w:rPr>
        <w:t xml:space="preserve"> </w:t>
      </w:r>
      <w:r>
        <w:rPr>
          <w:rFonts w:ascii="Arial;Helvetica;sans-serif" w:hAnsi="Arial;Helvetica;sans-serif"/>
          <w:i/>
          <w:color w:val="000000"/>
          <w:sz w:val="20"/>
        </w:rPr>
        <w:t>Senior Notes due 2029</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spacing w:val="-2"/>
          <w:sz w:val="20"/>
        </w:rPr>
        <w:t>On May 24, 2021, we issued $1.5</w:t>
      </w:r>
      <w:r>
        <w:rPr>
          <w:rFonts w:ascii="Times New Roman;Times;serif" w:hAnsi="Times New Roman;Times;serif"/>
          <w:spacing w:val="-2"/>
          <w:sz w:val="20"/>
        </w:rPr>
        <w:t xml:space="preserve"> </w:t>
      </w:r>
      <w:r>
        <w:rPr>
          <w:rFonts w:ascii="Arial;Helvetica;sans-serif" w:hAnsi="Arial;Helvetica;sans-serif"/>
          <w:spacing w:val="-2"/>
          <w:sz w:val="20"/>
        </w:rPr>
        <w:t xml:space="preserve">billion aggregate principal amount of our </w:t>
      </w:r>
      <w:r>
        <w:rPr>
          <w:rFonts w:ascii="Arial;Helvetica;sans-serif" w:hAnsi="Arial;Helvetica;sans-serif"/>
          <w:b w:val="false"/>
          <w:i w:val="false"/>
          <w:caps w:val="false"/>
          <w:smallCaps w:val="false"/>
          <w:spacing w:val="-2"/>
          <w:sz w:val="20"/>
        </w:rPr>
        <w:t>5 1/8%</w:t>
      </w:r>
      <w:r>
        <w:rPr>
          <w:rFonts w:ascii="Times New Roman;Times;serif" w:hAnsi="Times New Roman;Times;serif"/>
          <w:spacing w:val="-2"/>
          <w:sz w:val="20"/>
        </w:rPr>
        <w:t xml:space="preserve"> </w:t>
      </w:r>
      <w:r>
        <w:rPr>
          <w:rFonts w:ascii="Arial;Helvetica;sans-serif" w:hAnsi="Arial;Helvetica;sans-serif"/>
          <w:spacing w:val="-2"/>
          <w:sz w:val="20"/>
        </w:rPr>
        <w:t xml:space="preserve">Senior Notes due June 1, 2029. Interest accrues at an annual rate of </w:t>
      </w:r>
      <w:r>
        <w:rPr>
          <w:rFonts w:ascii="Arial;Helvetica;sans-serif" w:hAnsi="Arial;Helvetica;sans-serif"/>
          <w:b w:val="false"/>
          <w:i w:val="false"/>
          <w:caps w:val="false"/>
          <w:smallCaps w:val="false"/>
          <w:spacing w:val="-2"/>
          <w:sz w:val="20"/>
        </w:rPr>
        <w:t>5 1/8%</w:t>
      </w:r>
      <w:r>
        <w:rPr>
          <w:rFonts w:ascii="Times New Roman;Times;serif" w:hAnsi="Times New Roman;Times;serif"/>
          <w:spacing w:val="-2"/>
          <w:sz w:val="20"/>
        </w:rPr>
        <w:t xml:space="preserve"> </w:t>
      </w:r>
      <w:r>
        <w:rPr>
          <w:rFonts w:ascii="Arial;Helvetica;sans-serif" w:hAnsi="Arial;Helvetica;sans-serif"/>
          <w:spacing w:val="-2"/>
          <w:sz w:val="20"/>
        </w:rPr>
        <w:t xml:space="preserve">and is payable semi-annually in cash, in arrears on June 1 and December 1 of each year. </w:t>
      </w:r>
      <w:r>
        <w:rPr>
          <w:rFonts w:ascii="Arial;Helvetica;sans-serif" w:hAnsi="Arial;Helvetica;sans-serif"/>
          <w:spacing w:val="-2"/>
          <w:sz w:val="20"/>
          <w:shd w:fill="FFFFFF" w:val="clear"/>
        </w:rPr>
        <w:t>We elected not to make the approximately $38</w:t>
      </w:r>
      <w:r>
        <w:rPr>
          <w:rFonts w:ascii="Times New Roman;Times;serif" w:hAnsi="Times New Roman;Times;serif"/>
          <w:spacing w:val="-2"/>
          <w:sz w:val="20"/>
          <w:shd w:fill="FFFFFF" w:val="clear"/>
        </w:rPr>
        <w:t xml:space="preserve"> </w:t>
      </w:r>
      <w:r>
        <w:rPr>
          <w:rFonts w:ascii="Arial;Helvetica;sans-serif" w:hAnsi="Arial;Helvetica;sans-serif"/>
          <w:spacing w:val="-2"/>
          <w:sz w:val="20"/>
          <w:shd w:fill="FFFFFF" w:val="clear"/>
        </w:rPr>
        <w:t>million cash interest payment due on June 2, 2025 (the “</w:t>
      </w:r>
      <w:r>
        <w:rPr>
          <w:rFonts w:ascii="Arial;Helvetica;sans-serif" w:hAnsi="Arial;Helvetica;sans-serif"/>
          <w:b w:val="false"/>
          <w:i w:val="false"/>
          <w:caps w:val="false"/>
          <w:smallCaps w:val="false"/>
          <w:spacing w:val="-2"/>
          <w:sz w:val="20"/>
        </w:rPr>
        <w:t>5 1/8%</w:t>
      </w:r>
      <w:r>
        <w:rPr>
          <w:rFonts w:ascii="Times New Roman;Times;serif" w:hAnsi="Times New Roman;Times;serif"/>
          <w:spacing w:val="-2"/>
          <w:sz w:val="20"/>
        </w:rPr>
        <w:t xml:space="preserve"> </w:t>
      </w:r>
      <w:r>
        <w:rPr>
          <w:rFonts w:ascii="Arial;Helvetica;sans-serif" w:hAnsi="Arial;Helvetica;sans-serif"/>
          <w:spacing w:val="-2"/>
          <w:sz w:val="20"/>
          <w:shd w:fill="FFFFFF" w:val="clear"/>
        </w:rPr>
        <w:t>Interest Payment”). Under the related indenture, such non-payment is a default and we had a 30-day</w:t>
      </w:r>
      <w:r>
        <w:rPr>
          <w:rFonts w:ascii="Times New Roman;Times;serif" w:hAnsi="Times New Roman;Times;serif"/>
          <w:color w:val="222222"/>
          <w:spacing w:val="-2"/>
          <w:sz w:val="20"/>
          <w:shd w:fill="FFFFFF" w:val="clear"/>
        </w:rPr>
        <w:t xml:space="preserve"> </w:t>
      </w:r>
      <w:r>
        <w:rPr>
          <w:rFonts w:ascii="Arial;Helvetica;sans-serif" w:hAnsi="Arial;Helvetica;sans-serif"/>
          <w:color w:val="222222"/>
          <w:spacing w:val="-2"/>
          <w:sz w:val="20"/>
          <w:shd w:fill="FFFFFF" w:val="clear"/>
        </w:rPr>
        <w:t xml:space="preserve">grace period to make the </w:t>
      </w:r>
      <w:r>
        <w:rPr>
          <w:rFonts w:ascii="Arial;Helvetica;sans-serif" w:hAnsi="Arial;Helvetica;sans-serif"/>
          <w:b w:val="false"/>
          <w:i w:val="false"/>
          <w:caps w:val="false"/>
          <w:smallCaps w:val="false"/>
          <w:spacing w:val="-2"/>
          <w:sz w:val="20"/>
        </w:rPr>
        <w:t>5 1/8%</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 before such non-payment would have been an Event of Default</w:t>
      </w:r>
      <w:r>
        <w:rPr>
          <w:rFonts w:ascii="Arial;Helvetica;sans-serif" w:hAnsi="Arial;Helvetica;sans-serif"/>
          <w:spacing w:val="-2"/>
          <w:sz w:val="20"/>
        </w:rPr>
        <w:t>, as defined in the related indenture</w:t>
      </w:r>
      <w:r>
        <w:rPr>
          <w:rFonts w:ascii="Arial;Helvetica;sans-serif" w:hAnsi="Arial;Helvetica;sans-serif"/>
          <w:color w:val="222222"/>
          <w:spacing w:val="-2"/>
          <w:sz w:val="20"/>
          <w:shd w:fill="FFFFFF" w:val="clear"/>
        </w:rPr>
        <w:t>.</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shd w:fill="FFFFFF" w:val="clear"/>
        </w:rPr>
        <w:t xml:space="preserve">On June 27, 2025, we made </w:t>
      </w:r>
      <w:r>
        <w:rPr>
          <w:rFonts w:ascii="Arial;Helvetica;sans-serif" w:hAnsi="Arial;Helvetica;sans-serif"/>
          <w:color w:val="222222"/>
          <w:spacing w:val="-2"/>
          <w:sz w:val="20"/>
        </w:rPr>
        <w:t xml:space="preserve">the scheduled </w:t>
      </w:r>
      <w:r>
        <w:rPr>
          <w:rFonts w:ascii="Arial;Helvetica;sans-serif" w:hAnsi="Arial;Helvetica;sans-serif"/>
          <w:b w:val="false"/>
          <w:i w:val="false"/>
          <w:caps w:val="false"/>
          <w:smallCaps w:val="false"/>
          <w:spacing w:val="-2"/>
          <w:sz w:val="20"/>
        </w:rPr>
        <w:t>5 1/8%</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 xml:space="preserve">originally due </w:t>
      </w:r>
      <w:r>
        <w:rPr>
          <w:rFonts w:ascii="Arial;Helvetica;sans-serif" w:hAnsi="Arial;Helvetica;sans-serif"/>
          <w:spacing w:val="-2"/>
          <w:sz w:val="20"/>
          <w:shd w:fill="FFFFFF" w:val="clear"/>
        </w:rPr>
        <w:t xml:space="preserve">June 2, 2025, </w:t>
      </w:r>
      <w:r>
        <w:rPr>
          <w:rFonts w:ascii="Arial;Helvetica;sans-serif" w:hAnsi="Arial;Helvetica;sans-serif"/>
          <w:color w:val="222222"/>
          <w:spacing w:val="-2"/>
          <w:sz w:val="20"/>
        </w:rPr>
        <w:t>including interest on the defaulted interest, within the applicable 30-day grace period to make such interest payment</w:t>
      </w:r>
      <w:r>
        <w:rPr>
          <w:rFonts w:ascii="Arial;Helvetica;sans-serif" w:hAnsi="Arial;Helvetica;sans-serif"/>
          <w:spacing w:val="-2"/>
          <w:sz w:val="20"/>
        </w:rPr>
        <w:t>.</w:t>
      </w:r>
    </w:p>
    <w:p>
      <w:pPr>
        <w:pStyle w:val="TextBody"/>
        <w:bidi w:val="0"/>
        <w:spacing w:before="0" w:after="0"/>
        <w:ind w:left="0" w:right="0" w:hanging="0"/>
        <w:jc w:val="left"/>
        <w:rPr/>
      </w:pPr>
      <w:r>
        <w:rPr/>
        <w:t>​</w:t>
      </w:r>
    </w:p>
    <w:p>
      <w:pPr>
        <w:pStyle w:val="TextBody"/>
        <w:bidi w:val="0"/>
        <w:spacing w:before="4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DISH DBS Senior Secured Notes</w:t>
      </w:r>
    </w:p>
    <w:p>
      <w:pPr>
        <w:pStyle w:val="TextBody"/>
        <w:bidi w:val="0"/>
        <w:spacing w:before="40" w:after="0"/>
        <w:ind w:left="0" w:right="0" w:hanging="0"/>
        <w:jc w:val="left"/>
        <w:rPr>
          <w:color w:val="000000"/>
        </w:rPr>
      </w:pPr>
      <w:r>
        <w:rPr>
          <w:color w:val="000000"/>
        </w:rPr>
        <w:t>​</w:t>
      </w:r>
    </w:p>
    <w:p>
      <w:pPr>
        <w:pStyle w:val="TextBody"/>
        <w:bidi w:val="0"/>
        <w:spacing w:before="40" w:after="0"/>
        <w:ind w:left="0" w:right="0" w:hanging="0"/>
        <w:jc w:val="left"/>
        <w:rPr>
          <w:rFonts w:ascii="Cambria" w:hAnsi="Cambria"/>
          <w:color w:val="244061"/>
          <w:sz w:val="24"/>
        </w:rPr>
      </w:pPr>
      <w:r>
        <w:rPr>
          <w:rFonts w:ascii="Arial;Helvetica;sans-serif" w:hAnsi="Arial;Helvetica;sans-serif"/>
          <w:b w:val="false"/>
          <w:i/>
          <w:color w:val="000000"/>
          <w:sz w:val="20"/>
        </w:rPr>
        <w:t>5 1/4%</w:t>
      </w:r>
      <w:r>
        <w:rPr>
          <w:rFonts w:ascii="Cambria" w:hAnsi="Cambria"/>
          <w:color w:val="000000"/>
          <w:sz w:val="24"/>
        </w:rPr>
        <w:t xml:space="preserve"> </w:t>
      </w:r>
      <w:r>
        <w:rPr>
          <w:rFonts w:ascii="Arial;Helvetica;sans-serif" w:hAnsi="Arial;Helvetica;sans-serif"/>
          <w:i/>
          <w:color w:val="000000"/>
          <w:sz w:val="20"/>
        </w:rPr>
        <w:t>Senior Secured Notes due 2026</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spacing w:val="-2"/>
          <w:sz w:val="20"/>
        </w:rPr>
        <w:t>On November 26, 2021, we issued $2.750</w:t>
      </w:r>
      <w:r>
        <w:rPr>
          <w:rFonts w:ascii="Times New Roman;Times;serif" w:hAnsi="Times New Roman;Times;serif"/>
          <w:spacing w:val="-2"/>
          <w:sz w:val="20"/>
        </w:rPr>
        <w:t xml:space="preserve"> </w:t>
      </w:r>
      <w:r>
        <w:rPr>
          <w:rFonts w:ascii="Arial;Helvetica;sans-serif" w:hAnsi="Arial;Helvetica;sans-serif"/>
          <w:spacing w:val="-2"/>
          <w:sz w:val="20"/>
        </w:rPr>
        <w:t xml:space="preserve">billion aggregate principal amount of our </w:t>
      </w:r>
      <w:r>
        <w:rPr>
          <w:rFonts w:ascii="Arial;Helvetica;sans-serif" w:hAnsi="Arial;Helvetica;sans-serif"/>
          <w:b w:val="false"/>
          <w:i w:val="false"/>
          <w:caps w:val="false"/>
          <w:smallCaps w:val="false"/>
          <w:spacing w:val="-2"/>
          <w:sz w:val="20"/>
        </w:rPr>
        <w:t>5 1/4%</w:t>
      </w:r>
      <w:r>
        <w:rPr>
          <w:rFonts w:ascii="Times New Roman;Times;serif" w:hAnsi="Times New Roman;Times;serif"/>
          <w:spacing w:val="-2"/>
          <w:sz w:val="20"/>
        </w:rPr>
        <w:t xml:space="preserve"> </w:t>
      </w:r>
      <w:r>
        <w:rPr>
          <w:rFonts w:ascii="Arial;Helvetica;sans-serif" w:hAnsi="Arial;Helvetica;sans-serif"/>
          <w:spacing w:val="-2"/>
          <w:sz w:val="20"/>
        </w:rPr>
        <w:t xml:space="preserve">Senior Secured Notes due December 1, 2026. Interest accrues at an annual rate of </w:t>
      </w:r>
      <w:r>
        <w:rPr>
          <w:rFonts w:ascii="Arial;Helvetica;sans-serif" w:hAnsi="Arial;Helvetica;sans-serif"/>
          <w:b w:val="false"/>
          <w:i w:val="false"/>
          <w:caps w:val="false"/>
          <w:smallCaps w:val="false"/>
          <w:spacing w:val="-2"/>
          <w:sz w:val="20"/>
        </w:rPr>
        <w:t>5 1/4%</w:t>
      </w:r>
      <w:r>
        <w:rPr>
          <w:rFonts w:ascii="Times New Roman;Times;serif" w:hAnsi="Times New Roman;Times;serif"/>
          <w:spacing w:val="-2"/>
          <w:sz w:val="20"/>
        </w:rPr>
        <w:t xml:space="preserve"> </w:t>
      </w:r>
      <w:r>
        <w:rPr>
          <w:rFonts w:ascii="Arial;Helvetica;sans-serif" w:hAnsi="Arial;Helvetica;sans-serif"/>
          <w:spacing w:val="-2"/>
          <w:sz w:val="20"/>
        </w:rPr>
        <w:t>and is payable semi-annually in cash, in arrears on June 1 and December 1 of each year. W</w:t>
      </w:r>
      <w:r>
        <w:rPr>
          <w:rFonts w:ascii="Arial;Helvetica;sans-serif" w:hAnsi="Arial;Helvetica;sans-serif"/>
          <w:color w:val="222222"/>
          <w:spacing w:val="-2"/>
          <w:sz w:val="20"/>
          <w:shd w:fill="FFFFFF" w:val="clear"/>
        </w:rPr>
        <w:t>e elected not to make the approximately $72</w:t>
      </w:r>
      <w:r>
        <w:rPr>
          <w:rFonts w:ascii="Times New Roman;Times;serif" w:hAnsi="Times New Roman;Times;serif"/>
          <w:color w:val="222222"/>
          <w:spacing w:val="-2"/>
          <w:sz w:val="20"/>
          <w:shd w:fill="FFFFFF" w:val="clear"/>
        </w:rPr>
        <w:t xml:space="preserve"> </w:t>
      </w:r>
      <w:r>
        <w:rPr>
          <w:rFonts w:ascii="Arial;Helvetica;sans-serif" w:hAnsi="Arial;Helvetica;sans-serif"/>
          <w:color w:val="222222"/>
          <w:spacing w:val="-2"/>
          <w:sz w:val="20"/>
          <w:shd w:fill="FFFFFF" w:val="clear"/>
        </w:rPr>
        <w:t>million cash interest payment due on June 2, 2025 (the “</w:t>
      </w:r>
      <w:r>
        <w:rPr>
          <w:rFonts w:ascii="Arial;Helvetica;sans-serif" w:hAnsi="Arial;Helvetica;sans-serif"/>
          <w:b w:val="false"/>
          <w:i w:val="false"/>
          <w:caps w:val="false"/>
          <w:smallCaps w:val="false"/>
          <w:spacing w:val="-2"/>
          <w:sz w:val="20"/>
        </w:rPr>
        <w:t>5 1/4%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 xml:space="preserve">Interest Payment”). Under the related indenture, such non-payment is a default and we had a 30-day grace period to make the </w:t>
      </w:r>
      <w:r>
        <w:rPr>
          <w:rFonts w:ascii="Arial;Helvetica;sans-serif" w:hAnsi="Arial;Helvetica;sans-serif"/>
          <w:b w:val="false"/>
          <w:i w:val="false"/>
          <w:caps w:val="false"/>
          <w:smallCaps w:val="false"/>
          <w:spacing w:val="-2"/>
          <w:sz w:val="20"/>
        </w:rPr>
        <w:t>5 1/4%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 before such non-payment would have been an Event of Default</w:t>
      </w:r>
      <w:r>
        <w:rPr>
          <w:rFonts w:ascii="Arial;Helvetica;sans-serif" w:hAnsi="Arial;Helvetica;sans-serif"/>
          <w:spacing w:val="-2"/>
          <w:sz w:val="20"/>
        </w:rPr>
        <w:t>, as defined in the related indenture</w:t>
      </w:r>
      <w:r>
        <w:rPr>
          <w:rFonts w:ascii="Arial;Helvetica;sans-serif" w:hAnsi="Arial;Helvetica;sans-serif"/>
          <w:color w:val="222222"/>
          <w:spacing w:val="-2"/>
          <w:sz w:val="20"/>
          <w:shd w:fill="FFFFFF" w:val="clear"/>
        </w:rPr>
        <w:t xml:space="preserve">. On June 27, 2025, we made </w:t>
      </w:r>
      <w:r>
        <w:rPr>
          <w:rFonts w:ascii="Arial;Helvetica;sans-serif" w:hAnsi="Arial;Helvetica;sans-serif"/>
          <w:color w:val="222222"/>
          <w:spacing w:val="-2"/>
          <w:sz w:val="20"/>
        </w:rPr>
        <w:t xml:space="preserve">the scheduled </w:t>
      </w:r>
      <w:r>
        <w:rPr>
          <w:rFonts w:ascii="Arial;Helvetica;sans-serif" w:hAnsi="Arial;Helvetica;sans-serif"/>
          <w:b w:val="false"/>
          <w:i w:val="false"/>
          <w:caps w:val="false"/>
          <w:smallCaps w:val="false"/>
          <w:spacing w:val="-2"/>
          <w:sz w:val="20"/>
        </w:rPr>
        <w:t>5 1/4%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 xml:space="preserve">originally due </w:t>
      </w:r>
      <w:r>
        <w:rPr>
          <w:rFonts w:ascii="Arial;Helvetica;sans-serif" w:hAnsi="Arial;Helvetica;sans-serif"/>
          <w:spacing w:val="-2"/>
          <w:sz w:val="20"/>
          <w:shd w:fill="FFFFFF" w:val="clear"/>
        </w:rPr>
        <w:t xml:space="preserve">June 2, 2025, </w:t>
      </w:r>
      <w:r>
        <w:rPr>
          <w:rFonts w:ascii="Arial;Helvetica;sans-serif" w:hAnsi="Arial;Helvetica;sans-serif"/>
          <w:color w:val="222222"/>
          <w:spacing w:val="-2"/>
          <w:sz w:val="20"/>
        </w:rPr>
        <w:t>including interest on the defaulted interest, within the applicable 30-day grace period to make such interest payment</w:t>
      </w:r>
      <w:r>
        <w:rPr>
          <w:rFonts w:ascii="Arial;Helvetica;sans-serif" w:hAnsi="Arial;Helvetica;sans-serif"/>
          <w:spacing w:val="-2"/>
          <w:sz w:val="20"/>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Cambria" w:hAnsi="Cambria"/>
          <w:color w:val="244061"/>
          <w:sz w:val="24"/>
        </w:rPr>
      </w:pPr>
      <w:r>
        <w:rPr>
          <w:rFonts w:ascii="Arial;Helvetica;sans-serif" w:hAnsi="Arial;Helvetica;sans-serif"/>
          <w:b w:val="false"/>
          <w:i/>
          <w:color w:val="000000"/>
          <w:sz w:val="20"/>
        </w:rPr>
        <w:t>5 3/4%</w:t>
      </w:r>
      <w:r>
        <w:rPr>
          <w:rFonts w:ascii="Cambria" w:hAnsi="Cambria"/>
          <w:color w:val="000000"/>
          <w:sz w:val="24"/>
        </w:rPr>
        <w:t xml:space="preserve"> </w:t>
      </w:r>
      <w:r>
        <w:rPr>
          <w:rFonts w:ascii="Arial;Helvetica;sans-serif" w:hAnsi="Arial;Helvetica;sans-serif"/>
          <w:i/>
          <w:color w:val="000000"/>
          <w:sz w:val="20"/>
        </w:rPr>
        <w:t>Senior Secured Notes due 2028</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spacing w:val="-2"/>
          <w:sz w:val="20"/>
        </w:rPr>
        <w:t>On November 26, 2021, we issued $2.5</w:t>
      </w:r>
      <w:r>
        <w:rPr>
          <w:rFonts w:ascii="Times New Roman;Times;serif" w:hAnsi="Times New Roman;Times;serif"/>
          <w:spacing w:val="-2"/>
          <w:sz w:val="20"/>
        </w:rPr>
        <w:t xml:space="preserve"> </w:t>
      </w:r>
      <w:r>
        <w:rPr>
          <w:rFonts w:ascii="Arial;Helvetica;sans-serif" w:hAnsi="Arial;Helvetica;sans-serif"/>
          <w:spacing w:val="-2"/>
          <w:sz w:val="20"/>
        </w:rPr>
        <w:t xml:space="preserve">billion aggregate principal amount of our </w:t>
      </w:r>
      <w:r>
        <w:rPr>
          <w:rFonts w:ascii="Arial;Helvetica;sans-serif" w:hAnsi="Arial;Helvetica;sans-serif"/>
          <w:b w:val="false"/>
          <w:i w:val="false"/>
          <w:caps w:val="false"/>
          <w:smallCaps w:val="false"/>
          <w:spacing w:val="-2"/>
          <w:sz w:val="20"/>
        </w:rPr>
        <w:t>5 3/4%</w:t>
      </w:r>
      <w:r>
        <w:rPr>
          <w:rFonts w:ascii="Times New Roman;Times;serif" w:hAnsi="Times New Roman;Times;serif"/>
          <w:spacing w:val="-2"/>
          <w:sz w:val="20"/>
        </w:rPr>
        <w:t xml:space="preserve"> </w:t>
      </w:r>
      <w:r>
        <w:rPr>
          <w:rFonts w:ascii="Arial;Helvetica;sans-serif" w:hAnsi="Arial;Helvetica;sans-serif"/>
          <w:spacing w:val="-2"/>
          <w:sz w:val="20"/>
        </w:rPr>
        <w:t xml:space="preserve">Senior Secured Notes due December 1, 2028. Interest accrues at an annual rate of </w:t>
      </w:r>
      <w:r>
        <w:rPr>
          <w:rFonts w:ascii="Arial;Helvetica;sans-serif" w:hAnsi="Arial;Helvetica;sans-serif"/>
          <w:b w:val="false"/>
          <w:i w:val="false"/>
          <w:caps w:val="false"/>
          <w:smallCaps w:val="false"/>
          <w:spacing w:val="-2"/>
          <w:sz w:val="20"/>
        </w:rPr>
        <w:t>5 3/4%</w:t>
      </w:r>
      <w:r>
        <w:rPr>
          <w:rFonts w:ascii="Times New Roman;Times;serif" w:hAnsi="Times New Roman;Times;serif"/>
          <w:spacing w:val="-2"/>
          <w:sz w:val="20"/>
        </w:rPr>
        <w:t xml:space="preserve"> </w:t>
      </w:r>
      <w:r>
        <w:rPr>
          <w:rFonts w:ascii="Arial;Helvetica;sans-serif" w:hAnsi="Arial;Helvetica;sans-serif"/>
          <w:spacing w:val="-2"/>
          <w:sz w:val="20"/>
        </w:rPr>
        <w:t>and is payable semi-annually in cash, in arrears on June 1 and December 1 of each year. W</w:t>
      </w:r>
      <w:r>
        <w:rPr>
          <w:rFonts w:ascii="Arial;Helvetica;sans-serif" w:hAnsi="Arial;Helvetica;sans-serif"/>
          <w:color w:val="222222"/>
          <w:spacing w:val="-2"/>
          <w:sz w:val="20"/>
          <w:shd w:fill="FFFFFF" w:val="clear"/>
        </w:rPr>
        <w:t>e elected not to make the approximately $72</w:t>
      </w:r>
      <w:r>
        <w:rPr>
          <w:rFonts w:ascii="Times New Roman;Times;serif" w:hAnsi="Times New Roman;Times;serif"/>
          <w:color w:val="222222"/>
          <w:spacing w:val="-2"/>
          <w:sz w:val="20"/>
          <w:shd w:fill="FFFFFF" w:val="clear"/>
        </w:rPr>
        <w:t xml:space="preserve"> </w:t>
      </w:r>
      <w:r>
        <w:rPr>
          <w:rFonts w:ascii="Arial;Helvetica;sans-serif" w:hAnsi="Arial;Helvetica;sans-serif"/>
          <w:color w:val="222222"/>
          <w:spacing w:val="-2"/>
          <w:sz w:val="20"/>
          <w:shd w:fill="FFFFFF" w:val="clear"/>
        </w:rPr>
        <w:t>million cash interest payment due on June 2, 2025 (the “</w:t>
      </w:r>
      <w:r>
        <w:rPr>
          <w:rFonts w:ascii="Arial;Helvetica;sans-serif" w:hAnsi="Arial;Helvetica;sans-serif"/>
          <w:b w:val="false"/>
          <w:i w:val="false"/>
          <w:caps w:val="false"/>
          <w:smallCaps w:val="false"/>
          <w:spacing w:val="-2"/>
          <w:sz w:val="20"/>
        </w:rPr>
        <w:t>5 3/4%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 xml:space="preserve">Interest Payment”). Under the related indenture, such non-payment is a default and we had a 30-day grace period to make the </w:t>
      </w:r>
      <w:r>
        <w:rPr>
          <w:rFonts w:ascii="Arial;Helvetica;sans-serif" w:hAnsi="Arial;Helvetica;sans-serif"/>
          <w:b w:val="false"/>
          <w:i w:val="false"/>
          <w:caps w:val="false"/>
          <w:smallCaps w:val="false"/>
          <w:spacing w:val="-2"/>
          <w:sz w:val="20"/>
        </w:rPr>
        <w:t>5 3/4%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 before such non-payment would have been an Event of Default</w:t>
      </w:r>
      <w:r>
        <w:rPr>
          <w:rFonts w:ascii="Arial;Helvetica;sans-serif" w:hAnsi="Arial;Helvetica;sans-serif"/>
          <w:spacing w:val="-2"/>
          <w:sz w:val="20"/>
        </w:rPr>
        <w:t>, as defined in the related indenture</w:t>
      </w:r>
      <w:r>
        <w:rPr>
          <w:rFonts w:ascii="Arial;Helvetica;sans-serif" w:hAnsi="Arial;Helvetica;sans-serif"/>
          <w:color w:val="222222"/>
          <w:spacing w:val="-2"/>
          <w:sz w:val="20"/>
          <w:shd w:fill="FFFFFF" w:val="clear"/>
        </w:rPr>
        <w:t xml:space="preserve">. On June 27, 2025, we made </w:t>
      </w:r>
      <w:r>
        <w:rPr>
          <w:rFonts w:ascii="Arial;Helvetica;sans-serif" w:hAnsi="Arial;Helvetica;sans-serif"/>
          <w:color w:val="222222"/>
          <w:spacing w:val="-2"/>
          <w:sz w:val="20"/>
        </w:rPr>
        <w:t xml:space="preserve">the scheduled </w:t>
      </w:r>
      <w:r>
        <w:rPr>
          <w:rFonts w:ascii="Arial;Helvetica;sans-serif" w:hAnsi="Arial;Helvetica;sans-serif"/>
          <w:b w:val="false"/>
          <w:i w:val="false"/>
          <w:caps w:val="false"/>
          <w:smallCaps w:val="false"/>
          <w:spacing w:val="-2"/>
          <w:sz w:val="20"/>
        </w:rPr>
        <w:t>5 3/4%</w:t>
      </w:r>
      <w:r>
        <w:rPr>
          <w:rFonts w:ascii="Times New Roman;Times;serif" w:hAnsi="Times New Roman;Times;serif"/>
          <w:spacing w:val="-2"/>
          <w:sz w:val="20"/>
        </w:rPr>
        <w:t xml:space="preserve"> </w:t>
      </w:r>
      <w:r>
        <w:rPr>
          <w:rFonts w:ascii="Arial;Helvetica;sans-serif" w:hAnsi="Arial;Helvetica;sans-serif"/>
          <w:color w:val="222222"/>
          <w:spacing w:val="-2"/>
          <w:sz w:val="20"/>
          <w:shd w:fill="FFFFFF" w:val="clear"/>
        </w:rPr>
        <w:t>Interest Payment</w:t>
      </w:r>
      <w:r>
        <w:rPr>
          <w:rFonts w:ascii="Times New Roman;Times;serif" w:hAnsi="Times New Roman;Times;serif"/>
          <w:color w:val="222222"/>
          <w:spacing w:val="-2"/>
          <w:sz w:val="20"/>
        </w:rPr>
        <w:t xml:space="preserve"> </w:t>
      </w:r>
      <w:r>
        <w:rPr>
          <w:rFonts w:ascii="Arial;Helvetica;sans-serif" w:hAnsi="Arial;Helvetica;sans-serif"/>
          <w:color w:val="222222"/>
          <w:spacing w:val="-2"/>
          <w:sz w:val="20"/>
        </w:rPr>
        <w:t xml:space="preserve">originally due </w:t>
      </w:r>
      <w:r>
        <w:rPr>
          <w:rFonts w:ascii="Arial;Helvetica;sans-serif" w:hAnsi="Arial;Helvetica;sans-serif"/>
          <w:spacing w:val="-2"/>
          <w:sz w:val="20"/>
          <w:shd w:fill="FFFFFF" w:val="clear"/>
        </w:rPr>
        <w:t xml:space="preserve">June 2, 2025, </w:t>
      </w:r>
      <w:r>
        <w:rPr>
          <w:rFonts w:ascii="Arial;Helvetica;sans-serif" w:hAnsi="Arial;Helvetica;sans-serif"/>
          <w:color w:val="222222"/>
          <w:spacing w:val="-2"/>
          <w:sz w:val="20"/>
        </w:rPr>
        <w:t>including interest on the defaulted interest, within the applicable 30-day grace period to make such interest payment</w:t>
      </w:r>
      <w:r>
        <w:rPr>
          <w:rFonts w:ascii="Arial;Helvetica;sans-serif" w:hAnsi="Arial;Helvetica;sans-serif"/>
          <w:spacing w:val="-2"/>
          <w:sz w:val="20"/>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Intercompany Loans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DISH 2021 Intercompany Loan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net proceeds from the offering of our </w:t>
      </w:r>
      <w:r>
        <w:rPr>
          <w:rFonts w:ascii="Arial;Helvetica;sans-serif" w:hAnsi="Arial;Helvetica;sans-serif"/>
          <w:b w:val="false"/>
          <w:i w:val="false"/>
          <w:caps w:val="false"/>
          <w:smallCaps w:val="false"/>
          <w:sz w:val="20"/>
        </w:rPr>
        <w:t>5 1/4%</w:t>
      </w:r>
      <w:r>
        <w:rPr>
          <w:rFonts w:ascii="Times New Roman;Times;serif" w:hAnsi="Times New Roman;Times;serif"/>
          <w:sz w:val="20"/>
        </w:rPr>
        <w:t xml:space="preserve"> </w:t>
      </w:r>
      <w:r>
        <w:rPr>
          <w:rFonts w:ascii="Arial;Helvetica;sans-serif" w:hAnsi="Arial;Helvetica;sans-serif"/>
          <w:sz w:val="20"/>
        </w:rPr>
        <w:t xml:space="preserve">Senior Secured Notes due 2026 and our </w:t>
      </w:r>
      <w:r>
        <w:rPr>
          <w:rFonts w:ascii="Arial;Helvetica;sans-serif" w:hAnsi="Arial;Helvetica;sans-serif"/>
          <w:b w:val="false"/>
          <w:i w:val="false"/>
          <w:caps w:val="false"/>
          <w:smallCaps w:val="false"/>
          <w:sz w:val="20"/>
        </w:rPr>
        <w:t>5 3/4%</w:t>
      </w:r>
      <w:r>
        <w:rPr>
          <w:rFonts w:ascii="Times New Roman;Times;serif" w:hAnsi="Times New Roman;Times;serif"/>
          <w:sz w:val="20"/>
        </w:rPr>
        <w:t xml:space="preserve"> </w:t>
      </w:r>
      <w:r>
        <w:rPr>
          <w:rFonts w:ascii="Arial;Helvetica;sans-serif" w:hAnsi="Arial;Helvetica;sans-serif"/>
          <w:sz w:val="20"/>
        </w:rPr>
        <w:t>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w:t>
      </w:r>
      <w:r>
        <w:rPr>
          <w:rFonts w:ascii="Times New Roman;Times;serif" w:hAnsi="Times New Roman;Times;serif"/>
          <w:sz w:val="20"/>
        </w:rPr>
        <w:t xml:space="preserve"> </w:t>
      </w:r>
      <w:r>
        <w:rPr>
          <w:rFonts w:ascii="Arial;Helvetica;sans-serif" w:hAnsi="Arial;Helvetica;sans-serif"/>
          <w:sz w:val="20"/>
        </w:rPr>
        <w:t>(the “DISH 2021 Intercompany Loan 2028 Tranche”). DISH DBS may make additional advances to DISH Network under the DISH 2021 Intercompany Loan, and on February 11, 2022, DISH DBS advanced an additional $1.5</w:t>
      </w:r>
      <w:r>
        <w:rPr>
          <w:rFonts w:ascii="Times New Roman;Times;serif" w:hAnsi="Times New Roman;Times;serif"/>
          <w:sz w:val="20"/>
        </w:rPr>
        <w:t xml:space="preserve"> </w:t>
      </w:r>
      <w:r>
        <w:rPr>
          <w:rFonts w:ascii="Arial;Helvetica;sans-serif" w:hAnsi="Arial;Helvetica;sans-serif"/>
          <w:sz w:val="20"/>
        </w:rPr>
        <w:t xml:space="preserve">billion to DISH Network under the DISH 2021 Intercompany Loan 2026 Tranche.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Interest accrues and is payable semiannually, and interest payments with respect to the DISH 2021 Intercompany Loan were, at our option, payable in kind for the first two years</w:t>
      </w:r>
      <w:r>
        <w:rPr>
          <w:rFonts w:ascii="Times New Roman;Times;serif" w:hAnsi="Times New Roman;Times;serif"/>
          <w:sz w:val="20"/>
        </w:rPr>
        <w:t xml:space="preserve"> </w:t>
      </w:r>
      <w:r>
        <w:rPr>
          <w:rFonts w:ascii="Arial;Helvetica;sans-serif" w:hAnsi="Arial;Helvetica;sans-serif"/>
          <w:sz w:val="20"/>
        </w:rPr>
        <w:t>from the issuance date of November 2021. In the third year post issuance date, a minimum of 50%</w:t>
      </w:r>
      <w:r>
        <w:rPr>
          <w:rFonts w:ascii="Times New Roman;Times;serif" w:hAnsi="Times New Roman;Times;serif"/>
          <w:sz w:val="20"/>
        </w:rPr>
        <w:t xml:space="preserve"> </w:t>
      </w:r>
      <w:r>
        <w:rPr>
          <w:rFonts w:ascii="Arial;Helvetica;sans-serif" w:hAnsi="Arial;Helvetica;sans-serif"/>
          <w:sz w:val="20"/>
        </w:rPr>
        <w:t>of each interest payment due with respect to each tranche of the DISH 2021 Intercompany Loan were required to be paid in cash. Currently and prospectively, interest payments must be paid in cash. Interest accrues: (a) when paid in cash, at a fixed rate of 0.25%</w:t>
      </w:r>
      <w:r>
        <w:rPr>
          <w:rFonts w:ascii="Times New Roman;Times;serif" w:hAnsi="Times New Roman;Times;serif"/>
          <w:sz w:val="20"/>
        </w:rPr>
        <w:t xml:space="preserve"> </w:t>
      </w:r>
      <w:r>
        <w:rPr>
          <w:rFonts w:ascii="Arial;Helvetica;sans-serif" w:hAnsi="Arial;Helvetica;sans-serif"/>
          <w:sz w:val="20"/>
        </w:rPr>
        <w:t xml:space="preserve">per annum in excess of the interest rate applicable to, in the case of the DISH 2021 Intercompany Loan 2026 Tranche, the </w:t>
      </w:r>
      <w:r>
        <w:rPr>
          <w:rFonts w:ascii="Arial;Helvetica;sans-serif" w:hAnsi="Arial;Helvetica;sans-serif"/>
          <w:b w:val="false"/>
          <w:i w:val="false"/>
          <w:caps w:val="false"/>
          <w:smallCaps w:val="false"/>
          <w:sz w:val="20"/>
        </w:rPr>
        <w:t>5 1/4%</w:t>
      </w:r>
      <w:r>
        <w:rPr>
          <w:rFonts w:ascii="Times New Roman;Times;serif" w:hAnsi="Times New Roman;Times;serif"/>
          <w:sz w:val="20"/>
        </w:rPr>
        <w:t xml:space="preserve"> </w:t>
      </w:r>
      <w:r>
        <w:rPr>
          <w:rFonts w:ascii="Arial;Helvetica;sans-serif" w:hAnsi="Arial;Helvetica;sans-serif"/>
          <w:sz w:val="20"/>
        </w:rPr>
        <w:t xml:space="preserve">Senior Secured Notes due 2026, and in the case of the DISH 2021 Intercompany Loan 2028 Tranche, the </w:t>
      </w:r>
      <w:r>
        <w:rPr>
          <w:rFonts w:ascii="Arial;Helvetica;sans-serif" w:hAnsi="Arial;Helvetica;sans-serif"/>
          <w:b w:val="false"/>
          <w:i w:val="false"/>
          <w:caps w:val="false"/>
          <w:smallCaps w:val="false"/>
          <w:sz w:val="20"/>
        </w:rPr>
        <w:t>5 3/4%</w:t>
      </w:r>
      <w:r>
        <w:rPr>
          <w:rFonts w:ascii="Times New Roman;Times;serif" w:hAnsi="Times New Roman;Times;serif"/>
          <w:sz w:val="20"/>
        </w:rPr>
        <w:t xml:space="preserve"> </w:t>
      </w:r>
      <w:r>
        <w:rPr>
          <w:rFonts w:ascii="Arial;Helvetica;sans-serif" w:hAnsi="Arial;Helvetica;sans-serif"/>
          <w:sz w:val="20"/>
        </w:rPr>
        <w:t>Senior Secured Notes due 2028 (each, the “Cash Accrual Rate” with respect to the applicable tranche); and (b) when paid in kind, at a rate of 0.50%</w:t>
      </w:r>
      <w:r>
        <w:rPr>
          <w:rFonts w:ascii="Times New Roman;Times;serif" w:hAnsi="Times New Roman;Times;serif"/>
          <w:sz w:val="20"/>
        </w:rPr>
        <w:t xml:space="preserve"> </w:t>
      </w:r>
      <w:r>
        <w:rPr>
          <w:rFonts w:ascii="Arial;Helvetica;sans-serif" w:hAnsi="Arial;Helvetica;sans-serif"/>
          <w:sz w:val="20"/>
        </w:rPr>
        <w:t xml:space="preserve">per annum in excess of the Cash Accrual Rate for the applicable tranche.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As of September 30, 2025, the total DISH 2021 Intercompany Loan amount outstanding plus interest paid in kind was $7.612</w:t>
      </w:r>
      <w:r>
        <w:rPr>
          <w:rFonts w:ascii="Times New Roman;Times;serif" w:hAnsi="Times New Roman;Times;serif"/>
          <w:spacing w:val="-2"/>
          <w:sz w:val="18"/>
        </w:rPr>
        <w:t xml:space="preserve"> </w:t>
      </w:r>
      <w:r>
        <w:rPr>
          <w:rFonts w:ascii="Arial;Helvetica;sans-serif" w:hAnsi="Arial;Helvetica;sans-serif"/>
          <w:spacing w:val="-2"/>
          <w:sz w:val="20"/>
        </w:rPr>
        <w:t>billion. The AT&amp;T License Purchase Agreement provides that, at the closing of the AT&amp;T Transactions, any DISH 2021 Intercompany Loan amounts outstanding will be repaid in full using proceeds from the AT&amp;T Transactions. See Note 1</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for further information.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DISH 2021 Intercompany Loan 2028 Tranche. </w:t>
      </w:r>
      <w:r>
        <w:rPr>
          <w:rFonts w:ascii="Arial;Helvetica;sans-serif" w:hAnsi="Arial;Helvetica;sans-serif"/>
          <w:spacing w:val="-2"/>
          <w:sz w:val="20"/>
        </w:rPr>
        <w:t>As of September 30, 2025, the DISH 2021 Intercompany Loan 2028 Tranche amount outstanding plus interest paid in kind was $2.844</w:t>
      </w:r>
      <w:r>
        <w:rPr>
          <w:rFonts w:ascii="Times New Roman;Times;serif" w:hAnsi="Times New Roman;Times;serif"/>
          <w:spacing w:val="-2"/>
          <w:sz w:val="18"/>
        </w:rPr>
        <w:t xml:space="preserve"> </w:t>
      </w:r>
      <w:r>
        <w:rPr>
          <w:rFonts w:ascii="Arial;Helvetica;sans-serif" w:hAnsi="Arial;Helvetica;sans-serif"/>
          <w:spacing w:val="-2"/>
          <w:sz w:val="20"/>
        </w:rPr>
        <w:t xml:space="preserve">billion. The DISH 2021 Intercompany Loan 2028 Tranche is eliminated in consolidation.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DISH 2021 Intercompany Loan 2026 Tranche. </w:t>
      </w:r>
      <w:r>
        <w:rPr>
          <w:rFonts w:ascii="Arial;Helvetica;sans-serif" w:hAnsi="Arial;Helvetica;sans-serif"/>
          <w:spacing w:val="-2"/>
          <w:sz w:val="20"/>
        </w:rPr>
        <w:t>In January 2024, DISH DBS assigned the DISH 2021 Intercompany Loan 2026 Tranche of $4.7</w:t>
      </w:r>
      <w:r>
        <w:rPr>
          <w:rFonts w:ascii="Times New Roman;Times;serif" w:hAnsi="Times New Roman;Times;serif"/>
          <w:spacing w:val="-2"/>
          <w:sz w:val="18"/>
        </w:rPr>
        <w:t xml:space="preserve"> </w:t>
      </w:r>
      <w:r>
        <w:rPr>
          <w:rFonts w:ascii="Arial;Helvetica;sans-serif" w:hAnsi="Arial;Helvetica;sans-serif"/>
          <w:spacing w:val="-2"/>
          <w:sz w:val="20"/>
        </w:rPr>
        <w:t>billion</w:t>
      </w:r>
      <w:r>
        <w:rPr>
          <w:rFonts w:ascii="Times New Roman;Times;serif" w:hAnsi="Times New Roman;Times;serif"/>
          <w:spacing w:val="-2"/>
          <w:sz w:val="18"/>
          <w:shd w:fill="FFFFFF" w:val="clear"/>
        </w:rPr>
        <w:t xml:space="preserve"> </w:t>
      </w:r>
      <w:r>
        <w:rPr>
          <w:rFonts w:ascii="Arial;Helvetica;sans-serif" w:hAnsi="Arial;Helvetica;sans-serif"/>
          <w:spacing w:val="-2"/>
          <w:sz w:val="20"/>
          <w:shd w:fill="FFFFFF" w:val="clear"/>
        </w:rPr>
        <w:t>to </w:t>
      </w:r>
      <w:r>
        <w:rPr>
          <w:rFonts w:ascii="Arial;Helvetica;sans-serif" w:hAnsi="Arial;Helvetica;sans-serif"/>
          <w:spacing w:val="-2"/>
          <w:sz w:val="20"/>
        </w:rPr>
        <w:t>EchoStar Intercompany Receivable Company L.L.C.</w:t>
      </w:r>
      <w:r>
        <w:rPr>
          <w:rFonts w:ascii="Arial;Helvetica;sans-serif" w:hAnsi="Arial;Helvetica;sans-serif"/>
          <w:spacing w:val="-2"/>
          <w:sz w:val="20"/>
          <w:shd w:fill="FFFFFF" w:val="clear"/>
        </w:rPr>
        <w:t xml:space="preserve">, our parent, EchoStar’s, direct wholly-owned subsidiary, such that amounts owed in respect of the </w:t>
      </w:r>
      <w:r>
        <w:rPr>
          <w:rFonts w:ascii="Arial;Helvetica;sans-serif" w:hAnsi="Arial;Helvetica;sans-serif"/>
          <w:spacing w:val="-2"/>
          <w:sz w:val="20"/>
        </w:rPr>
        <w:t>DISH 2021 Intercompany Loan 2026 Tranche</w:t>
      </w:r>
      <w:r>
        <w:rPr>
          <w:rFonts w:ascii="Times New Roman;Times;serif" w:hAnsi="Times New Roman;Times;serif"/>
          <w:spacing w:val="-2"/>
          <w:sz w:val="18"/>
          <w:shd w:fill="FFFFFF" w:val="clear"/>
        </w:rPr>
        <w:t xml:space="preserve"> </w:t>
      </w:r>
      <w:r>
        <w:rPr>
          <w:rFonts w:ascii="Arial;Helvetica;sans-serif" w:hAnsi="Arial;Helvetica;sans-serif"/>
          <w:spacing w:val="-2"/>
          <w:sz w:val="20"/>
          <w:shd w:fill="FFFFFF" w:val="clear"/>
        </w:rPr>
        <w:t>will now be paid by us to </w:t>
      </w:r>
      <w:r>
        <w:rPr>
          <w:rFonts w:ascii="Arial;Helvetica;sans-serif" w:hAnsi="Arial;Helvetica;sans-serif"/>
          <w:spacing w:val="-2"/>
          <w:sz w:val="20"/>
        </w:rPr>
        <w:t xml:space="preserve">EchoStar Intercompany Receivable Company L.L.C. The DISH 2021 Intercompany Loan 2026 Tranche was previously eliminated in consolidation as it was held by DISH DBS.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As of September 30, 2025, the total DISH 2021 Intercompany Loan 2026 Tranche amount outstanding plus interest paid in kind was $4.767</w:t>
      </w:r>
      <w:r>
        <w:rPr>
          <w:rFonts w:ascii="Times New Roman;Times;serif" w:hAnsi="Times New Roman;Times;serif"/>
          <w:spacing w:val="-2"/>
          <w:sz w:val="18"/>
        </w:rPr>
        <w:t xml:space="preserve"> </w:t>
      </w:r>
      <w:r>
        <w:rPr>
          <w:rFonts w:ascii="Arial;Helvetica;sans-serif" w:hAnsi="Arial;Helvetica;sans-serif"/>
          <w:spacing w:val="-2"/>
          <w:sz w:val="20"/>
        </w:rPr>
        <w:t>billion, not including “DISH 2021 Intercompany Loan 2026 Tranche - Interest payable in cash” of $87</w:t>
      </w:r>
      <w:r>
        <w:rPr>
          <w:rFonts w:ascii="Times New Roman;Times;serif" w:hAnsi="Times New Roman;Times;serif"/>
          <w:spacing w:val="-2"/>
          <w:sz w:val="18"/>
        </w:rPr>
        <w:t xml:space="preserve"> </w:t>
      </w:r>
      <w:r>
        <w:rPr>
          <w:rFonts w:ascii="Arial;Helvetica;sans-serif" w:hAnsi="Arial;Helvetica;sans-serif"/>
          <w:spacing w:val="-2"/>
          <w:sz w:val="20"/>
        </w:rPr>
        <w:t>million recorded on our Condensed Consolidated Balance Sheets. During the nine months ended September 30, 2025, we made $131</w:t>
      </w:r>
      <w:r>
        <w:rPr>
          <w:rFonts w:ascii="Times New Roman;Times;serif" w:hAnsi="Times New Roman;Times;serif"/>
          <w:spacing w:val="-2"/>
          <w:sz w:val="18"/>
        </w:rPr>
        <w:t xml:space="preserve"> </w:t>
      </w:r>
      <w:r>
        <w:rPr>
          <w:rFonts w:ascii="Arial;Helvetica;sans-serif" w:hAnsi="Arial;Helvetica;sans-serif"/>
          <w:spacing w:val="-2"/>
          <w:sz w:val="20"/>
        </w:rPr>
        <w:t xml:space="preserve">million in interest payments for the DISH 2021 Intercompany Loan 2026 Tranche paid in cash to EchoStar Intercompany Receivable Company L.L.C.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which we acquired as part of the Wireless Spectrum License Exchange, detailed and defined in Note 9.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DISH Q2 2024 Intercompany Loan</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spacing w:val="-2"/>
          <w:sz w:val="20"/>
        </w:rPr>
        <w:t>In June 2024, we entered into an intercompany loan with DISH DBS (the “DISH Q2 2024 Intercompany Loan”) for an initial principal amount of $1.508</w:t>
      </w:r>
      <w:r>
        <w:rPr>
          <w:rFonts w:ascii="Times New Roman;Times;serif" w:hAnsi="Times New Roman;Times;serif"/>
          <w:spacing w:val="-2"/>
          <w:sz w:val="18"/>
        </w:rPr>
        <w:t xml:space="preserve"> </w:t>
      </w:r>
      <w:r>
        <w:rPr>
          <w:rFonts w:ascii="Arial;Helvetica;sans-serif" w:hAnsi="Arial;Helvetica;sans-serif"/>
          <w:spacing w:val="-2"/>
          <w:sz w:val="20"/>
        </w:rPr>
        <w:t>billion. The DISH Q2 2024 Intercompany Loan matures on August 13, 2028. Interest accrues and is payable monthly and interest payments are payable in kind. The interest rate with respect to the DISH Q2 2024 Intercompany Loan is at a variable rate. As of September 30, 2025, the total DISH Q2 2024 Intercompany Loan amount outstanding plus interest paid in kind was $1.659</w:t>
      </w:r>
      <w:r>
        <w:rPr>
          <w:rFonts w:ascii="Times New Roman;Times;serif" w:hAnsi="Times New Roman;Times;serif"/>
          <w:spacing w:val="-2"/>
          <w:sz w:val="18"/>
        </w:rPr>
        <w:t xml:space="preserve"> </w:t>
      </w:r>
      <w:r>
        <w:rPr>
          <w:rFonts w:ascii="Arial;Helvetica;sans-serif" w:hAnsi="Arial;Helvetica;sans-serif"/>
          <w:spacing w:val="-2"/>
          <w:sz w:val="20"/>
        </w:rPr>
        <w:t>billion. The DISH Q2 2024 Intercompany Loan is eliminated in consolidation.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DISH Q3 2024 Intercompany Loan</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spacing w:val="-2"/>
          <w:sz w:val="20"/>
        </w:rPr>
        <w:t>In September 2024, we entered into an intercompany loan with DISH DBS (the “DISH Q3 2024 Intercompany Loan”) for an initial principal amount of $481</w:t>
      </w:r>
      <w:r>
        <w:rPr>
          <w:rFonts w:ascii="Times New Roman;Times;serif" w:hAnsi="Times New Roman;Times;serif"/>
          <w:spacing w:val="-2"/>
          <w:sz w:val="18"/>
        </w:rPr>
        <w:t xml:space="preserve"> </w:t>
      </w:r>
      <w:r>
        <w:rPr>
          <w:rFonts w:ascii="Arial;Helvetica;sans-serif" w:hAnsi="Arial;Helvetica;sans-serif"/>
          <w:spacing w:val="-2"/>
          <w:sz w:val="20"/>
        </w:rPr>
        <w:t>million. The DISH Q3 2024 Intercompany Loan matures on November 13, 2028. Interest accrues and is payable monthly and interest payments are payable in kind. The interest rate with respect to the DISH Q3 2024 Intercompany Loan is at a variable rate. As of September 30, 2025, the total DISH Q3 2024 Intercompany Loan amount outstanding plus interest paid in kind was $518</w:t>
      </w:r>
      <w:r>
        <w:rPr>
          <w:rFonts w:ascii="Times New Roman;Times;serif" w:hAnsi="Times New Roman;Times;serif"/>
          <w:spacing w:val="-2"/>
          <w:sz w:val="18"/>
        </w:rPr>
        <w:t xml:space="preserve"> </w:t>
      </w:r>
      <w:r>
        <w:rPr>
          <w:rFonts w:ascii="Arial;Helvetica;sans-serif" w:hAnsi="Arial;Helvetica;sans-serif"/>
          <w:spacing w:val="-2"/>
          <w:sz w:val="20"/>
        </w:rPr>
        <w:t>million. The DISH Q3 2024 Intercompany Loan is eliminated in consolidation.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z w:val="20"/>
        </w:rPr>
      </w:pPr>
      <w:r>
        <w:rPr>
          <w:rFonts w:ascii="Arial;Helvetica;sans-serif" w:hAnsi="Arial;Helvetica;sans-serif"/>
          <w:b/>
          <w:sz w:val="20"/>
        </w:rPr>
        <w:t>EchoStar 2024 Intercompany Loan</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spacing w:val="-2"/>
          <w:sz w:val="20"/>
        </w:rPr>
        <w:t>In November 2024, DISH Wireless L.L.C., our subsidiary, entered into an intercompany loan with EchoStar Financing L.L.C., a subsidiary of our parent, EchoStar, for a borrowing principal amount of up to $4.500</w:t>
      </w:r>
      <w:r>
        <w:rPr>
          <w:rFonts w:ascii="Times New Roman;Times;serif" w:hAnsi="Times New Roman;Times;serif"/>
          <w:spacing w:val="-2"/>
          <w:sz w:val="18"/>
        </w:rPr>
        <w:t xml:space="preserve"> </w:t>
      </w:r>
      <w:r>
        <w:rPr>
          <w:rFonts w:ascii="Arial;Helvetica;sans-serif" w:hAnsi="Arial;Helvetica;sans-serif"/>
          <w:spacing w:val="-2"/>
          <w:sz w:val="20"/>
        </w:rPr>
        <w:t>billion (the “EchoStar 2024 Intercompany Loan”), with all borrowings at the sole discretion of our parent, EchoStar. The EchoStar 2024 Intercompany Loan matures on November 30, 2030. Interest accrues at an annual rate of 11.50%</w:t>
      </w:r>
      <w:r>
        <w:rPr>
          <w:rFonts w:ascii="Times New Roman;Times;serif" w:hAnsi="Times New Roman;Times;serif"/>
          <w:spacing w:val="-2"/>
          <w:sz w:val="18"/>
        </w:rPr>
        <w:t xml:space="preserve"> </w:t>
      </w:r>
      <w:r>
        <w:rPr>
          <w:rFonts w:ascii="Arial;Helvetica;sans-serif" w:hAnsi="Arial;Helvetica;sans-serif"/>
          <w:spacing w:val="-2"/>
          <w:sz w:val="20"/>
        </w:rPr>
        <w:t>and is payable monthly. Interest payments are payable in kind. DISH Wireless L.L.C., at its option, may elect to repay the EchoStar 2024 Intercompany Loan amount outstanding prior to maturity in cash or assets at a redemption price equal to 100%</w:t>
      </w:r>
      <w:r>
        <w:rPr>
          <w:rFonts w:ascii="Times New Roman;Times;serif" w:hAnsi="Times New Roman;Times;serif"/>
          <w:spacing w:val="-2"/>
          <w:sz w:val="18"/>
        </w:rPr>
        <w:t xml:space="preserve"> </w:t>
      </w:r>
      <w:r>
        <w:rPr>
          <w:rFonts w:ascii="Arial;Helvetica;sans-serif" w:hAnsi="Arial;Helvetica;sans-serif"/>
          <w:spacing w:val="-2"/>
          <w:sz w:val="20"/>
        </w:rPr>
        <w:t>of the principal amount. During the three and nine months ended September 30, 2025, we borrowed an additional principal amount of $645</w:t>
      </w:r>
      <w:r>
        <w:rPr>
          <w:rFonts w:ascii="Times New Roman;Times;serif" w:hAnsi="Times New Roman;Times;serif"/>
          <w:spacing w:val="-2"/>
          <w:sz w:val="18"/>
        </w:rPr>
        <w:t xml:space="preserve"> </w:t>
      </w:r>
      <w:r>
        <w:rPr>
          <w:rFonts w:ascii="Arial;Helvetica;sans-serif" w:hAnsi="Arial;Helvetica;sans-serif"/>
          <w:spacing w:val="-2"/>
          <w:sz w:val="20"/>
        </w:rPr>
        <w:t>million and $2.202</w:t>
      </w:r>
      <w:r>
        <w:rPr>
          <w:rFonts w:ascii="Times New Roman;Times;serif" w:hAnsi="Times New Roman;Times;serif"/>
          <w:spacing w:val="-2"/>
          <w:sz w:val="18"/>
        </w:rPr>
        <w:t xml:space="preserve"> </w:t>
      </w:r>
      <w:r>
        <w:rPr>
          <w:rFonts w:ascii="Arial;Helvetica;sans-serif" w:hAnsi="Arial;Helvetica;sans-serif"/>
          <w:spacing w:val="-2"/>
          <w:sz w:val="20"/>
        </w:rPr>
        <w:t>billion, respectively. As of September 30, 2025, the total EchoStar 2024 Intercompany Loan amount outstanding plus interest paid in kind was $3.399</w:t>
      </w:r>
      <w:r>
        <w:rPr>
          <w:rFonts w:ascii="Times New Roman;Times;serif" w:hAnsi="Times New Roman;Times;serif"/>
          <w:spacing w:val="-2"/>
          <w:sz w:val="18"/>
        </w:rPr>
        <w:t xml:space="preserve"> </w:t>
      </w:r>
      <w:r>
        <w:rPr>
          <w:rFonts w:ascii="Arial;Helvetica;sans-serif" w:hAnsi="Arial;Helvetica;sans-serif"/>
          <w:spacing w:val="-2"/>
          <w:sz w:val="20"/>
        </w:rPr>
        <w:t>billion. During the three and nine months ended September 30, 2025, we recorded $87</w:t>
      </w:r>
      <w:r>
        <w:rPr>
          <w:rFonts w:ascii="Times New Roman;Times;serif" w:hAnsi="Times New Roman;Times;serif"/>
          <w:spacing w:val="-2"/>
          <w:sz w:val="18"/>
        </w:rPr>
        <w:t xml:space="preserve"> </w:t>
      </w:r>
      <w:r>
        <w:rPr>
          <w:rFonts w:ascii="Arial;Helvetica;sans-serif" w:hAnsi="Arial;Helvetica;sans-serif"/>
          <w:spacing w:val="-2"/>
          <w:sz w:val="20"/>
        </w:rPr>
        <w:t>million and $182</w:t>
      </w:r>
      <w:r>
        <w:rPr>
          <w:rFonts w:ascii="Times New Roman;Times;serif" w:hAnsi="Times New Roman;Times;serif"/>
          <w:spacing w:val="-2"/>
          <w:sz w:val="18"/>
        </w:rPr>
        <w:t xml:space="preserve"> </w:t>
      </w:r>
      <w:r>
        <w:rPr>
          <w:rFonts w:ascii="Arial;Helvetica;sans-serif" w:hAnsi="Arial;Helvetica;sans-serif"/>
          <w:spacing w:val="-2"/>
          <w:sz w:val="20"/>
        </w:rPr>
        <w:t>million, respectively, of “Interest expense, net of amounts capitalized” on our Condensed Consolidated Statements of Operations and Comprehensive Income (Loss).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bookmarkStart w:id="1304" w:name="Tc_4pRO8rCMGEKm-tGAb3nx7g_9_2"/>
      <w:bookmarkStart w:id="1305" w:name="Tc_eJMHwVeZm0SrteIEcc-htg_9_0"/>
      <w:bookmarkStart w:id="1306" w:name="Tc_j8koUvNq00KGWwI3wbfzwQ_8_0"/>
      <w:bookmarkStart w:id="1307" w:name="Tc_WEy21yxCGUe2wWDR2PQIWg_7_0"/>
      <w:bookmarkStart w:id="1308" w:name="Tc_hIuMzbMxC0eJNSBv1HDQig_6_0"/>
      <w:bookmarkStart w:id="1309" w:name="Tc_cOcvIz8dgEWWda2S6CPmwQ_5_0"/>
      <w:bookmarkStart w:id="1310" w:name="Tc_I5oADKkPDkGb1byIV5Rdug_4_0"/>
      <w:bookmarkStart w:id="1311" w:name="Tc_vFqLSnFG_UmCX455ETa4Gw_3_2"/>
      <w:bookmarkStart w:id="1312" w:name="Tc_5800rVpdlU-_ah_0BXzrdw_3_0"/>
      <w:bookmarkStart w:id="1313" w:name="Tc_O_HVIozGc0-8uTmD4_8tpA_2_3"/>
      <w:bookmarkStart w:id="1314" w:name="Tc_AlBGImwIDEOYHaJW3my20g_1_2"/>
      <w:bookmarkStart w:id="1315" w:name="Tc_vDPvH4-g0kS0qMEmln2TsQ_1_0"/>
      <w:bookmarkStart w:id="1316" w:name="_87928600_d8d2_4c9c_83f7_f4c62293a896"/>
      <w:bookmarkStart w:id="1317" w:name="_DV_C17"/>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r>
        <w:rPr>
          <w:rFonts w:ascii="Arial;Helvetica;sans-serif" w:hAnsi="Arial;Helvetica;sans-serif"/>
          <w:b/>
          <w:i w:val="false"/>
          <w:caps w:val="false"/>
          <w:smallCaps w:val="false"/>
          <w:spacing w:val="-2"/>
          <w:sz w:val="20"/>
        </w:rPr>
        <w:t>9.</w:t>
      </w:r>
      <w:r>
        <w:rPr>
          <w:rFonts w:ascii="Arial;Helvetica;sans-serif" w:hAnsi="Arial;Helvetica;sans-serif"/>
          <w:b/>
          <w:spacing w:val="-2"/>
          <w:sz w:val="20"/>
        </w:rPr>
        <w:t>Commitments and Contingencies</w:t>
      </w:r>
    </w:p>
    <w:p>
      <w:pPr>
        <w:pStyle w:val="TextBody"/>
        <w:bidi w:val="0"/>
        <w:spacing w:before="0" w:after="0"/>
        <w:ind w:left="0" w:right="0" w:hanging="0"/>
        <w:jc w:val="left"/>
        <w:rPr>
          <w:spacing w:val="-2"/>
        </w:rPr>
      </w:pPr>
      <w:r>
        <w:rPr>
          <w:spacing w:val="-2"/>
        </w:rPr>
        <w:t>​</w:t>
      </w:r>
    </w:p>
    <w:p>
      <w:pPr>
        <w:pStyle w:val="TextBody"/>
        <w:bidi w:val="0"/>
        <w:spacing w:before="40" w:after="0"/>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Commitments</w:t>
      </w:r>
    </w:p>
    <w:p>
      <w:pPr>
        <w:pStyle w:val="TextBody"/>
        <w:bidi w:val="0"/>
        <w:spacing w:before="40" w:after="0"/>
        <w:ind w:left="0" w:right="0" w:hanging="0"/>
        <w:jc w:val="left"/>
        <w:rPr>
          <w:color w:val="000000"/>
        </w:rPr>
      </w:pPr>
      <w:r>
        <w:rPr>
          <w:color w:val="000000"/>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Future</w:t>
      </w:r>
      <w:r>
        <w:rPr>
          <w:rFonts w:ascii="Times New Roman;Times;serif" w:hAnsi="Times New Roman;Times;serif"/>
          <w:sz w:val="20"/>
        </w:rPr>
        <w:t xml:space="preserve"> </w:t>
      </w:r>
      <w:r>
        <w:rPr>
          <w:rFonts w:ascii="Arial;Helvetica;sans-serif" w:hAnsi="Arial;Helvetica;sans-serif"/>
          <w:sz w:val="20"/>
        </w:rPr>
        <w:t xml:space="preserve">maturities of our long-term debt, finance lease and contractual obligations as disclosed in our Annual Report on Form 10-K for the year ended December 31, 2024 have not changed materially, other than those disclosed below, which in general relate to certain “Other long-term obligations” being reflected on our Condensed Consolidated Balance Sheets.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w:rPr>
          <w:rFonts w:ascii="Arial;Helvetica;sans-serif" w:hAnsi="Arial;Helvetica;sans-serif"/>
          <w:sz w:val="20"/>
        </w:rPr>
        <w:t>Other long-term obligations” totaled $4.412</w:t>
      </w:r>
      <w:r>
        <w:rPr>
          <w:rFonts w:ascii="Times New Roman;Times;serif" w:hAnsi="Times New Roman;Times;serif"/>
          <w:sz w:val="20"/>
        </w:rPr>
        <w:t xml:space="preserve"> </w:t>
      </w:r>
      <w:r>
        <w:rPr>
          <w:rFonts w:ascii="Arial;Helvetica;sans-serif" w:hAnsi="Arial;Helvetica;sans-serif"/>
          <w:sz w:val="20"/>
        </w:rPr>
        <w:t>billion as of September 30, 2025 and $9.690</w:t>
      </w:r>
      <w:r>
        <w:rPr>
          <w:rFonts w:ascii="Times New Roman;Times;serif" w:hAnsi="Times New Roman;Times;serif"/>
          <w:sz w:val="20"/>
        </w:rPr>
        <w:t xml:space="preserve"> </w:t>
      </w:r>
      <w:r>
        <w:rPr>
          <w:rFonts w:ascii="Arial;Helvetica;sans-serif" w:hAnsi="Arial;Helvetica;sans-serif"/>
          <w:sz w:val="20"/>
        </w:rPr>
        <w:t xml:space="preserve">billion as of December 31, 2024. This decrease primarily resulted from the non-cash remeasurement of communication tower leases not previously commenced under the take or pay arrangements that were attributed to existing leases and were recorded as “Operating lease assets” and “Operating lease liabilities” on our Condensed Consolidated Balance Sheets, </w:t>
      </w:r>
      <w:r>
        <w:rPr>
          <w:rFonts w:ascii="Arial;Helvetica;sans-serif" w:hAnsi="Arial;Helvetica;sans-serif"/>
          <w:sz w:val="20"/>
          <w:shd w:fill="FFFFFF" w:val="clear"/>
        </w:rPr>
        <w:t xml:space="preserve">the restructuring of certain </w:t>
      </w:r>
      <w:r>
        <w:rPr>
          <w:rFonts w:ascii="Arial;Helvetica;sans-serif" w:hAnsi="Arial;Helvetica;sans-serif"/>
          <w:sz w:val="20"/>
        </w:rPr>
        <w:t>contractual commitments</w:t>
      </w:r>
      <w:r>
        <w:rPr>
          <w:rFonts w:ascii="Times New Roman;Times;serif" w:hAnsi="Times New Roman;Times;serif"/>
          <w:sz w:val="20"/>
          <w:shd w:fill="FFFFFF" w:val="clear"/>
        </w:rPr>
        <w:t xml:space="preserve"> </w:t>
      </w:r>
      <w:r>
        <w:rPr>
          <w:rFonts w:ascii="Arial;Helvetica;sans-serif" w:hAnsi="Arial;Helvetica;sans-serif"/>
          <w:sz w:val="20"/>
          <w:shd w:fill="FFFFFF" w:val="clear"/>
        </w:rPr>
        <w:t xml:space="preserve">and exit, disposal or other costs associated with certain </w:t>
      </w:r>
      <w:r>
        <w:rPr>
          <w:rFonts w:ascii="Arial;Helvetica;sans-serif" w:hAnsi="Arial;Helvetica;sans-serif"/>
          <w:sz w:val="20"/>
        </w:rPr>
        <w:t>contractual commitments, as well as payments made for 2025 obligations. As of September 30, 2025, our future “Other long-term obligations” were as follows:</w:t>
      </w:r>
    </w:p>
    <w:p>
      <w:pPr>
        <w:pStyle w:val="TextBody"/>
        <w:bidi w:val="0"/>
        <w:spacing w:before="0" w:after="0"/>
        <w:ind w:left="0" w:right="0" w:hanging="0"/>
        <w:jc w:val="left"/>
        <w:rPr>
          <w:spacing w:val="-2"/>
        </w:rPr>
      </w:pPr>
      <w:r>
        <w:rPr>
          <w:spacing w:val="-2"/>
        </w:rPr>
        <w:t>​</w:t>
      </w:r>
    </w:p>
    <w:tbl>
      <w:tblPr>
        <w:tblW w:w="6140" w:type="dxa"/>
        <w:jc w:val="left"/>
        <w:tblInd w:w="0" w:type="dxa"/>
        <w:tblLayout w:type="fixed"/>
        <w:tblCellMar>
          <w:top w:w="0" w:type="dxa"/>
          <w:left w:w="0" w:type="dxa"/>
          <w:bottom w:w="0" w:type="dxa"/>
          <w:right w:w="0" w:type="dxa"/>
        </w:tblCellMar>
      </w:tblPr>
      <w:tblGrid>
        <w:gridCol w:w="3151"/>
        <w:gridCol w:w="109"/>
        <w:gridCol w:w="372"/>
        <w:gridCol w:w="2508"/>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00885" cy="175260"/>
                      <wp:effectExtent l="0" t="0" r="0" b="0"/>
                      <wp:wrapNone/>
                      <wp:docPr id="233" name="Frame233"/>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9215" cy="175260"/>
                      <wp:effectExtent l="0" t="0" r="0" b="0"/>
                      <wp:wrapNone/>
                      <wp:docPr id="234" name="Frame2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36220" cy="175260"/>
                      <wp:effectExtent l="0" t="0" r="0" b="0"/>
                      <wp:wrapNone/>
                      <wp:docPr id="235" name="Frame235"/>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92580" cy="175260"/>
                      <wp:effectExtent l="0" t="0" r="0" b="0"/>
                      <wp:wrapNone/>
                      <wp:docPr id="236" name="Frame236"/>
                      <a:graphic xmlns:a="http://schemas.openxmlformats.org/drawingml/2006/main">
                        <a:graphicData uri="http://schemas.microsoft.com/office/word/2010/wordprocessingShape">
                          <wps:wsp>
                            <wps:cNvSpPr txBox="1"/>
                            <wps:spPr>
                              <a:xfrm>
                                <a:off x="0" y="0"/>
                                <a:ext cx="159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Years Ending December 31,</w:t>
            </w:r>
          </w:p>
        </w:tc>
        <w:tc>
          <w:tcPr>
            <w:tcW w:w="109" w:type="dxa"/>
            <w:tcBorders/>
            <w:vAlign w:val="center"/>
          </w:tcPr>
          <w:p>
            <w:pPr>
              <w:pStyle w:val="TableContents"/>
              <w:bidi w:val="0"/>
              <w:spacing w:before="0" w:after="0"/>
              <w:ind w:left="0" w:right="0" w:hanging="0"/>
              <w:jc w:val="left"/>
              <w:rPr/>
            </w:pPr>
            <w:r>
              <w:rPr/>
              <w:t>​</w:t>
            </w:r>
          </w:p>
        </w:tc>
        <w:tc>
          <w:tcPr>
            <w:tcW w:w="2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Other Long-Term Obligations (1)</w:t>
            </w:r>
          </w:p>
        </w:tc>
      </w:tr>
      <w:tr>
        <w:trPr/>
        <w:tc>
          <w:tcPr>
            <w:tcW w:w="31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2025 (remaining three months)</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50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126,447</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1,325,612</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736,876</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109"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2508"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672,915</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508"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620,000</w:t>
            </w:r>
          </w:p>
        </w:tc>
      </w:tr>
      <w:tr>
        <w:trPr/>
        <w:tc>
          <w:tcPr>
            <w:tcW w:w="31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Thereafter</w:t>
            </w:r>
          </w:p>
        </w:tc>
        <w:tc>
          <w:tcPr>
            <w:tcW w:w="109" w:type="dxa"/>
            <w:tcBorders/>
            <w:vAlign w:val="center"/>
          </w:tcPr>
          <w:p>
            <w:pPr>
              <w:pStyle w:val="TableContents"/>
              <w:bidi w:val="0"/>
              <w:spacing w:before="0" w:after="0"/>
              <w:ind w:left="0" w:right="0" w:hanging="0"/>
              <w:jc w:val="left"/>
              <w:rPr/>
            </w:pPr>
            <w:r>
              <w:rPr/>
              <w:t>​</w:t>
            </w:r>
          </w:p>
        </w:tc>
        <w:tc>
          <w:tcPr>
            <w:tcW w:w="3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0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930,000</w:t>
            </w:r>
          </w:p>
        </w:tc>
      </w:tr>
      <w:tr>
        <w:trPr/>
        <w:tc>
          <w:tcPr>
            <w:tcW w:w="31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3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25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4,411,850</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18"/>
        <w:gridCol w:w="9887"/>
      </w:tblGrid>
      <w:tr>
        <w:trPr/>
        <w:tc>
          <w:tcPr>
            <w:tcW w:w="3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8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Represents minimum contractual commitments related to obligations for our Hybrid MNO, certain wireless device purchases and marketing obligations, and satellite related and other obligations.</w:t>
            </w:r>
          </w:p>
        </w:tc>
      </w:tr>
    </w:tbl>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 xml:space="preserve">5G Network </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We initially invested a total of over $30</w:t>
      </w:r>
      <w:r>
        <w:rPr>
          <w:rFonts w:ascii="Times New Roman;Times;serif" w:hAnsi="Times New Roman;Times;serif"/>
          <w:spacing w:val="-2"/>
          <w:sz w:val="18"/>
        </w:rPr>
        <w:t xml:space="preserve"> </w:t>
      </w:r>
      <w:r>
        <w:rPr>
          <w:rFonts w:ascii="Arial;Helvetica;sans-serif" w:hAnsi="Arial;Helvetica;sans-serif"/>
          <w:spacing w:val="-2"/>
          <w:sz w:val="20"/>
        </w:rPr>
        <w:t>billion in Wireless spectrum licenses, and a portion of these licenses were included in the Wireless Spectrum License Exchange and the Sale and Transfer of Assets to EchoStar. Prior to the impairments during the third quarter of 2025 as detailed in Note 1, we had $24</w:t>
      </w:r>
      <w:r>
        <w:rPr>
          <w:rFonts w:ascii="Times New Roman;Times;serif" w:hAnsi="Times New Roman;Times;serif"/>
          <w:spacing w:val="-2"/>
          <w:sz w:val="18"/>
        </w:rPr>
        <w:t xml:space="preserve"> </w:t>
      </w:r>
      <w:r>
        <w:rPr>
          <w:rFonts w:ascii="Arial;Helvetica;sans-serif" w:hAnsi="Arial;Helvetica;sans-serif"/>
          <w:spacing w:val="-2"/>
          <w:sz w:val="20"/>
        </w:rPr>
        <w:t>billion of investments related to Wireless spectrum licenses, which does not include $7</w:t>
      </w:r>
      <w:r>
        <w:rPr>
          <w:rFonts w:ascii="Times New Roman;Times;serif" w:hAnsi="Times New Roman;Times;serif"/>
          <w:spacing w:val="-2"/>
          <w:sz w:val="18"/>
        </w:rPr>
        <w:t xml:space="preserve"> </w:t>
      </w:r>
      <w:r>
        <w:rPr>
          <w:rFonts w:ascii="Arial;Helvetica;sans-serif" w:hAnsi="Arial;Helvetica;sans-serif"/>
          <w:spacing w:val="-2"/>
          <w:sz w:val="20"/>
        </w:rPr>
        <w:t>billion of capitalized interest related to the carrying value of such licenses. See Note 2 and Note 12 for further information. A significant number of these licenses are included in the AT&amp;T Transactions announced during the third quarter of 2025 as detailed in Note 1 “</w:t>
      </w:r>
      <w:r>
        <w:rPr>
          <w:rFonts w:ascii="Arial;Helvetica;sans-serif" w:hAnsi="Arial;Helvetica;sans-serif"/>
          <w:i/>
          <w:spacing w:val="-2"/>
          <w:sz w:val="20"/>
        </w:rPr>
        <w:t>Recent Developments</w:t>
      </w:r>
      <w:r>
        <w:rPr>
          <w:rFonts w:ascii="Arial;Helvetica;sans-serif" w:hAnsi="Arial;Helvetica;sans-serif"/>
          <w:spacing w:val="-2"/>
          <w:sz w:val="20"/>
        </w:rPr>
        <w:t>.”</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both"/>
        <w:rPr>
          <w:rFonts w:ascii="Arial;Helvetica;sans-serif" w:hAnsi="Arial;Helvetica;sans-serif"/>
          <w:b/>
          <w:i/>
          <w:spacing w:val="-2"/>
          <w:sz w:val="20"/>
        </w:rPr>
      </w:pPr>
      <w:r>
        <w:rPr>
          <w:rFonts w:ascii="Arial;Helvetica;sans-serif" w:hAnsi="Arial;Helvetica;sans-serif"/>
          <w:b/>
          <w:i/>
          <w:spacing w:val="-2"/>
          <w:sz w:val="20"/>
        </w:rPr>
        <w:t>Wireless Spectrum Licenses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Recent Developments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pacing w:val="-2"/>
          <w:sz w:val="20"/>
        </w:rPr>
        <w:t xml:space="preserve">Wireless Spectrum License Exchange. </w:t>
      </w:r>
      <w:r>
        <w:rPr>
          <w:rFonts w:ascii="Arial;Helvetica;sans-serif" w:hAnsi="Arial;Helvetica;sans-serif"/>
          <w:spacing w:val="-2"/>
          <w:sz w:val="20"/>
        </w:rPr>
        <w:t>In accordance with Accounting Standards Codification 805-50, Business Combinations – Related Issues, for transactions among entities under common control, generally the assets transferred and/or exchanged are recorded at the net carrying value of the assets. The difference between the net carrying values of the assets transferred and/or exchanged is recorded in “Additional paid-in capital” on our Condensed Consolidated Balance Sheets. On March 21, 2025, we exchanged interests in our wholly-owned subsidiaries which hold certain 3.45-3.55 GHz Licenses with our parent, EchoStar, for interests in their wholly-owned subsidiaries that hold the 700 MHz, LMDS, C-Band – Cheyenne (3.7-3.98 GHz), 24 GHz, 28 GHz, 37GHz, 39GHz and 47GHz Licenses (together with the 3.45-3.55 GHz Licenses, the “Exchanged Wireless Spectrum Licenses”), the (“Wireless Spectrum License Exchange.”) The difference between the net carrying values of the Exchanged Wireless Spectrum Licenses of $267</w:t>
      </w:r>
      <w:r>
        <w:rPr>
          <w:rFonts w:ascii="Times New Roman;Times;serif" w:hAnsi="Times New Roman;Times;serif"/>
          <w:spacing w:val="-2"/>
          <w:sz w:val="20"/>
        </w:rPr>
        <w:t xml:space="preserve"> </w:t>
      </w:r>
      <w:r>
        <w:rPr>
          <w:rFonts w:ascii="Arial;Helvetica;sans-serif" w:hAnsi="Arial;Helvetica;sans-serif"/>
          <w:spacing w:val="-2"/>
          <w:sz w:val="20"/>
        </w:rPr>
        <w:t xml:space="preserve">million, net of tax, was recorded in “Additional paid-in capital” on our Condensed Consolidated Balance Sheets as of September 30, 2025.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bookmarkStart w:id="1318" w:name="Tc_yb1ARoZhl0mWKETJwfjCAw_37_2"/>
      <w:bookmarkStart w:id="1319" w:name="Tc_5mWnHS1llU-rFGg75EwBBA_37_0"/>
      <w:bookmarkStart w:id="1320" w:name="Tc_hYteYmFsX0qCt7R20rte8g_36_11"/>
      <w:bookmarkStart w:id="1321" w:name="Tc_9B5_nw8qnEqEbcHUSqm7YA_36_9"/>
      <w:bookmarkStart w:id="1322" w:name="Tc_HYhZP_Uc_kid1uPpu9IMIg_36_0"/>
      <w:bookmarkStart w:id="1323" w:name="Tc_uEJ5sIPbuUKlowKzwB0bNQ_35_11"/>
      <w:bookmarkStart w:id="1324" w:name="Tc_H5ZmQbm250eylmrHtwjutA_35_0"/>
      <w:bookmarkStart w:id="1325" w:name="Tc_zQ-9rBuZOUS-Au1sZ58LLg_34_0"/>
      <w:bookmarkStart w:id="1326" w:name="Tc_X45kD2pv2EWwVZBYp4Hrzw_33_11"/>
      <w:bookmarkStart w:id="1327" w:name="Tc_TjpFjuIyJkS6qLEtApRKFg_33_9"/>
      <w:bookmarkStart w:id="1328" w:name="Tc_iEnoAx75o0C8ghUVzD-REA_33_7"/>
      <w:bookmarkStart w:id="1329" w:name="Tc_h0P6SBmrhUSMZ5XCOfETqw_33_0"/>
      <w:bookmarkStart w:id="1330" w:name="Tc_HRMJzRTpz0G9fBcfvXQftA_32_0"/>
      <w:bookmarkStart w:id="1331" w:name="Tc_Djdqd9ygbkOMdFepRt14xA_31_11"/>
      <w:bookmarkStart w:id="1332" w:name="Tc_LxMdcD17Bk6EFhPqMffTZQ_31_9"/>
      <w:bookmarkStart w:id="1333" w:name="Tc_avITikXjCEGCCTZuypAeNw_31_7"/>
      <w:bookmarkStart w:id="1334" w:name="Tc_PcOrkjsj2E6-sR1vpJS5gw_31_0"/>
      <w:bookmarkStart w:id="1335" w:name="Tc_d7xGOfma7EKL5nRXgQIftg_30_11"/>
      <w:bookmarkStart w:id="1336" w:name="Tc_c4QOaGkSr0-M5O5ajOOPgw_30_9"/>
      <w:bookmarkStart w:id="1337" w:name="Tc_KzmK3azcyESkxl37y2K1BQ_30_7"/>
      <w:bookmarkStart w:id="1338" w:name="Tc_4jGekqxom0qs76w6ViLAcQ_30_2"/>
      <w:bookmarkStart w:id="1339" w:name="Tc_PadvwTkBA0inIz8uQi-hcQ_30_0"/>
      <w:bookmarkStart w:id="1340" w:name="Tc_RsJJOyup_U6ynk2CSaPv-Q_29_0"/>
      <w:bookmarkStart w:id="1341" w:name="Tc_DoRj4yDf0UOQJFEZD_3R0Q_28_0"/>
      <w:bookmarkStart w:id="1342" w:name="Tc_9aVkPbSj0EeJ7CB3cYJV7Q_26_2"/>
      <w:bookmarkStart w:id="1343" w:name="Tc_e5tEExUbzka-n1u7KvTx3Q_26_0"/>
      <w:bookmarkStart w:id="1344" w:name="Tc_i6Gu4-JBFEiFp_Q9MmDWkg_25_0"/>
      <w:bookmarkStart w:id="1345" w:name="Tc_0z-kKH6A7060jQjaX1ZDKg_24_0"/>
      <w:bookmarkStart w:id="1346" w:name="Tc_fHFGISbcNUKe6g18HpRAwA_22_11"/>
      <w:bookmarkStart w:id="1347" w:name="Tc_z61yPDNd90eFC7ngrJzn1g_22_9"/>
      <w:bookmarkStart w:id="1348" w:name="Tc_ZvF6mG7VJ0O0fwve_cLE7w_22_7"/>
      <w:bookmarkStart w:id="1349" w:name="Tc_gVPT8Ec6DkGS1uewS2G58w_22_0"/>
      <w:bookmarkStart w:id="1350" w:name="Tc_iMTzZZ-Xl06eDdB-UVb_fw_21_0"/>
      <w:bookmarkStart w:id="1351" w:name="Tc_4CSJqz0uXkK2Bm5pfRcRbw_19_0"/>
      <w:bookmarkStart w:id="1352" w:name="Tc_IputWm4bUU28CzfDxbIzTg_18_11"/>
      <w:bookmarkStart w:id="1353" w:name="Tc_UnhK66Gze0alsfa3aJr-Lw_18_9"/>
      <w:bookmarkStart w:id="1354" w:name="Tc_xO-1w42qJkORU2N8KHM-EQ_18_7"/>
      <w:bookmarkStart w:id="1355" w:name="Tc_t7jSne2zSUSjUxbj_4T1Ag_18_0"/>
      <w:bookmarkStart w:id="1356" w:name="Tc_npTqq0AIxEamamRZwUcweQ_17_11"/>
      <w:bookmarkStart w:id="1357" w:name="Tc_hj4b2JC_AEiNX0i1YmyYkA_17_0"/>
      <w:bookmarkStart w:id="1358" w:name="Tc_8b_-RsVwjUmX_W4o3GLcsw_16_11"/>
      <w:bookmarkStart w:id="1359" w:name="Tc_ZCWVxN2gikWimXDTFa8h4A_16_9"/>
      <w:bookmarkStart w:id="1360" w:name="Tc_NXRRk4YxnkmicbUwY2LwqQ_16_5"/>
      <w:bookmarkStart w:id="1361" w:name="Tc_lZrMW9_RwEeywEWLiFZFzw_16_0"/>
      <w:bookmarkStart w:id="1362" w:name="Tc_QW-zqO5nUk6TT7ThhPMNZg_15_11"/>
      <w:bookmarkStart w:id="1363" w:name="Tc_BkHJZj83uUaP1qPHem8z4Q_15_9"/>
      <w:bookmarkStart w:id="1364" w:name="Tc_1I55JemE4UKcb9i0vV3Qew_15_0"/>
      <w:bookmarkStart w:id="1365" w:name="Tc_4tbAtCFQ1Euow1g9RjMBig_14_11"/>
      <w:bookmarkStart w:id="1366" w:name="Tc_HwnNwxhJKUiVgHVyBXz6lQ_14_9"/>
      <w:bookmarkStart w:id="1367" w:name="Tc_BtfVtNSg0kG85ZCbFCLzaw_14_0"/>
      <w:bookmarkStart w:id="1368" w:name="Tc_JuH9BvTH0EGDKC6qNxjkeg_13_11"/>
      <w:bookmarkStart w:id="1369" w:name="Tc_Yx0gqjcFA0alwaqzjkPC8g_13_9"/>
      <w:bookmarkStart w:id="1370" w:name="Tc_lcG7PQF0qEqvm37VCnGBRw_13_0"/>
      <w:bookmarkStart w:id="1371" w:name="Tc_0e0CT7QX9UmWP6Yj39kWeg_12_11"/>
      <w:bookmarkStart w:id="1372" w:name="Tc_6OLTErlGW0Wirtea2YHnIQ_12_3"/>
      <w:bookmarkStart w:id="1373" w:name="Tc_CVbE2cnUrEqUD_04fZ5AzQ_12_0"/>
      <w:bookmarkStart w:id="1374" w:name="Tc_LJ7AOuabHEqPYHL8gTd1NQ_11_11"/>
      <w:bookmarkStart w:id="1375" w:name="Tc_mM0K1y7c2kCPCrkdsQEOMw_11_9"/>
      <w:bookmarkStart w:id="1376" w:name="Tc_ZtPyU4TRU0-kJ6KyDIrjMQ_11_7"/>
      <w:bookmarkStart w:id="1377" w:name="Tc__p82DxB8Zk6NIYdAe3GtJQ_11_0"/>
      <w:bookmarkStart w:id="1378" w:name="Tc_TpWCyQqpZE6QmmBq8CQo5Q_10_0"/>
      <w:bookmarkStart w:id="1379" w:name="Tc_RVd-fWAOHku-HOlLIWMTBw_9_0"/>
      <w:bookmarkStart w:id="1380" w:name="Tc_rDWRtW3TK0ifuZIoDIIwOA_8_11"/>
      <w:bookmarkStart w:id="1381" w:name="Tc_JV4fzg3dgECpiJFWcG0sXA_8_9"/>
      <w:bookmarkStart w:id="1382" w:name="Tc_GiY2NYOgN0-ToQnWV3XNfw_8_5"/>
      <w:bookmarkStart w:id="1383" w:name="Tc_oHCLXaMiz0uPjVf9abC3dQ_8_0"/>
      <w:bookmarkStart w:id="1384" w:name="Tc_2OS7QfmMqEKvo80JJiZu4Q_7_11"/>
      <w:bookmarkStart w:id="1385" w:name="Tc_LUqlbnpICkuQo9x4Js7H1Q_7_9"/>
      <w:bookmarkStart w:id="1386" w:name="Tc_0MYJphHdW02VocsyhOhHeA_7_7"/>
      <w:bookmarkStart w:id="1387" w:name="Tc_4cmZYHZRA0WXnvZHbzJY7w_7_2"/>
      <w:bookmarkStart w:id="1388" w:name="Tc_eUW1vRE7zU670KRGdk1slg_7_0"/>
      <w:bookmarkStart w:id="1389" w:name="Tc_hwEFP7MiUkKKg38Ye8XVrg_6_0"/>
      <w:bookmarkStart w:id="1390" w:name="Tc_Wm_oeiTRR0SZgTqc_CFvrg_5_0"/>
      <w:bookmarkStart w:id="1391" w:name="Tc_Qbn0K1JwJkmxaHz5cESHVQ_4_2"/>
      <w:bookmarkStart w:id="1392" w:name="Tc_my1Frg6ga0alw9XwOvMy7Q_3_11"/>
      <w:bookmarkStart w:id="1393" w:name="Tc_5jBJZLRbWU22-FRv1tuTKA_3_9"/>
      <w:bookmarkStart w:id="1394" w:name="Tc_oXhPYm-_aUqgxKqcMghGfw_3_7"/>
      <w:bookmarkStart w:id="1395" w:name="Tc_NztuGUe3g0Wse7SfqInF6A_3_5"/>
      <w:bookmarkStart w:id="1396" w:name="Tc_irTecsUGmUyTOsX0agHLgA_3_2"/>
      <w:bookmarkStart w:id="1397" w:name="Tc_lHlorJwyXkyHogxNnpa2WA_2_7"/>
      <w:bookmarkStart w:id="1398" w:name="Tc_BDiwx_yJcE6TC83K01UBiw_1_5"/>
      <w:bookmarkStart w:id="1399" w:name="_25a97e6e_28aa_4484_b33f_6b6479d0c788"/>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Our Wireless spectrum licenses are subject to certain build-out requirements, as well as certain renewal requirements that are summarized in the table below: </w:t>
      </w:r>
    </w:p>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2869"/>
        <w:gridCol w:w="109"/>
        <w:gridCol w:w="205"/>
        <w:gridCol w:w="918"/>
        <w:gridCol w:w="109"/>
        <w:gridCol w:w="1036"/>
        <w:gridCol w:w="109"/>
        <w:gridCol w:w="1548"/>
        <w:gridCol w:w="109"/>
        <w:gridCol w:w="1413"/>
        <w:gridCol w:w="109"/>
        <w:gridCol w:w="1671"/>
      </w:tblGrid>
      <w:tr>
        <w:trPr/>
        <w:tc>
          <w:tcPr>
            <w:tcW w:w="2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821815" cy="175260"/>
                      <wp:effectExtent l="0" t="0" r="0" b="0"/>
                      <wp:wrapNone/>
                      <wp:docPr id="237" name="Frame237"/>
                      <a:graphic xmlns:a="http://schemas.openxmlformats.org/drawingml/2006/main">
                        <a:graphicData uri="http://schemas.microsoft.com/office/word/2010/wordprocessingShape">
                          <wps:wsp>
                            <wps:cNvSpPr txBox="1"/>
                            <wps:spPr>
                              <a:xfrm>
                                <a:off x="0" y="0"/>
                                <a:ext cx="182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8" name="Frame2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0175" cy="175260"/>
                      <wp:effectExtent l="0" t="0" r="0" b="0"/>
                      <wp:wrapNone/>
                      <wp:docPr id="239" name="Frame239"/>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82930" cy="175260"/>
                      <wp:effectExtent l="0" t="0" r="0" b="0"/>
                      <wp:wrapNone/>
                      <wp:docPr id="240" name="Frame240"/>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57860" cy="175260"/>
                      <wp:effectExtent l="0" t="0" r="0" b="0"/>
                      <wp:wrapNone/>
                      <wp:docPr id="242" name="Frame24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9215" cy="175260"/>
                      <wp:effectExtent l="0" t="0" r="0" b="0"/>
                      <wp:wrapNone/>
                      <wp:docPr id="243"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982980" cy="175260"/>
                      <wp:effectExtent l="0" t="0" r="0" b="0"/>
                      <wp:wrapNone/>
                      <wp:docPr id="244" name="Frame244"/>
                      <a:graphic xmlns:a="http://schemas.openxmlformats.org/drawingml/2006/main">
                        <a:graphicData uri="http://schemas.microsoft.com/office/word/2010/wordprocessingShape">
                          <wps:wsp>
                            <wps:cNvSpPr txBox="1"/>
                            <wps:spPr>
                              <a:xfrm>
                                <a:off x="0" y="0"/>
                                <a:ext cx="982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9215" cy="175260"/>
                      <wp:effectExtent l="0" t="0" r="0" b="0"/>
                      <wp:wrapNone/>
                      <wp:docPr id="245" name="Frame2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897255" cy="175260"/>
                      <wp:effectExtent l="0" t="0" r="0" b="0"/>
                      <wp:wrapNone/>
                      <wp:docPr id="246" name="Frame246"/>
                      <a:graphic xmlns:a="http://schemas.openxmlformats.org/drawingml/2006/main">
                        <a:graphicData uri="http://schemas.microsoft.com/office/word/2010/wordprocessingShape">
                          <wps:wsp>
                            <wps:cNvSpPr txBox="1"/>
                            <wps:spPr>
                              <a:xfrm>
                                <a:off x="0" y="0"/>
                                <a:ext cx="897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9215" cy="175260"/>
                      <wp:effectExtent l="0" t="0" r="0" b="0"/>
                      <wp:wrapNone/>
                      <wp:docPr id="247" name="Frame2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061085" cy="175260"/>
                      <wp:effectExtent l="0" t="0" r="0" b="0"/>
                      <wp:wrapNone/>
                      <wp:docPr id="248" name="Frame248"/>
                      <a:graphic xmlns:a="http://schemas.openxmlformats.org/drawingml/2006/main">
                        <a:graphicData uri="http://schemas.microsoft.com/office/word/2010/wordprocessingShape">
                          <wps:wsp>
                            <wps:cNvSpPr txBox="1"/>
                            <wps:spPr>
                              <a:xfrm>
                                <a:off x="0" y="0"/>
                                <a:ext cx="1061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421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Build-Out Deadlines</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05"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7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Final</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Carrying Amount</w:t>
            </w:r>
          </w:p>
        </w:tc>
        <w:tc>
          <w:tcPr>
            <w:tcW w:w="109"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Interim</w:t>
            </w:r>
          </w:p>
        </w:tc>
        <w:tc>
          <w:tcPr>
            <w:tcW w:w="109" w:type="dxa"/>
            <w:tcBorders/>
            <w:vAlign w:val="center"/>
          </w:tcPr>
          <w:p>
            <w:pPr>
              <w:pStyle w:val="TableContents"/>
              <w:bidi w:val="0"/>
              <w:spacing w:before="0" w:after="0"/>
              <w:ind w:left="0" w:right="0" w:hanging="0"/>
              <w:jc w:val="left"/>
              <w:rPr/>
            </w:pPr>
            <w:r>
              <w:rPr/>
              <w:t>​</w:t>
            </w:r>
          </w:p>
        </w:tc>
        <w:tc>
          <w:tcPr>
            <w:tcW w:w="1548"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Accelerated License Areas</w:t>
            </w:r>
          </w:p>
        </w:tc>
        <w:tc>
          <w:tcPr>
            <w:tcW w:w="109" w:type="dxa"/>
            <w:tcBorders/>
            <w:vAlign w:val="center"/>
          </w:tcPr>
          <w:p>
            <w:pPr>
              <w:pStyle w:val="TableContents"/>
              <w:bidi w:val="0"/>
              <w:spacing w:before="0" w:after="0"/>
              <w:ind w:left="0" w:right="0" w:hanging="0"/>
              <w:jc w:val="left"/>
              <w:rPr/>
            </w:pPr>
            <w:r>
              <w:rPr/>
              <w:t>​</w:t>
            </w:r>
          </w:p>
        </w:tc>
        <w:tc>
          <w:tcPr>
            <w:tcW w:w="1413"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Extension License Areas</w:t>
            </w:r>
          </w:p>
        </w:tc>
        <w:tc>
          <w:tcPr>
            <w:tcW w:w="109" w:type="dxa"/>
            <w:tcBorders/>
            <w:vAlign w:val="center"/>
          </w:tcPr>
          <w:p>
            <w:pPr>
              <w:pStyle w:val="TableContents"/>
              <w:bidi w:val="0"/>
              <w:spacing w:before="0" w:after="0"/>
              <w:ind w:left="0" w:right="0" w:hanging="0"/>
              <w:jc w:val="left"/>
              <w:rPr/>
            </w:pPr>
            <w:r>
              <w:rPr/>
              <w:t>​</w:t>
            </w:r>
          </w:p>
        </w:tc>
        <w:tc>
          <w:tcPr>
            <w:tcW w:w="167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4"/>
              </w:rPr>
            </w:pPr>
            <w:r>
              <w:rPr>
                <w:rFonts w:ascii="Arial;Helvetica;sans-serif" w:hAnsi="Arial;Helvetica;sans-serif"/>
                <w:b/>
                <w:sz w:val="14"/>
              </w:rPr>
              <w:t>Expiration Date</w:t>
            </w:r>
          </w:p>
        </w:tc>
      </w:tr>
      <w:tr>
        <w:trPr/>
        <w:tc>
          <w:tcPr>
            <w:tcW w:w="2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23" w:type="dxa"/>
            <w:gridSpan w:val="2"/>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(In thousands)</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Owned:</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center"/>
              <w:rPr/>
            </w:pPr>
            <w:r>
              <w:rPr/>
              <w:t>​</w:t>
            </w:r>
          </w:p>
        </w:tc>
        <w:tc>
          <w:tcPr>
            <w:tcW w:w="91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AT&amp;T Transactions:</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center"/>
              <w:rPr/>
            </w:pPr>
            <w:r>
              <w:rPr/>
              <w:t>​</w:t>
            </w:r>
          </w:p>
        </w:tc>
        <w:tc>
          <w:tcPr>
            <w:tcW w:w="91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600 MHz Licenses</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6,192,575</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(6)</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14, 2025 (9)</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2029</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3.45–3.55 GHz Licenses (1)(2)</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6,073,432</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May 4, 2026 (10)</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May 4, 2030 (10)</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May 2037</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Remaining Wireless spectrum licenses:</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center"/>
              <w:rPr/>
            </w:pPr>
            <w:r>
              <w:rPr/>
              <w:t>​</w:t>
            </w:r>
          </w:p>
        </w:tc>
        <w:tc>
          <w:tcPr>
            <w:tcW w:w="91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DBS Licenses (3)</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677,409</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700 MHz Licenses (2)(4)</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701,803</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(7)</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14, 2025 (11)</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2033</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LMDS Licenses (2)(3)</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September 2028</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28 GHz Licenses (2)</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2,883</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October 2, 2029 (12)</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October 2029</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24 GHz Licenses (2)</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11,772</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11, 2029 (12)</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2029</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37 GHz, 39 GHz and 47 GHz Licenses (2)</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202,392</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4, 2030 (12)</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2030</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3.7-3.98 GHz Licenses (2)</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2,969</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July 23, 2029 (12)</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July 23, 2033 (12)</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July 2036</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1695-1710 MHz, 1755-1780 MHz and 2155-2180 MHz (4)</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972</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March 2026</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AWS-3 (5)</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5,557,828</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(8)</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October 25, 2025 (13)</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October 2025 (13)</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b/>
                <w:i/>
                <w:sz w:val="14"/>
              </w:rPr>
            </w:pPr>
            <w:r>
              <w:rPr>
                <w:rFonts w:ascii="Arial;Helvetica;sans-serif" w:hAnsi="Arial;Helvetica;sans-serif"/>
                <w:b/>
                <w:i/>
                <w:sz w:val="14"/>
              </w:rPr>
              <w:t>Subtotal owned</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19,424,035</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Noncontrolling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SNR</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4,271,459</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(8)</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October 2025 (13)</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October 2025 (13)</w:t>
            </w:r>
          </w:p>
        </w:tc>
      </w:tr>
      <w:tr>
        <w:trPr/>
        <w:tc>
          <w:tcPr>
            <w:tcW w:w="28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Capitalized Interest (14)</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7,442,078</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Impairment of indefinite-lived intangible assets (15)</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(5,195,868)</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54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 Regulatory authorizations, net</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91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25,941,704</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Leased from EchoStar (16):</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SpaceX Transactions:</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AWS-4 Licenses (4)</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918" w:type="dxa"/>
            <w:tcBorders/>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1,928,688</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(7)</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14, 2025 (11)</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2033</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H Block Licenses (4)</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1,671,506</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(7)</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14, 2025 (17)</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2033</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AT&amp;T Transactions:</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600 MHz Licenses</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255,153</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December 31, 2024 (6)</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14, 2025 (9)</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June 2029</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i/>
                <w:sz w:val="14"/>
              </w:rPr>
            </w:pPr>
            <w:r>
              <w:rPr>
                <w:rFonts w:ascii="Arial;Helvetica;sans-serif" w:hAnsi="Arial;Helvetica;sans-serif"/>
                <w:i/>
                <w:sz w:val="14"/>
              </w:rPr>
              <w:t>Remaining Wireless spectrum licenses:</w:t>
            </w:r>
          </w:p>
        </w:tc>
        <w:tc>
          <w:tcPr>
            <w:tcW w:w="109" w:type="dxa"/>
            <w:tcBorders/>
            <w:vAlign w:val="center"/>
          </w:tcPr>
          <w:p>
            <w:pPr>
              <w:pStyle w:val="TableContents"/>
              <w:bidi w:val="0"/>
              <w:spacing w:before="0" w:after="0"/>
              <w:ind w:left="0" w:right="0" w:hanging="0"/>
              <w:jc w:val="left"/>
              <w:rPr/>
            </w:pPr>
            <w:r>
              <w:rPr/>
              <w:t>​</w:t>
            </w:r>
          </w:p>
        </w:tc>
        <w:tc>
          <w:tcPr>
            <w:tcW w:w="205" w:type="dxa"/>
            <w:tcBorders/>
            <w:vAlign w:val="center"/>
          </w:tcPr>
          <w:p>
            <w:pPr>
              <w:pStyle w:val="TableContents"/>
              <w:bidi w:val="0"/>
              <w:spacing w:before="0" w:after="0"/>
              <w:ind w:left="0" w:right="0" w:hanging="0"/>
              <w:jc w:val="left"/>
              <w:rPr/>
            </w:pPr>
            <w:r>
              <w:rPr/>
              <w:t>​</w:t>
            </w:r>
          </w:p>
        </w:tc>
        <w:tc>
          <w:tcPr>
            <w:tcW w:w="91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pPr>
            <w:r>
              <w:rPr/>
              <w:t>​</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MVDDS Licenses (3)</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918" w:type="dxa"/>
            <w:tcBorders/>
            <w:shd w:fill="CCEEFF" w:val="cle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24,000</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July, August, September 2034</w:t>
            </w:r>
          </w:p>
        </w:tc>
      </w:tr>
      <w:tr>
        <w:trPr/>
        <w:tc>
          <w:tcPr>
            <w:tcW w:w="2869" w:type="dxa"/>
            <w:tcBorders/>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3550-3650 MHz Licenses</w:t>
            </w:r>
          </w:p>
        </w:tc>
        <w:tc>
          <w:tcPr>
            <w:tcW w:w="109" w:type="dxa"/>
            <w:tcBorders/>
            <w:vAlign w:val="center"/>
          </w:tcPr>
          <w:p>
            <w:pPr>
              <w:pStyle w:val="TableContents"/>
              <w:bidi w:val="0"/>
              <w:spacing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8"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912,200</w:t>
            </w:r>
          </w:p>
        </w:tc>
        <w:tc>
          <w:tcPr>
            <w:tcW w:w="109"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48"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413"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March 12, 2031 (12)</w:t>
            </w:r>
          </w:p>
        </w:tc>
        <w:tc>
          <w:tcPr>
            <w:tcW w:w="109"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center"/>
              <w:rPr>
                <w:rFonts w:ascii="Arial;Helvetica;sans-serif" w:hAnsi="Arial;Helvetica;sans-serif"/>
                <w:sz w:val="14"/>
              </w:rPr>
            </w:pPr>
            <w:r>
              <w:rPr>
                <w:rFonts w:ascii="Arial;Helvetica;sans-serif" w:hAnsi="Arial;Helvetica;sans-serif"/>
                <w:sz w:val="14"/>
              </w:rPr>
              <w:t>March 2031</w:t>
            </w:r>
          </w:p>
        </w:tc>
      </w:tr>
      <w:tr>
        <w:trPr/>
        <w:tc>
          <w:tcPr>
            <w:tcW w:w="2869" w:type="dxa"/>
            <w:tcBorders/>
            <w:shd w:fill="CCEEFF" w:val="clear"/>
            <w:vAlign w:val="center"/>
          </w:tcPr>
          <w:p>
            <w:pPr>
              <w:pStyle w:val="TableContents"/>
              <w:bidi w:val="0"/>
              <w:spacing w:before="0" w:after="0"/>
              <w:ind w:left="0" w:right="0" w:hanging="0"/>
              <w:jc w:val="left"/>
              <w:rPr>
                <w:rFonts w:ascii="Arial;Helvetica;sans-serif" w:hAnsi="Arial;Helvetica;sans-serif"/>
                <w:b/>
                <w:sz w:val="14"/>
              </w:rPr>
            </w:pPr>
            <w:r>
              <w:rPr>
                <w:rFonts w:ascii="Arial;Helvetica;sans-serif" w:hAnsi="Arial;Helvetica;sans-serif"/>
                <w:b/>
                <w:sz w:val="14"/>
              </w:rPr>
              <w:t>Total Leased from EchoStar</w:t>
            </w:r>
          </w:p>
        </w:tc>
        <w:tc>
          <w:tcPr>
            <w:tcW w:w="109"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4"/>
              </w:rPr>
            </w:pPr>
            <w:r>
              <w:rPr>
                <w:rFonts w:ascii="Arial;Helvetica;sans-serif" w:hAnsi="Arial;Helvetica;sans-serif"/>
                <w:sz w:val="14"/>
              </w:rPr>
              <w:t>$</w:t>
            </w:r>
          </w:p>
        </w:tc>
        <w:tc>
          <w:tcPr>
            <w:tcW w:w="9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4"/>
              </w:rPr>
            </w:pPr>
            <w:r>
              <w:rPr>
                <w:rFonts w:ascii="Arial;Helvetica;sans-serif" w:hAnsi="Arial;Helvetica;sans-serif"/>
                <w:sz w:val="14"/>
              </w:rPr>
              <w:t>4,791,547</w:t>
            </w:r>
          </w:p>
        </w:tc>
        <w:tc>
          <w:tcPr>
            <w:tcW w:w="109"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1548"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13"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7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Subject to the terms of the AT&amp;T License Purchase Agreement, at the end of the third quarter of 2025, AT&amp;T, subject to a short-term spectrum manager lease, exercised its right to lease certain 3.45 GHz licenses from us.</w:t>
            </w:r>
          </w:p>
        </w:tc>
      </w:tr>
    </w:tbl>
    <w:tbl>
      <w:tblPr>
        <w:tblW w:w="7442" w:type="dxa"/>
        <w:jc w:val="left"/>
        <w:tblInd w:w="0" w:type="dxa"/>
        <w:tblLayout w:type="fixed"/>
        <w:tblCellMar>
          <w:top w:w="0" w:type="dxa"/>
          <w:left w:w="0" w:type="dxa"/>
          <w:bottom w:w="0" w:type="dxa"/>
          <w:right w:w="0" w:type="dxa"/>
        </w:tblCellMar>
      </w:tblPr>
      <w:tblGrid>
        <w:gridCol w:w="346"/>
        <w:gridCol w:w="709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709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See above for further information on the Wireless Spectrum License Exchange. </w:t>
            </w:r>
          </w:p>
        </w:tc>
      </w:tr>
    </w:tbl>
    <w:tbl>
      <w:tblPr>
        <w:tblW w:w="5522" w:type="dxa"/>
        <w:jc w:val="left"/>
        <w:tblInd w:w="0" w:type="dxa"/>
        <w:tblLayout w:type="fixed"/>
        <w:tblCellMar>
          <w:top w:w="0" w:type="dxa"/>
          <w:left w:w="0" w:type="dxa"/>
          <w:bottom w:w="0" w:type="dxa"/>
          <w:right w:w="0" w:type="dxa"/>
        </w:tblCellMar>
      </w:tblPr>
      <w:tblGrid>
        <w:gridCol w:w="346"/>
        <w:gridCol w:w="517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51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build-out deadlines for these licenses have been met.</w:t>
            </w:r>
          </w:p>
        </w:tc>
      </w:tr>
    </w:tbl>
    <w:tbl>
      <w:tblPr>
        <w:tblW w:w="6122" w:type="dxa"/>
        <w:jc w:val="left"/>
        <w:tblInd w:w="0" w:type="dxa"/>
        <w:tblLayout w:type="fixed"/>
        <w:tblCellMar>
          <w:top w:w="0" w:type="dxa"/>
          <w:left w:w="0" w:type="dxa"/>
          <w:bottom w:w="0" w:type="dxa"/>
          <w:right w:w="0" w:type="dxa"/>
        </w:tblCellMar>
      </w:tblPr>
      <w:tblGrid>
        <w:gridCol w:w="346"/>
        <w:gridCol w:w="5776"/>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577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interim build-out deadlines for these licenses are in the past.</w:t>
            </w:r>
          </w:p>
        </w:tc>
      </w:tr>
    </w:tbl>
    <w:tbl>
      <w:tblPr>
        <w:tblW w:w="3557" w:type="dxa"/>
        <w:jc w:val="left"/>
        <w:tblInd w:w="0" w:type="dxa"/>
        <w:tblLayout w:type="fixed"/>
        <w:tblCellMar>
          <w:top w:w="0" w:type="dxa"/>
          <w:left w:w="0" w:type="dxa"/>
          <w:bottom w:w="0" w:type="dxa"/>
          <w:right w:w="0" w:type="dxa"/>
        </w:tblCellMar>
      </w:tblPr>
      <w:tblGrid>
        <w:gridCol w:w="346"/>
        <w:gridCol w:w="3211"/>
      </w:tblGrid>
      <w:tr>
        <w:trPr/>
        <w:tc>
          <w:tcPr>
            <w:tcW w:w="3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321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13 for further information.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(6)</w:t>
            </w:r>
          </w:p>
        </w:tc>
        <w:tc>
          <w:tcPr>
            <w:tcW w:w="991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 a January 10, 2025 filing to the FCC, we certified that we were offering 5G broadband service for certain of these license areas to at least 85%</w:t>
            </w:r>
            <w:r>
              <w:rPr>
                <w:caps w:val="false"/>
                <w:smallCaps w:val="false"/>
              </w:rPr>
              <w:t xml:space="preserve"> </w:t>
            </w:r>
            <w:r>
              <w:rPr>
                <w:rFonts w:ascii="Arial;Helvetica;sans-serif" w:hAnsi="Arial;Helvetica;sans-serif"/>
                <w:b w:val="false"/>
                <w:i w:val="false"/>
                <w:caps w:val="false"/>
                <w:smallCaps w:val="false"/>
                <w:sz w:val="20"/>
              </w:rPr>
              <w:t>of the population in each Partial Economic Area (which is a service area established by the FCC), and offering 5G broadband service for certain other licenses to at least 80%</w:t>
            </w:r>
            <w:r>
              <w:rPr>
                <w:caps w:val="false"/>
                <w:smallCaps w:val="false"/>
              </w:rPr>
              <w:t xml:space="preserve"> </w:t>
            </w:r>
            <w:r>
              <w:rPr>
                <w:rFonts w:ascii="Arial;Helvetica;sans-serif" w:hAnsi="Arial;Helvetica;sans-serif"/>
                <w:b w:val="false"/>
                <w:i w:val="false"/>
                <w:caps w:val="false"/>
                <w:smallCaps w:val="false"/>
                <w:sz w:val="20"/>
              </w:rPr>
              <w:t>of the population in each Partial Economic Area by this date (part of Commitments #2 and #3 of the Extension Request). These licenses are set forth in Appendices B and E of the Extension Request. Under the Extension Request, if we successfully fulfill Commitments #2 and #3, the final construction deadline for the 600 MHz licenses listed in Appendix G-2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(7)</w:t>
            </w:r>
          </w:p>
        </w:tc>
        <w:tc>
          <w:tcPr>
            <w:tcW w:w="9915"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 a January 10, 2025 filing to the FCC, we certified that we were offering 5G broadband service for certain of these license areas to at least 85%</w:t>
            </w:r>
            <w:r>
              <w:rPr>
                <w:caps w:val="false"/>
                <w:smallCaps w:val="false"/>
              </w:rPr>
              <w:t xml:space="preserve"> </w:t>
            </w:r>
            <w:r>
              <w:rPr>
                <w:rFonts w:ascii="Arial;Helvetica;sans-serif" w:hAnsi="Arial;Helvetica;sans-serif"/>
                <w:b w:val="false"/>
                <w:i w:val="false"/>
                <w:caps w:val="false"/>
                <w:smallCaps w:val="false"/>
                <w:sz w:val="20"/>
              </w:rPr>
              <w:t>of the population in each Economic Area (which is a service area established by the FCC), and offering 5G broadband service for certain other licenses to at least 80%</w:t>
            </w:r>
            <w:r>
              <w:rPr>
                <w:caps w:val="false"/>
                <w:smallCaps w:val="false"/>
              </w:rPr>
              <w:t xml:space="preserve"> </w:t>
            </w:r>
            <w:r>
              <w:rPr>
                <w:rFonts w:ascii="Arial;Helvetica;sans-serif" w:hAnsi="Arial;Helvetica;sans-serif"/>
                <w:b w:val="false"/>
                <w:i w:val="false"/>
                <w:caps w:val="false"/>
                <w:smallCaps w:val="false"/>
                <w:sz w:val="20"/>
              </w:rPr>
              <w:t>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(8)</w:t>
            </w:r>
          </w:p>
        </w:tc>
        <w:tc>
          <w:tcPr>
            <w:tcW w:w="9914"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In a January 10, 2025 filing to the FCC, we certified that we were offering reliable signal coverage for certain of these license areas and offering service for certain accelerated licenses to at least 85%</w:t>
            </w:r>
            <w:r>
              <w:rPr>
                <w:caps w:val="false"/>
                <w:smallCaps w:val="false"/>
              </w:rPr>
              <w:t xml:space="preserve"> </w:t>
            </w:r>
            <w:r>
              <w:rPr>
                <w:rFonts w:ascii="Arial;Helvetica;sans-serif" w:hAnsi="Arial;Helvetica;sans-serif"/>
                <w:b w:val="false"/>
                <w:i w:val="false"/>
                <w:caps w:val="false"/>
                <w:smallCaps w:val="false"/>
                <w:sz w:val="20"/>
              </w:rPr>
              <w:t>of the population of each license area and for certain other accelerated licenses to at least 80%</w:t>
            </w:r>
            <w:r>
              <w:rPr>
                <w:caps w:val="false"/>
                <w:smallCaps w:val="false"/>
              </w:rPr>
              <w:t xml:space="preserve"> </w:t>
            </w:r>
            <w:r>
              <w:rPr>
                <w:rFonts w:ascii="Arial;Helvetica;sans-serif" w:hAnsi="Arial;Helvetica;sans-serif"/>
                <w:b w:val="false"/>
                <w:i w:val="false"/>
                <w:caps w:val="false"/>
                <w:smallCaps w:val="false"/>
                <w:sz w:val="20"/>
              </w:rPr>
              <w:t>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(9)</w:t>
            </w:r>
          </w:p>
        </w:tc>
        <w:tc>
          <w:tcPr>
            <w:tcW w:w="9917"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For the 600 MHz licenses set forth in Appendix G-2 of the Extension Request, we have certified to meeting the accelerated build-out obligations described in footnotes 6, 7 and 8 herein (thus fulfilling Commitments #2 and #3 of the Extension Request), and as a result the final deadline for us to offer 5G broadband service to at least 75%</w:t>
            </w:r>
            <w:r>
              <w:rPr>
                <w:caps w:val="false"/>
                <w:smallCaps w:val="false"/>
              </w:rPr>
              <w:t xml:space="preserve"> </w:t>
            </w:r>
            <w:r>
              <w:rPr>
                <w:rFonts w:ascii="Arial;Helvetica;sans-serif" w:hAnsi="Arial;Helvetica;sans-serif"/>
                <w:b w:val="false"/>
                <w:i w:val="false"/>
                <w:caps w:val="false"/>
                <w:smallCaps w:val="false"/>
                <w:sz w:val="20"/>
              </w:rPr>
              <w:t>of the population in each Partial Economic Area (which is a service area established by the 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by June 14, 2025 (a) we have offered a low-cost 5G broadband plan and device to consumers nationwide; (b)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(c) we have upgraded our deployed 5G sites to 3GPP Release 17; and (d)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(ii) we were offering a low-cost 5G broadband plan and device to consumers nationwide. In a March 17, 2025 filing to the FCC, we certified that we have upgraded our deployed 5G sites to 3GPP Release 17. In a May 5, 2025 filing to the FCC, we certified that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In a June 17, 2025 filing to the FCC, we certified that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w:t>
            </w:r>
          </w:p>
        </w:tc>
        <w:tc>
          <w:tcPr>
            <w:tcW w:w="9789"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There are a variety of build-out options and associated build-out metrics associated with these licenses. If the interim build-out requirement is not met, the final build-out requirement may be accelerated by one year</w:t>
            </w:r>
            <w:r>
              <w:rPr>
                <w:caps w:val="false"/>
                <w:smallCaps w:val="false"/>
              </w:rPr>
              <w:t xml:space="preserve"> </w:t>
            </w:r>
            <w:r>
              <w:rPr>
                <w:rFonts w:ascii="Arial;Helvetica;sans-serif" w:hAnsi="Arial;Helvetica;sans-serif"/>
                <w:b w:val="false"/>
                <w:i w:val="false"/>
                <w:caps w:val="false"/>
                <w:smallCaps w:val="false"/>
                <w:sz w:val="20"/>
              </w:rPr>
              <w:t xml:space="preserve">from May 2030 to May 2029. </w:t>
            </w:r>
          </w:p>
        </w:tc>
      </w:tr>
    </w:tbl>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(11)</w:t>
            </w:r>
          </w:p>
        </w:tc>
        <w:tc>
          <w:tcPr>
            <w:tcW w:w="98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For the 700 MHz and AWS-4 licenses set forth in Appendix G-1 of the Extension Request, we have certified to meeting the accelerated build-out obligations described in footnotes 6, 7 and 8 herein (thus fulfilling Commitments #2 and #3 of the Extension Request), and as a result the final deadline for us to offer 5G broadband service to at least 70%</w:t>
            </w:r>
            <w:r>
              <w:rPr>
                <w:caps w:val="false"/>
                <w:smallCaps w:val="false"/>
              </w:rPr>
              <w:t xml:space="preserve"> </w:t>
            </w:r>
            <w:r>
              <w:rPr>
                <w:rFonts w:ascii="Arial;Helvetica;sans-serif" w:hAnsi="Arial;Helvetica;sans-serif"/>
                <w:b w:val="false"/>
                <w:i w:val="false"/>
                <w:caps w:val="false"/>
                <w:smallCaps w:val="false"/>
                <w:sz w:val="20"/>
              </w:rPr>
              <w:t>of the population in each Economic Area (which is a service area established by the 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by June 14, 2025 (a) we have offered a low-cost 5G broadband plan and device to consumers nationwide; (b)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(c) we have upgraded our deployed 5G sites to 3GPP Release 17; and (d)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(ii) we were offering a low-cost 5G broadband plan and device to consumers nationwide. In a March 17, 2025 filing to the FCC, we certified that we have upgraded our deployed 5G sites to 3GPP Release 17. In a May 5, 2025 filing to the FCC, we certified that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In a June 17, 2025 filing to the FCC, we certified that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tbl>
      <w:tblPr>
        <w:tblW w:w="9617" w:type="dxa"/>
        <w:jc w:val="left"/>
        <w:tblInd w:w="0" w:type="dxa"/>
        <w:tblLayout w:type="fixed"/>
        <w:tblCellMar>
          <w:top w:w="0" w:type="dxa"/>
          <w:left w:w="0" w:type="dxa"/>
          <w:bottom w:w="0" w:type="dxa"/>
          <w:right w:w="0" w:type="dxa"/>
        </w:tblCellMar>
      </w:tblPr>
      <w:tblGrid>
        <w:gridCol w:w="451"/>
        <w:gridCol w:w="9166"/>
      </w:tblGrid>
      <w:tr>
        <w:trPr/>
        <w:tc>
          <w:tcPr>
            <w:tcW w:w="4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(12)</w:t>
            </w:r>
          </w:p>
        </w:tc>
        <w:tc>
          <w:tcPr>
            <w:tcW w:w="9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are a variety of build-out options and associated build-out metrics associated with these licenses.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(13)</w:t>
            </w:r>
          </w:p>
        </w:tc>
        <w:tc>
          <w:tcPr>
            <w:tcW w:w="98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For the AWS-3 licenses set forth in Appendix G-3 of the Extension Request, we have certified to meeting the accelerated build-out obligations described in footnotes 6, 7 and 8 herein (thus fulfilling Commitments #2 and #3 of the Extension Request), and as a result the final deadline for us to offer reliable signal coverage to at least 75%</w:t>
            </w:r>
            <w:r>
              <w:rPr>
                <w:caps w:val="false"/>
                <w:smallCaps w:val="false"/>
              </w:rPr>
              <w:t xml:space="preserve"> </w:t>
            </w:r>
            <w:r>
              <w:rPr>
                <w:rFonts w:ascii="Arial;Helvetica;sans-serif" w:hAnsi="Arial;Helvetica;sans-serif"/>
                <w:b w:val="false"/>
                <w:i w:val="false"/>
                <w:caps w:val="false"/>
                <w:smallCaps w:val="false"/>
                <w:sz w:val="20"/>
              </w:rPr>
              <w:t>of the population in each license area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reliable signal coverage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by June 14, 2025 (a) we have offered a low-cost 5G broadband plan and device to consumers nationwide; (b)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(c) we have upgraded our deployed 5G sites to 3GPP Release 17; and (d)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reliable signal coverage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(ii) we were offering a low-cost 5G broadband plan and device to consumers nationwide. In a March 17, 2025 filing to the FCC, we certified that we have upgraded our deployed 5G sites to 3GPP Release 17. In a May 5, 2025 filing to the FCC, we certified that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In a June 17, 2025 filing to the FCC, we certified that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tbl>
      <w:tblPr>
        <w:tblW w:w="3557" w:type="dxa"/>
        <w:jc w:val="left"/>
        <w:tblInd w:w="0" w:type="dxa"/>
        <w:tblLayout w:type="fixed"/>
        <w:tblCellMar>
          <w:top w:w="0" w:type="dxa"/>
          <w:left w:w="0" w:type="dxa"/>
          <w:bottom w:w="0" w:type="dxa"/>
          <w:right w:w="0" w:type="dxa"/>
        </w:tblCellMar>
      </w:tblPr>
      <w:tblGrid>
        <w:gridCol w:w="451"/>
        <w:gridCol w:w="3106"/>
      </w:tblGrid>
      <w:tr>
        <w:trPr/>
        <w:tc>
          <w:tcPr>
            <w:tcW w:w="4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(14)</w:t>
            </w:r>
          </w:p>
        </w:tc>
        <w:tc>
          <w:tcPr>
            <w:tcW w:w="310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 Note 2 for further information.</w:t>
            </w:r>
          </w:p>
        </w:tc>
      </w:tr>
    </w:tbl>
    <w:tbl>
      <w:tblPr>
        <w:tblW w:w="7892" w:type="dxa"/>
        <w:jc w:val="left"/>
        <w:tblInd w:w="0" w:type="dxa"/>
        <w:tblLayout w:type="fixed"/>
        <w:tblCellMar>
          <w:top w:w="0" w:type="dxa"/>
          <w:left w:w="0" w:type="dxa"/>
          <w:bottom w:w="0" w:type="dxa"/>
          <w:right w:w="0" w:type="dxa"/>
        </w:tblCellMar>
      </w:tblPr>
      <w:tblGrid>
        <w:gridCol w:w="451"/>
        <w:gridCol w:w="7441"/>
      </w:tblGrid>
      <w:tr>
        <w:trPr/>
        <w:tc>
          <w:tcPr>
            <w:tcW w:w="451" w:type="dxa"/>
            <w:tcBorders/>
            <w:vAlign w:val="center"/>
          </w:tcPr>
          <w:p>
            <w:pPr>
              <w:pStyle w:val="TableContents"/>
              <w:bidi w:val="0"/>
              <w:spacing w:before="0" w:after="283"/>
              <w:jc w:val="left"/>
              <w:rPr>
                <w:rFonts w:ascii="Arial;Helvetica;sans-serif" w:hAnsi="Arial;Helvetica;sans-serif"/>
                <w:color w:val="222222"/>
                <w:sz w:val="20"/>
              </w:rPr>
            </w:pPr>
            <w:r>
              <w:rPr>
                <w:rFonts w:ascii="Arial;Helvetica;sans-serif" w:hAnsi="Arial;Helvetica;sans-serif"/>
                <w:color w:val="222222"/>
                <w:sz w:val="20"/>
              </w:rPr>
              <w:t>(15)</w:t>
            </w:r>
          </w:p>
        </w:tc>
        <w:tc>
          <w:tcPr>
            <w:tcW w:w="7441"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color w:val="222222"/>
                <w:sz w:val="20"/>
              </w:rPr>
              <w:t>See Note 1 “</w:t>
            </w:r>
            <w:r>
              <w:rPr>
                <w:rFonts w:ascii="Arial;Helvetica;sans-serif" w:hAnsi="Arial;Helvetica;sans-serif"/>
                <w:b w:val="false"/>
                <w:i/>
                <w:sz w:val="20"/>
              </w:rPr>
              <w:t xml:space="preserve">Impairment of Indefinite-Lived Intangible Assets” </w:t>
            </w:r>
            <w:r>
              <w:rPr>
                <w:rFonts w:ascii="Arial;Helvetica;sans-serif" w:hAnsi="Arial;Helvetica;sans-serif"/>
                <w:b w:val="false"/>
                <w:i w:val="false"/>
                <w:caps w:val="false"/>
                <w:smallCaps w:val="false"/>
                <w:color w:val="222222"/>
                <w:sz w:val="20"/>
              </w:rPr>
              <w:t>for further information.</w:t>
            </w:r>
          </w:p>
        </w:tc>
      </w:tr>
    </w:tbl>
    <w:tbl>
      <w:tblPr>
        <w:tblW w:w="5792" w:type="dxa"/>
        <w:jc w:val="left"/>
        <w:tblInd w:w="0" w:type="dxa"/>
        <w:tblLayout w:type="fixed"/>
        <w:tblCellMar>
          <w:top w:w="0" w:type="dxa"/>
          <w:left w:w="0" w:type="dxa"/>
          <w:bottom w:w="0" w:type="dxa"/>
          <w:right w:w="0" w:type="dxa"/>
        </w:tblCellMar>
      </w:tblPr>
      <w:tblGrid>
        <w:gridCol w:w="451"/>
        <w:gridCol w:w="5341"/>
      </w:tblGrid>
      <w:tr>
        <w:trPr/>
        <w:tc>
          <w:tcPr>
            <w:tcW w:w="4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(16)</w:t>
            </w:r>
          </w:p>
        </w:tc>
        <w:tc>
          <w:tcPr>
            <w:tcW w:w="5341"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See Note 12 for Related Party Transactions with EchoStar. </w:t>
            </w:r>
          </w:p>
        </w:tc>
      </w:tr>
    </w:tbl>
    <w:tbl>
      <w:tblPr>
        <w:tblW w:w="10205" w:type="dxa"/>
        <w:jc w:val="left"/>
        <w:tblInd w:w="0" w:type="dxa"/>
        <w:tblLayout w:type="fixed"/>
        <w:tblCellMar>
          <w:top w:w="0" w:type="dxa"/>
          <w:left w:w="0" w:type="dxa"/>
          <w:bottom w:w="0" w:type="dxa"/>
          <w:right w:w="0" w:type="dxa"/>
        </w:tblCellMar>
      </w:tblPr>
      <w:tblGrid>
        <w:gridCol w:w="393"/>
        <w:gridCol w:w="9812"/>
      </w:tblGrid>
      <w:tr>
        <w:trPr/>
        <w:tc>
          <w:tcPr>
            <w:tcW w:w="39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(17)</w:t>
            </w:r>
          </w:p>
        </w:tc>
        <w:tc>
          <w:tcPr>
            <w:tcW w:w="9812" w:type="dxa"/>
            <w:tcBorders/>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For the H-Block licenses set forth in Appendix G-1 of the Extension Request, we have certified to meeting the accelerated build-out obligations described in footnotes 6, 7 and 8 herein (thus fulfilling Commitments #2 and #3 of the Extension Request), and as a result the final deadline for us to offer 5G broadband service to at least 75%</w:t>
            </w:r>
            <w:r>
              <w:rPr>
                <w:caps w:val="false"/>
                <w:smallCaps w:val="false"/>
              </w:rPr>
              <w:t xml:space="preserve"> </w:t>
            </w:r>
            <w:r>
              <w:rPr>
                <w:rFonts w:ascii="Arial;Helvetica;sans-serif" w:hAnsi="Arial;Helvetica;sans-serif"/>
                <w:b w:val="false"/>
                <w:i w:val="false"/>
                <w:caps w:val="false"/>
                <w:smallCaps w:val="false"/>
                <w:sz w:val="20"/>
              </w:rPr>
              <w:t>of the population in each Economic Area (which is a service area established by the 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80%</w:t>
            </w:r>
            <w:r>
              <w:rPr>
                <w:caps w:val="false"/>
                <w:smallCaps w:val="false"/>
              </w:rPr>
              <w:t xml:space="preserve"> </w:t>
            </w:r>
            <w:r>
              <w:rPr>
                <w:rFonts w:ascii="Arial;Helvetica;sans-serif" w:hAnsi="Arial;Helvetica;sans-serif"/>
                <w:b w:val="false"/>
                <w:i w:val="false"/>
                <w:caps w:val="false"/>
                <w:smallCaps w:val="false"/>
                <w:sz w:val="20"/>
              </w:rPr>
              <w:t>of the U.S. population and, by June 14, 2025 (a) we have offered a low-cost 5G broadband plan and device to consumers nationwide; (b) we have deployed at least 24,000</w:t>
            </w:r>
            <w:r>
              <w:rPr>
                <w:caps w:val="false"/>
                <w:smallCaps w:val="false"/>
              </w:rPr>
              <w:t xml:space="preserve"> </w:t>
            </w:r>
            <w:r>
              <w:rPr>
                <w:rFonts w:ascii="Arial;Helvetica;sans-serif" w:hAnsi="Arial;Helvetica;sans-serif"/>
                <w:b w:val="false"/>
                <w:i w:val="false"/>
                <w:caps w:val="false"/>
                <w:smallCaps w:val="false"/>
                <w:sz w:val="20"/>
              </w:rPr>
              <w:t>5G sites; (c) we have upgraded our deployed 5G sites to 3GPP Release 17; and (d) we have provisioned at least 75%</w:t>
            </w:r>
            <w:r>
              <w:rPr>
                <w:caps w:val="false"/>
                <w:smallCaps w:val="false"/>
              </w:rPr>
              <w:t xml:space="preserve"> </w:t>
            </w:r>
            <w:r>
              <w:rPr>
                <w:rFonts w:ascii="Arial;Helvetica;sans-serif" w:hAnsi="Arial;Helvetica;sans-serif"/>
                <w:b w:val="false"/>
                <w:i w:val="false"/>
                <w:caps w:val="false"/>
                <w:smallCaps w:val="false"/>
                <w:sz w:val="20"/>
              </w:rPr>
              <w:t>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w:t>
            </w:r>
            <w:r>
              <w:rPr>
                <w:caps w:val="false"/>
                <w:smallCaps w:val="false"/>
              </w:rPr>
              <w:t xml:space="preserve"> </w:t>
            </w:r>
            <w:r>
              <w:rPr>
                <w:rFonts w:ascii="Arial;Helvetica;sans-serif" w:hAnsi="Arial;Helvetica;sans-serif"/>
                <w:b w:val="false"/>
                <w:i w:val="false"/>
                <w:caps w:val="false"/>
                <w:smallCaps w:val="false"/>
                <w:sz w:val="20"/>
              </w:rPr>
              <w:t xml:space="preserve">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Helvetica;sans-serif" w:hAnsi="Arial;Helvetica;sans-serif"/>
                <w:b w:val="false"/>
                <w:i w:val="false"/>
                <w:caps w:val="false"/>
                <w:smallCaps w:val="false"/>
                <w:color w:val="222222"/>
                <w:sz w:val="20"/>
              </w:rPr>
              <w:t>we have deployed at least 24,000</w:t>
            </w:r>
            <w:r>
              <w:rPr>
                <w:caps w:val="false"/>
                <w:smallCaps w:val="false"/>
                <w:color w:val="222222"/>
              </w:rPr>
              <w:t xml:space="preserve"> </w:t>
            </w:r>
            <w:r>
              <w:rPr>
                <w:rFonts w:ascii="Arial;Helvetica;sans-serif" w:hAnsi="Arial;Helvetica;sans-serif"/>
                <w:b w:val="false"/>
                <w:i w:val="false"/>
                <w:caps w:val="false"/>
                <w:smallCaps w:val="false"/>
                <w:color w:val="222222"/>
                <w:sz w:val="20"/>
              </w:rPr>
              <w:t>5G sites. In a June 17, 2025 filing to the FCC, we certified that we have provisioned at least 75%</w:t>
            </w:r>
            <w:r>
              <w:rPr>
                <w:caps w:val="false"/>
                <w:smallCaps w:val="false"/>
                <w:color w:val="222222"/>
              </w:rPr>
              <w:t xml:space="preserve"> </w:t>
            </w:r>
            <w:r>
              <w:rPr>
                <w:rFonts w:ascii="Arial;Helvetica;sans-serif" w:hAnsi="Arial;Helvetica;sans-serif"/>
                <w:b w:val="false"/>
                <w:i w:val="false"/>
                <w:caps w:val="false"/>
                <w:smallCaps w:val="false"/>
                <w:color w:val="222222"/>
                <w:sz w:val="20"/>
              </w:rPr>
              <w:t xml:space="preserve">of new subscribers with an EchoStar-certified 5G device on our MNO network if the subscriber is within the accelerated markets as set forth in Appendices A-F of the Extension Request. </w:t>
            </w:r>
            <w:r>
              <w:rPr>
                <w:rFonts w:ascii="Arial;Helvetica;sans-serif" w:hAnsi="Arial;Helvetica;sans-serif"/>
                <w:b w:val="false"/>
                <w:i w:val="false"/>
                <w:caps w:val="false"/>
                <w:smallCaps w:val="false"/>
                <w:sz w:val="20"/>
              </w:rPr>
              <w:t>See Note 1 “</w:t>
            </w:r>
            <w:r>
              <w:rPr>
                <w:rFonts w:ascii="Arial;Helvetica;sans-serif" w:hAnsi="Arial;Helvetica;sans-serif"/>
                <w:b w:val="false"/>
                <w:i/>
                <w:sz w:val="20"/>
              </w:rPr>
              <w:t>Recent Developments</w:t>
            </w:r>
            <w:r>
              <w:rPr>
                <w:caps w:val="false"/>
                <w:smallCaps w:val="false"/>
              </w:rPr>
              <w:t xml:space="preserve">” </w:t>
            </w:r>
            <w:r>
              <w:rPr>
                <w:rFonts w:ascii="Arial;Helvetica;sans-serif" w:hAnsi="Arial;Helvetica;sans-serif"/>
                <w:b w:val="false"/>
                <w:i w:val="false"/>
                <w:caps w:val="false"/>
                <w:smallCaps w:val="false"/>
                <w:sz w:val="20"/>
              </w:rPr>
              <w:t>for further information on the FCC’s recently completed review of our compliance with our obligations regarding our federal spectrum licenses.</w:t>
            </w:r>
          </w:p>
        </w:tc>
      </w:tr>
    </w:tbl>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color w:val="0A0A0A"/>
          <w:spacing w:val="-2"/>
          <w:sz w:val="20"/>
        </w:rPr>
        <w:t xml:space="preserve">In September 2024, the FCC conditionally granted our requests to extend the 5G deployment deadlines for certain of our </w:t>
      </w:r>
      <w:r>
        <w:rPr>
          <w:rFonts w:ascii="Arial;Helvetica;sans-serif" w:hAnsi="Arial;Helvetica;sans-serif"/>
          <w:spacing w:val="-2"/>
          <w:sz w:val="20"/>
        </w:rPr>
        <w:t>Wireless spectrum licenses</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 xml:space="preserve">based on several commitments and </w:t>
      </w:r>
      <w:r>
        <w:rPr>
          <w:rFonts w:ascii="Arial;Helvetica;sans-serif" w:hAnsi="Arial;Helvetica;sans-serif"/>
          <w:color w:val="222222"/>
          <w:spacing w:val="-2"/>
          <w:sz w:val="20"/>
        </w:rPr>
        <w:t>in a January 10, 2025 filing to the FCC</w:t>
      </w:r>
      <w:r>
        <w:rPr>
          <w:rFonts w:ascii="Arial;Helvetica;sans-serif" w:hAnsi="Arial;Helvetica;sans-serif"/>
          <w:color w:val="0A0A0A"/>
          <w:spacing w:val="-2"/>
          <w:sz w:val="20"/>
        </w:rPr>
        <w:t xml:space="preserve">, </w:t>
      </w:r>
      <w:r>
        <w:rPr>
          <w:rFonts w:ascii="Arial;Helvetica;sans-serif" w:hAnsi="Arial;Helvetica;sans-serif"/>
          <w:color w:val="222222"/>
          <w:spacing w:val="-2"/>
          <w:sz w:val="20"/>
        </w:rPr>
        <w:t>we certified to meeting the accelerated build-out (Commitments #2 and #3 of the Extension Request) and the nationwide 80%</w:t>
      </w:r>
      <w:r>
        <w:rPr>
          <w:rFonts w:ascii="Times New Roman;Times;serif" w:hAnsi="Times New Roman;Times;serif"/>
          <w:color w:val="222222"/>
          <w:spacing w:val="-2"/>
          <w:sz w:val="18"/>
        </w:rPr>
        <w:t xml:space="preserve"> </w:t>
      </w:r>
      <w:r>
        <w:rPr>
          <w:rFonts w:ascii="Arial;Helvetica;sans-serif" w:hAnsi="Arial;Helvetica;sans-serif"/>
          <w:color w:val="222222"/>
          <w:spacing w:val="-2"/>
          <w:sz w:val="20"/>
        </w:rPr>
        <w:t xml:space="preserve">coverage obligations (Commitment #1 of the Extension Request) </w:t>
      </w:r>
      <w:r>
        <w:rPr>
          <w:rFonts w:ascii="Arial;Helvetica;sans-serif" w:hAnsi="Arial;Helvetica;sans-serif"/>
          <w:spacing w:val="-2"/>
          <w:sz w:val="20"/>
        </w:rPr>
        <w:t>due by December 31, 2024,</w:t>
      </w:r>
      <w:r>
        <w:rPr>
          <w:rFonts w:ascii="Times New Roman;Times;serif" w:hAnsi="Times New Roman;Times;serif"/>
          <w:color w:val="222222"/>
          <w:spacing w:val="-2"/>
          <w:sz w:val="18"/>
        </w:rPr>
        <w:t xml:space="preserve"> </w:t>
      </w:r>
      <w:r>
        <w:rPr>
          <w:rFonts w:ascii="Arial;Helvetica;sans-serif" w:hAnsi="Arial;Helvetica;sans-serif"/>
          <w:color w:val="0A0A0A"/>
          <w:spacing w:val="-2"/>
          <w:sz w:val="20"/>
        </w:rPr>
        <w:t xml:space="preserve">as defined and detailed in the footnotes to the table above. </w:t>
      </w:r>
      <w:r>
        <w:rPr>
          <w:rFonts w:ascii="Arial;Helvetica;sans-serif" w:hAnsi="Arial;Helvetica;sans-serif"/>
          <w:spacing w:val="-2"/>
          <w:sz w:val="20"/>
        </w:rPr>
        <w:t>Thus, pursuant to the Extension Request, the final deployment deadlines for the licenses subject to the Extension Request (listed in Appendix G) shall be extended to December 14, 2026.</w:t>
      </w:r>
      <w:r>
        <w:rPr>
          <w:rFonts w:ascii="Times New Roman;Times;serif" w:hAnsi="Times New Roman;Times;serif"/>
          <w:spacing w:val="-2"/>
          <w:sz w:val="18"/>
        </w:rPr>
        <w:t xml:space="preserve"> </w:t>
      </w:r>
      <w:r>
        <w:rPr>
          <w:rFonts w:ascii="Arial;Helvetica;sans-serif" w:hAnsi="Arial;Helvetica;sans-serif"/>
          <w:spacing w:val="-2"/>
          <w:sz w:val="20"/>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w:t>
      </w:r>
      <w:r>
        <w:rPr>
          <w:rFonts w:ascii="Arial;Helvetica;sans-serif" w:hAnsi="Arial;Helvetica;sans-serif"/>
          <w:spacing w:val="-2"/>
          <w:sz w:val="20"/>
          <w:shd w:fill="FFFFFF" w:val="clear"/>
        </w:rPr>
        <w:t xml:space="preserve">since we satisfied the remaining Extension Request commitments, </w:t>
      </w:r>
      <w:r>
        <w:rPr>
          <w:rFonts w:ascii="Arial;Helvetica;sans-serif" w:hAnsi="Arial;Helvetica;sans-serif"/>
          <w:spacing w:val="-2"/>
          <w:sz w:val="20"/>
        </w:rPr>
        <w:t xml:space="preserve">as defined and detailed in the footnotes to the table above. </w:t>
      </w:r>
      <w:r>
        <w:rPr>
          <w:rFonts w:ascii="Arial;Helvetica;sans-serif" w:hAnsi="Arial;Helvetica;sans-serif"/>
          <w:color w:val="0A0A0A"/>
          <w:spacing w:val="-2"/>
          <w:sz w:val="20"/>
        </w:rPr>
        <w:t>S</w:t>
      </w:r>
      <w:r>
        <w:rPr>
          <w:rFonts w:ascii="Arial;Helvetica;sans-serif" w:hAnsi="Arial;Helvetica;sans-serif"/>
          <w:spacing w:val="-2"/>
          <w:sz w:val="20"/>
        </w:rPr>
        <w:t>ee Note 1 “</w:t>
      </w:r>
      <w:r>
        <w:rPr>
          <w:rFonts w:ascii="Arial;Helvetica;sans-serif" w:hAnsi="Arial;Helvetica;sans-serif"/>
          <w:i/>
          <w:spacing w:val="-2"/>
          <w:sz w:val="20"/>
        </w:rPr>
        <w:t>Recent Developments</w:t>
      </w:r>
      <w:r>
        <w:rPr>
          <w:rFonts w:ascii="Times New Roman;Times;serif" w:hAnsi="Times New Roman;Times;serif"/>
          <w:spacing w:val="-2"/>
          <w:sz w:val="18"/>
        </w:rPr>
        <w:t xml:space="preserve">” </w:t>
      </w:r>
      <w:r>
        <w:rPr>
          <w:rFonts w:ascii="Arial;Helvetica;sans-serif" w:hAnsi="Arial;Helvetica;sans-serif"/>
          <w:spacing w:val="-2"/>
          <w:sz w:val="20"/>
        </w:rPr>
        <w:t>for further information on the FCC’s recently completed review of our compliance with our obligations regarding our federal spectrum licenses.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 xml:space="preserve">AWS-3 Auction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Northstar Wireless is a wholly-owned subsidiary of Northstar Spectrum, which is an entity wholly-owned by us and, prior to October 12, 2023, by us and Northstar Manager. SNR Wireless is a wholly-owned subsidiary of SNR HoldCo, which is an entity owned by us and our parent’s direct wholly-owned subsidiary EchoStar SNR HoldCo L.L.C.</w:t>
      </w:r>
      <w:r>
        <w:rPr>
          <w:rFonts w:ascii="Times New Roman;Times;serif" w:hAnsi="Times New Roman;Times;serif"/>
          <w:spacing w:val="-2"/>
          <w:sz w:val="18"/>
        </w:rPr>
        <w:t xml:space="preserve"> </w:t>
      </w:r>
      <w:r>
        <w:rPr>
          <w:rFonts w:ascii="Arial;Helvetica;sans-serif" w:hAnsi="Arial;Helvetica;sans-serif"/>
          <w:spacing w:val="-2"/>
          <w:sz w:val="20"/>
        </w:rPr>
        <w:t xml:space="preserve">and, prior to February 16, 2024, by us and SNR Management. See Note 2 for further information.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Northstar Wireless and SNR Wireless each filed applications with the FCC to participate in Auction 97 (the “AWS-3 Auction”) for the purpose of acquiring certain AWS-3 Licenses. Each of Northstar Wireless and SNR Wireless applied to receive bidding credits of 25%</w:t>
      </w:r>
      <w:r>
        <w:rPr>
          <w:rFonts w:ascii="Times New Roman;Times;serif" w:hAnsi="Times New Roman;Times;serif"/>
          <w:spacing w:val="-2"/>
          <w:sz w:val="18"/>
        </w:rPr>
        <w:t xml:space="preserve"> </w:t>
      </w:r>
      <w:r>
        <w:rPr>
          <w:rFonts w:ascii="Arial;Helvetica;sans-serif" w:hAnsi="Arial;Helvetica;sans-serif"/>
          <w:spacing w:val="-2"/>
          <w:sz w:val="20"/>
        </w:rPr>
        <w:t>as designated entities under applicable FCC rules.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FCC Order and October 2015 Arrangements. </w:t>
      </w:r>
      <w:r>
        <w:rPr>
          <w:rFonts w:ascii="Arial;Helvetica;sans-serif" w:hAnsi="Arial;Helvetica;sans-serif"/>
          <w:spacing w:val="-2"/>
          <w:sz w:val="20"/>
        </w:rPr>
        <w:t xml:space="preserve">On August 18, 2015, the FCC released a </w:t>
      </w:r>
      <w:r>
        <w:rPr>
          <w:rFonts w:ascii="Arial;Helvetica;sans-serif" w:hAnsi="Arial;Helvetica;sans-serif"/>
          <w:i/>
          <w:spacing w:val="-2"/>
          <w:sz w:val="20"/>
        </w:rPr>
        <w:t>Memorandum Opinion and Order</w:t>
      </w:r>
      <w:r>
        <w:rPr>
          <w:rFonts w:ascii="Arial;Helvetica;sans-serif" w:hAnsi="Arial;Helvetica;sans-serif"/>
          <w:spacing w:val="-2"/>
          <w:sz w:val="20"/>
        </w:rPr>
        <w:t xml:space="preserve">, FCC 15-104 (the “Order”) in which the FCC determined, among other things, that DISH Network has a controlling interest in, and is an affiliate of, Northstar Wireless and SNR Wireless, and therefore DISH Network’s revenues should be attributed to them, </w:t>
      </w:r>
      <w:r>
        <w:rPr>
          <w:rFonts w:ascii="Arial;Helvetica;sans-serif" w:hAnsi="Arial;Helvetica;sans-serif"/>
          <w:spacing w:val="-2"/>
          <w:sz w:val="20"/>
          <w:shd w:fill="FFFFFF" w:val="clear"/>
        </w:rPr>
        <w:t>which</w:t>
      </w:r>
      <w:r>
        <w:rPr>
          <w:rFonts w:ascii="Times New Roman;Times;serif" w:hAnsi="Times New Roman;Times;serif"/>
          <w:spacing w:val="-2"/>
          <w:sz w:val="18"/>
        </w:rPr>
        <w:t xml:space="preserve"> </w:t>
      </w:r>
      <w:r>
        <w:rPr>
          <w:rFonts w:ascii="Arial;Helvetica;sans-serif" w:hAnsi="Arial;Helvetica;sans-serif"/>
          <w:spacing w:val="-2"/>
          <w:sz w:val="20"/>
        </w:rPr>
        <w:t>in turn makes Northstar Wireless and SNR Wireless ineligible to receive the 25%</w:t>
      </w:r>
      <w:r>
        <w:rPr>
          <w:rFonts w:ascii="Times New Roman;Times;serif" w:hAnsi="Times New Roman;Times;serif"/>
          <w:spacing w:val="-2"/>
          <w:sz w:val="18"/>
        </w:rPr>
        <w:t xml:space="preserve"> </w:t>
      </w:r>
      <w:r>
        <w:rPr>
          <w:rFonts w:ascii="Arial;Helvetica;sans-serif" w:hAnsi="Arial;Helvetica;sans-serif"/>
          <w:spacing w:val="-2"/>
          <w:sz w:val="20"/>
        </w:rPr>
        <w:t>bidding credits (approximately $1.961</w:t>
      </w:r>
      <w:r>
        <w:rPr>
          <w:rFonts w:ascii="Times New Roman;Times;serif" w:hAnsi="Times New Roman;Times;serif"/>
          <w:spacing w:val="-2"/>
          <w:sz w:val="18"/>
        </w:rPr>
        <w:t xml:space="preserve"> </w:t>
      </w:r>
      <w:r>
        <w:rPr>
          <w:rFonts w:ascii="Arial;Helvetica;sans-serif" w:hAnsi="Arial;Helvetica;sans-serif"/>
          <w:spacing w:val="-2"/>
          <w:sz w:val="20"/>
        </w:rPr>
        <w:t>billion for Northstar Wireless and $1.370</w:t>
      </w:r>
      <w:r>
        <w:rPr>
          <w:rFonts w:ascii="Times New Roman;Times;serif" w:hAnsi="Times New Roman;Times;serif"/>
          <w:spacing w:val="-2"/>
          <w:sz w:val="18"/>
        </w:rPr>
        <w:t xml:space="preserve"> </w:t>
      </w:r>
      <w:r>
        <w:rPr>
          <w:rFonts w:ascii="Arial;Helvetica;sans-serif" w:hAnsi="Arial;Helvetica;sans-serif"/>
          <w:spacing w:val="-2"/>
          <w:sz w:val="20"/>
        </w:rPr>
        <w:t xml:space="preserve">billion for SNR Wireless). On November 23, 2020, the FCC released a Memorandum Opinion and Order on Remand, FCC 20-160, that found that Northstar Wireless and SNR Wireless are not eligible for bidding credits based on the FCC’s determination that they remain under DISH Network’s </w:t>
      </w:r>
      <w:r>
        <w:rPr>
          <w:rFonts w:ascii="Arial;Helvetica;sans-serif" w:hAnsi="Arial;Helvetica;sans-serif"/>
          <w:i/>
          <w:spacing w:val="-2"/>
          <w:sz w:val="20"/>
        </w:rPr>
        <w:t>de facto</w:t>
      </w:r>
      <w:r>
        <w:rPr>
          <w:rFonts w:ascii="Times New Roman;Times;serif" w:hAnsi="Times New Roman;Times;serif"/>
          <w:spacing w:val="-2"/>
          <w:sz w:val="18"/>
        </w:rPr>
        <w:t xml:space="preserve"> </w:t>
      </w:r>
      <w:r>
        <w:rPr>
          <w:rFonts w:ascii="Arial;Helvetica;sans-serif" w:hAnsi="Arial;Helvetica;sans-serif"/>
          <w:spacing w:val="-2"/>
          <w:sz w:val="20"/>
        </w:rPr>
        <w:t>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Letters Exchanged between Northstar Wireless and the FCC Wireless Bureau. </w:t>
      </w:r>
      <w:r>
        <w:rPr>
          <w:rFonts w:ascii="Arial;Helvetica;sans-serif" w:hAnsi="Arial;Helvetica;sans-serif"/>
          <w:spacing w:val="-2"/>
          <w:sz w:val="20"/>
        </w:rPr>
        <w:t>As outlined in letters exchanged between Northstar Wireless and the Wireless Telecommunications Bureau of the FCC (the “FCC Wireless Bureau”), Northstar Wireless paid the gross winning bid amounts for 261</w:t>
      </w:r>
      <w:r>
        <w:rPr>
          <w:rFonts w:ascii="Times New Roman;Times;serif" w:hAnsi="Times New Roman;Times;serif"/>
          <w:spacing w:val="-2"/>
          <w:sz w:val="18"/>
        </w:rPr>
        <w:t xml:space="preserve"> </w:t>
      </w:r>
      <w:r>
        <w:rPr>
          <w:rFonts w:ascii="Arial;Helvetica;sans-serif" w:hAnsi="Arial;Helvetica;sans-serif"/>
          <w:spacing w:val="-2"/>
          <w:sz w:val="20"/>
        </w:rPr>
        <w:t>AWS-3 Licenses and notified the FCC that it would not be paying the gross winning bid amounts for 84</w:t>
      </w:r>
      <w:r>
        <w:rPr>
          <w:rFonts w:ascii="Times New Roman;Times;serif" w:hAnsi="Times New Roman;Times;serif"/>
          <w:spacing w:val="-2"/>
          <w:sz w:val="18"/>
        </w:rPr>
        <w:t xml:space="preserve"> </w:t>
      </w:r>
      <w:r>
        <w:rPr>
          <w:rFonts w:ascii="Arial;Helvetica;sans-serif" w:hAnsi="Arial;Helvetica;sans-serif"/>
          <w:spacing w:val="-2"/>
          <w:sz w:val="20"/>
        </w:rPr>
        <w:t xml:space="preserve">AWS-3 Licenses. As a result of the nonpayment of those gross winning bid amounts, the FCC retained those licenses. In addition, we will be subject to a default payment with respect to the licenses for which Northstar Wireless did not pay the gross winning bids (the “Northstar Re-Auction Payment”). The Northstar Re-Auction Payment has two components. First, if the winning bids at re-auction are less than the winning bids of Northstar Wireless, we will be responsible for the difference between the two bids. The second component is an additional payment in the amount of fifteen percent (15%) of Northstar Wireless’s bid or the subsequent winning bids, whichever is less.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The amount of the Northstar Re-Auction Payment will be offset by the $334</w:t>
      </w:r>
      <w:r>
        <w:rPr>
          <w:rFonts w:ascii="Times New Roman;Times;serif" w:hAnsi="Times New Roman;Times;serif"/>
          <w:spacing w:val="-2"/>
          <w:sz w:val="18"/>
        </w:rPr>
        <w:t xml:space="preserve"> </w:t>
      </w:r>
      <w:r>
        <w:rPr>
          <w:rFonts w:ascii="Arial;Helvetica;sans-serif" w:hAnsi="Arial;Helvetica;sans-serif"/>
          <w:spacing w:val="-2"/>
          <w:sz w:val="20"/>
        </w:rPr>
        <w:t>million interim payment Northstar Wireless has already made. For example, if the winning bids in a re-auction are $1, the Northstar Re-Auction Payment would be approximately $2.226</w:t>
      </w:r>
      <w:r>
        <w:rPr>
          <w:rFonts w:ascii="Times New Roman;Times;serif" w:hAnsi="Times New Roman;Times;serif"/>
          <w:spacing w:val="-2"/>
          <w:sz w:val="18"/>
        </w:rPr>
        <w:t xml:space="preserve"> </w:t>
      </w:r>
      <w:r>
        <w:rPr>
          <w:rFonts w:ascii="Arial;Helvetica;sans-serif" w:hAnsi="Arial;Helvetica;sans-serif"/>
          <w:spacing w:val="-2"/>
          <w:sz w:val="20"/>
        </w:rPr>
        <w:t>billion, which is calculated as the difference between $2.226</w:t>
      </w:r>
      <w:r>
        <w:rPr>
          <w:rFonts w:ascii="Times New Roman;Times;serif" w:hAnsi="Times New Roman;Times;serif"/>
          <w:spacing w:val="-2"/>
          <w:sz w:val="18"/>
        </w:rPr>
        <w:t xml:space="preserve"> </w:t>
      </w:r>
      <w:r>
        <w:rPr>
          <w:rFonts w:ascii="Arial;Helvetica;sans-serif" w:hAnsi="Arial;Helvetica;sans-serif"/>
          <w:spacing w:val="-2"/>
          <w:sz w:val="20"/>
        </w:rPr>
        <w:t>billion (the Northstar winning bid amounts) and $1 (the winning bids from re-auction), plus 15%</w:t>
      </w:r>
      <w:r>
        <w:rPr>
          <w:rFonts w:ascii="Times New Roman;Times;serif" w:hAnsi="Times New Roman;Times;serif"/>
          <w:spacing w:val="-2"/>
          <w:sz w:val="18"/>
        </w:rPr>
        <w:t xml:space="preserve"> </w:t>
      </w:r>
      <w:r>
        <w:rPr>
          <w:rFonts w:ascii="Arial;Helvetica;sans-serif" w:hAnsi="Arial;Helvetica;sans-serif"/>
          <w:spacing w:val="-2"/>
          <w:sz w:val="20"/>
        </w:rPr>
        <w:t>of the $1 (the winning bids from re-auction), If the winning bids from re-auction or other award of the AWS-3 licenses retained by the FCC are greater than or equal to the winning bids of Northstar Wireless, the Northstar Re-Auction Payment would be approximately $334</w:t>
      </w:r>
      <w:r>
        <w:rPr>
          <w:rFonts w:ascii="Times New Roman;Times;serif" w:hAnsi="Times New Roman;Times;serif"/>
          <w:spacing w:val="-2"/>
          <w:sz w:val="18"/>
        </w:rPr>
        <w:t xml:space="preserve"> </w:t>
      </w:r>
      <w:r>
        <w:rPr>
          <w:rFonts w:ascii="Arial;Helvetica;sans-serif" w:hAnsi="Arial;Helvetica;sans-serif"/>
          <w:spacing w:val="-2"/>
          <w:sz w:val="20"/>
        </w:rPr>
        <w:t>million, calculated as fifteen percent (15%) of $2.226</w:t>
      </w:r>
      <w:r>
        <w:rPr>
          <w:rFonts w:ascii="Times New Roman;Times;serif" w:hAnsi="Times New Roman;Times;serif"/>
          <w:spacing w:val="-2"/>
          <w:sz w:val="18"/>
        </w:rPr>
        <w:t xml:space="preserve"> </w:t>
      </w:r>
      <w:r>
        <w:rPr>
          <w:rFonts w:ascii="Arial;Helvetica;sans-serif" w:hAnsi="Arial;Helvetica;sans-serif"/>
          <w:spacing w:val="-2"/>
          <w:sz w:val="20"/>
        </w:rPr>
        <w:t>billion (Northstar Wireless’s defaulted bids). In each case, the amount of the Northstar Re-Auction Payment would be offset by the $334</w:t>
      </w:r>
      <w:r>
        <w:rPr>
          <w:rFonts w:ascii="Times New Roman;Times;serif" w:hAnsi="Times New Roman;Times;serif"/>
          <w:spacing w:val="-2"/>
          <w:sz w:val="18"/>
        </w:rPr>
        <w:t xml:space="preserve"> </w:t>
      </w:r>
      <w:r>
        <w:rPr>
          <w:rFonts w:ascii="Arial;Helvetica;sans-serif" w:hAnsi="Arial;Helvetica;sans-serif"/>
          <w:spacing w:val="-2"/>
          <w:sz w:val="20"/>
        </w:rPr>
        <w:t>million interim payment Northstar already made, resulting in a maximum exposure of $1.892</w:t>
      </w:r>
      <w:r>
        <w:rPr>
          <w:rFonts w:ascii="Times New Roman;Times;serif" w:hAnsi="Times New Roman;Times;serif"/>
          <w:spacing w:val="-2"/>
          <w:sz w:val="18"/>
        </w:rPr>
        <w:t xml:space="preserve"> </w:t>
      </w:r>
      <w:r>
        <w:rPr>
          <w:rFonts w:ascii="Arial;Helvetica;sans-serif" w:hAnsi="Arial;Helvetica;sans-serif"/>
          <w:spacing w:val="-2"/>
          <w:sz w:val="20"/>
        </w:rPr>
        <w:t>billion. We cannot predict with any degree of certainty the outcome of any re-auction or the amount of any Northstar Re-Auction Payment. The re-auction of the AWS-3 licenses has been designated as Auction 113 and the FCC is required to initiate Auction 113 by June 23, 2026.</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Letters Exchanged between SNR Wireless and the FCC Wireless Bureau. </w:t>
      </w:r>
      <w:r>
        <w:rPr>
          <w:rFonts w:ascii="Arial;Helvetica;sans-serif" w:hAnsi="Arial;Helvetica;sans-serif"/>
          <w:spacing w:val="-2"/>
          <w:sz w:val="20"/>
        </w:rPr>
        <w:t>As outlined in letters exchanged between SNR Wireless and the FCC Wireless Bureau, SNR Wireless paid the gross winning bid amounts for</w:t>
      </w:r>
      <w:r>
        <w:rPr>
          <w:rFonts w:ascii="Times New Roman;Times;serif" w:hAnsi="Times New Roman;Times;serif"/>
          <w:spacing w:val="-2"/>
          <w:sz w:val="18"/>
        </w:rPr>
        <w:t xml:space="preserve"> </w:t>
      </w:r>
      <w:r>
        <w:rPr>
          <w:rFonts w:ascii="Arial;Helvetica;sans-serif" w:hAnsi="Arial;Helvetica;sans-serif"/>
          <w:spacing w:val="-2"/>
          <w:sz w:val="20"/>
        </w:rPr>
        <w:t>244</w:t>
      </w:r>
      <w:r>
        <w:rPr>
          <w:rFonts w:ascii="Times New Roman;Times;serif" w:hAnsi="Times New Roman;Times;serif"/>
          <w:spacing w:val="-2"/>
          <w:sz w:val="18"/>
        </w:rPr>
        <w:t xml:space="preserve"> </w:t>
      </w:r>
      <w:r>
        <w:rPr>
          <w:rFonts w:ascii="Arial;Helvetica;sans-serif" w:hAnsi="Arial;Helvetica;sans-serif"/>
          <w:spacing w:val="-2"/>
          <w:sz w:val="20"/>
        </w:rPr>
        <w:t>AWS-3 Licenses and notified the FCC that it would not be paying the gross winning bid amounts for 113</w:t>
      </w:r>
      <w:r>
        <w:rPr>
          <w:rFonts w:ascii="Times New Roman;Times;serif" w:hAnsi="Times New Roman;Times;serif"/>
          <w:spacing w:val="-2"/>
          <w:sz w:val="18"/>
        </w:rPr>
        <w:t xml:space="preserve"> </w:t>
      </w:r>
      <w:r>
        <w:rPr>
          <w:rFonts w:ascii="Arial;Helvetica;sans-serif" w:hAnsi="Arial;Helvetica;sans-serif"/>
          <w:spacing w:val="-2"/>
          <w:sz w:val="20"/>
        </w:rPr>
        <w:t>AWS-3 Licenses. As a result of the nonpayment of those gross winning bid amounts, the FCC retained those licenses. In addition, we will be subject to a default payment with respect to the licenses for which SNR Wireless did not pay the gross winning bids (the “SNR Re-Auction Payment”). The SNR Re-Auction Payment has two components. First, if the winning bids at re-auction are less than the winning bids of SNR Wireless, we will be responsible for the difference between the two bids. The second component is an additional payment in the amount of fifteen percent (15%) of SNR Wireless’s bid or the subsequent winning bids, whichever is less. The amount of the SNR Re-Auction Payment will be offset by the $182</w:t>
      </w:r>
      <w:r>
        <w:rPr>
          <w:rFonts w:ascii="Times New Roman;Times;serif" w:hAnsi="Times New Roman;Times;serif"/>
          <w:spacing w:val="-2"/>
          <w:sz w:val="18"/>
        </w:rPr>
        <w:t xml:space="preserve"> </w:t>
      </w:r>
      <w:r>
        <w:rPr>
          <w:rFonts w:ascii="Arial;Helvetica;sans-serif" w:hAnsi="Arial;Helvetica;sans-serif"/>
          <w:spacing w:val="-2"/>
          <w:sz w:val="20"/>
        </w:rPr>
        <w:t>million interim payment SNR Wireless has already made. For example, if the winning bids in a re-auction are $1, the SNR Re-Auction Payment would be approximately $1.211</w:t>
      </w:r>
      <w:r>
        <w:rPr>
          <w:rFonts w:ascii="Times New Roman;Times;serif" w:hAnsi="Times New Roman;Times;serif"/>
          <w:spacing w:val="-2"/>
          <w:sz w:val="18"/>
        </w:rPr>
        <w:t xml:space="preserve"> </w:t>
      </w:r>
      <w:r>
        <w:rPr>
          <w:rFonts w:ascii="Arial;Helvetica;sans-serif" w:hAnsi="Arial;Helvetica;sans-serif"/>
          <w:spacing w:val="-2"/>
          <w:sz w:val="20"/>
        </w:rPr>
        <w:t>billion, which is calculated as the difference between $1.211</w:t>
      </w:r>
      <w:r>
        <w:rPr>
          <w:rFonts w:ascii="Times New Roman;Times;serif" w:hAnsi="Times New Roman;Times;serif"/>
          <w:spacing w:val="-2"/>
          <w:sz w:val="18"/>
        </w:rPr>
        <w:t xml:space="preserve"> </w:t>
      </w:r>
      <w:r>
        <w:rPr>
          <w:rFonts w:ascii="Arial;Helvetica;sans-serif" w:hAnsi="Arial;Helvetica;sans-serif"/>
          <w:spacing w:val="-2"/>
          <w:sz w:val="20"/>
        </w:rPr>
        <w:t>billion (the SNR winning bid amounts) and $1 (the winning bids from re-auction), plus 15%</w:t>
      </w:r>
      <w:r>
        <w:rPr>
          <w:rFonts w:ascii="Times New Roman;Times;serif" w:hAnsi="Times New Roman;Times;serif"/>
          <w:spacing w:val="-2"/>
          <w:sz w:val="18"/>
        </w:rPr>
        <w:t xml:space="preserve"> </w:t>
      </w:r>
      <w:r>
        <w:rPr>
          <w:rFonts w:ascii="Arial;Helvetica;sans-serif" w:hAnsi="Arial;Helvetica;sans-serif"/>
          <w:spacing w:val="-2"/>
          <w:sz w:val="20"/>
        </w:rPr>
        <w:t>of the $1 (the winning bids from re-auction). If the winning bids from re-auction of the AWS-3 licenses retained by the FCC are greater than or equal to the winning bids of SNR Wireless, the SNR Re-Auction Payment would be approximately $182</w:t>
      </w:r>
      <w:r>
        <w:rPr>
          <w:rFonts w:ascii="Times New Roman;Times;serif" w:hAnsi="Times New Roman;Times;serif"/>
          <w:spacing w:val="-2"/>
          <w:sz w:val="18"/>
        </w:rPr>
        <w:t xml:space="preserve"> </w:t>
      </w:r>
      <w:r>
        <w:rPr>
          <w:rFonts w:ascii="Arial;Helvetica;sans-serif" w:hAnsi="Arial;Helvetica;sans-serif"/>
          <w:spacing w:val="-2"/>
          <w:sz w:val="20"/>
        </w:rPr>
        <w:t>million, calculated as fifteen percent (15%) of $1.211</w:t>
      </w:r>
      <w:r>
        <w:rPr>
          <w:rFonts w:ascii="Times New Roman;Times;serif" w:hAnsi="Times New Roman;Times;serif"/>
          <w:spacing w:val="-2"/>
          <w:sz w:val="18"/>
        </w:rPr>
        <w:t xml:space="preserve"> </w:t>
      </w:r>
      <w:r>
        <w:rPr>
          <w:rFonts w:ascii="Arial;Helvetica;sans-serif" w:hAnsi="Arial;Helvetica;sans-serif"/>
          <w:spacing w:val="-2"/>
          <w:sz w:val="20"/>
        </w:rPr>
        <w:t>billion (SNR Wireless’s defaulted bids). In each case, the amount of the SNR Re-Auction Payment would be offset by the $182</w:t>
      </w:r>
      <w:r>
        <w:rPr>
          <w:rFonts w:ascii="Times New Roman;Times;serif" w:hAnsi="Times New Roman;Times;serif"/>
          <w:spacing w:val="-2"/>
          <w:sz w:val="18"/>
        </w:rPr>
        <w:t xml:space="preserve"> </w:t>
      </w:r>
      <w:r>
        <w:rPr>
          <w:rFonts w:ascii="Arial;Helvetica;sans-serif" w:hAnsi="Arial;Helvetica;sans-serif"/>
          <w:spacing w:val="-2"/>
          <w:sz w:val="20"/>
        </w:rPr>
        <w:t>million interim payment SNR already made, resulting in a maximum exposure of $1.029</w:t>
      </w:r>
      <w:r>
        <w:rPr>
          <w:rFonts w:ascii="Times New Roman;Times;serif" w:hAnsi="Times New Roman;Times;serif"/>
          <w:spacing w:val="-2"/>
          <w:sz w:val="18"/>
        </w:rPr>
        <w:t xml:space="preserve"> </w:t>
      </w:r>
      <w:r>
        <w:rPr>
          <w:rFonts w:ascii="Arial;Helvetica;sans-serif" w:hAnsi="Arial;Helvetica;sans-serif"/>
          <w:spacing w:val="-2"/>
          <w:sz w:val="20"/>
        </w:rPr>
        <w:t>billion. We cannot predict with any degree of certainty the outcome of any re-auction or the amount of any SNR Re-Auction Payment. The re-auction of the AWS-3 licenses has been designated as Auction 113 and the FCC is required to initiate Auction 113 by June 23, 2026.</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D.C. Circuit Court Opinion</w:t>
      </w:r>
      <w:r>
        <w:rPr>
          <w:rFonts w:ascii="Arial;Helvetica;sans-serif" w:hAnsi="Arial;Helvetica;sans-serif"/>
          <w:spacing w:val="-2"/>
          <w:sz w:val="20"/>
        </w:rPr>
        <w:t>. On August 29, 2017, the United States Court of Appeals for the District of Columbia Circuit (the “D.C. Circuit”) in </w:t>
      </w:r>
      <w:r>
        <w:rPr>
          <w:rFonts w:ascii="Arial;Helvetica;sans-serif" w:hAnsi="Arial;Helvetica;sans-serif"/>
          <w:i/>
          <w:spacing w:val="-2"/>
          <w:sz w:val="20"/>
        </w:rPr>
        <w:t>SNR Wireless LicenseCo, LLC, et al. v. Federal Communications Commission</w:t>
      </w:r>
      <w:r>
        <w:rPr>
          <w:rFonts w:ascii="Arial;Helvetica;sans-serif" w:hAnsi="Arial;Helvetica;sans-serif"/>
          <w:spacing w:val="-2"/>
          <w:sz w:val="20"/>
        </w:rPr>
        <w:t xml:space="preserve">,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Order on Remand.</w:t>
      </w:r>
      <w:r>
        <w:rPr>
          <w:rFonts w:ascii="Times New Roman;Times;serif" w:hAnsi="Times New Roman;Times;serif"/>
          <w:spacing w:val="-2"/>
          <w:sz w:val="18"/>
        </w:rPr>
        <w:t xml:space="preserve">  </w:t>
      </w:r>
      <w:r>
        <w:rPr>
          <w:rFonts w:ascii="Arial;Helvetica;sans-serif" w:hAnsi="Arial;Helvetica;sans-serif"/>
          <w:spacing w:val="-2"/>
          <w:sz w:val="20"/>
        </w:rPr>
        <w:t>On January 24, 2018, the FCC released an Order on Remand, DA 18-70 (the “Order on 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w:t>
      </w:r>
      <w:r>
        <w:rPr>
          <w:rFonts w:ascii="Times New Roman;Times;serif" w:hAnsi="Times New Roman;Times;serif"/>
          <w:spacing w:val="-2"/>
          <w:sz w:val="18"/>
        </w:rPr>
        <w:t xml:space="preserve"> </w:t>
      </w:r>
      <w:r>
        <w:rPr>
          <w:rFonts w:ascii="Arial;Helvetica;sans-serif" w:hAnsi="Arial;Helvetica;sans-serif"/>
          <w:spacing w:val="-2"/>
          <w:sz w:val="20"/>
        </w:rPr>
        <w:t xml:space="preserve">Northstar Wireless and SNR Wireless timely filed an appeal of the FCC’s 2020 decision.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w:t>
      </w:r>
      <w:r>
        <w:rPr>
          <w:rFonts w:ascii="Times New Roman;Times;serif" w:hAnsi="Times New Roman;Times;serif"/>
          <w:spacing w:val="-2"/>
          <w:sz w:val="18"/>
        </w:rPr>
        <w:t xml:space="preserve"> </w:t>
      </w:r>
      <w:r>
        <w:rPr>
          <w:rFonts w:ascii="Arial;Helvetica;sans-serif" w:hAnsi="Arial;Helvetica;sans-serif"/>
          <w:spacing w:val="-2"/>
          <w:sz w:val="20"/>
        </w:rPr>
        <w:t>30, 2023.</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For further information, refer to the consolidated financial statements and notes thereto included in our Annual Report on Form 10-K for the year ended December 31, 2023.</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Contingencies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Litigation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ClearPlay, Inc.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March 13, 2014, ClearPlay, Inc. (“ClearPlay”) filed a complaint against us, our wholly-owned subsidiary DISH Network L.L.C., EchoStar, and its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boxes infringes the asserted patents. On February 11, 2015, the case was stayed pending various third-party challenges before the United States Patent and Trademark Office regarding the validity of certain of the patents asserted in the action.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EchoStar as defendants, leaving DISH Network L.L.C. and DISH Technologies L.L.C. as the sole defendants.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October and November 2020, DISH Network L.L.C. filed petitions with the United States Patent and Trademark Office requesting ex parte reexamination of the validity of the asserted claims of, respectively, the 784 patent, the 799 patent, the 318 patent and the 970 patent; and in November and December, 2020, the United States Patent and Trademark Office granted each request for reexamination. On May through July 2021, the United States Patent and Trademark Office issued Ex Parte Reexamination Certificates confirming the patentability of the challenged claims.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w:t>
      </w:r>
      <w:r>
        <w:rPr>
          <w:rFonts w:ascii="Times New Roman;Times;serif" w:hAnsi="Times New Roman;Times;serif"/>
          <w:spacing w:val="-2"/>
          <w:sz w:val="18"/>
        </w:rPr>
        <w:t xml:space="preserve"> </w:t>
      </w:r>
      <w:r>
        <w:rPr>
          <w:rFonts w:ascii="Arial;Helvetica;sans-serif" w:hAnsi="Arial;Helvetica;sans-serif"/>
          <w:spacing w:val="-2"/>
          <w:sz w:val="20"/>
        </w:rPr>
        <w:t>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Data Breach Class Actions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May 9, 2023, Susan Owen-Brooks, an alleged customer, filed a putative class action complaint against us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w:t>
      </w:r>
      <w:r>
        <w:rPr>
          <w:rFonts w:ascii="Times New Roman;Times;serif" w:hAnsi="Times New Roman;Times;serif"/>
          <w:spacing w:val="-2"/>
          <w:sz w:val="18"/>
        </w:rPr>
        <w:t xml:space="preserve"> </w:t>
      </w:r>
      <w:r>
        <w:rPr>
          <w:rFonts w:ascii="Arial;Helvetica;sans-serif" w:hAnsi="Arial;Helvetica;sans-serif"/>
          <w:spacing w:val="-2"/>
          <w:sz w:val="20"/>
        </w:rPr>
        <w:t>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filed for summary judgment on lack of standing, on the grounds that plaintiffs had no evidence that their alleged harms were “fairly traceable” to the Cyber-security incident. Rather than oppose the motion, the plaintiffs agreed to a walk-away settlement and the case was dismissed on September 10, 2025. This matter is now concluded.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color w:val="222222"/>
          <w:spacing w:val="-2"/>
          <w:sz w:val="20"/>
        </w:rPr>
      </w:pPr>
      <w:r>
        <w:rPr>
          <w:rFonts w:ascii="Arial;Helvetica;sans-serif" w:hAnsi="Arial;Helvetica;sans-serif"/>
          <w:i/>
          <w:color w:val="222222"/>
          <w:spacing w:val="-2"/>
          <w:sz w:val="20"/>
        </w:rPr>
        <w:t xml:space="preserve">Digital Broadcasting Solutions, LLC </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color w:val="222222"/>
          <w:spacing w:val="-2"/>
          <w:sz w:val="20"/>
        </w:rPr>
        <w:t xml:space="preserve">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w:t>
      </w:r>
      <w:r>
        <w:rPr>
          <w:rFonts w:ascii="Arial;Helvetica;sans-serif" w:hAnsi="Arial;Helvetica;sans-serif"/>
          <w:color w:val="222222"/>
          <w:spacing w:val="-2"/>
          <w:sz w:val="20"/>
          <w:shd w:fill="FFFFFF" w:val="clear"/>
        </w:rPr>
        <w:t xml:space="preserve">Generally, the plaintiff contends that the AutoHop feature of our Hopper® set-top boxes infringes the asserted patents. On June 21, 2023, the Court granted the motion of </w:t>
      </w:r>
      <w:r>
        <w:rPr>
          <w:rFonts w:ascii="Arial;Helvetica;sans-serif" w:hAnsi="Arial;Helvetica;sans-serif"/>
          <w:color w:val="222222"/>
          <w:spacing w:val="-2"/>
          <w:sz w:val="20"/>
        </w:rPr>
        <w:t>DISH Network L.L.C. and DISH Technologies L.L.C. to have the case transferred to the United States District Court for the District of Colorado</w:t>
      </w:r>
      <w:r>
        <w:rPr>
          <w:rFonts w:ascii="Arial;Helvetica;sans-serif" w:hAnsi="Arial;Helvetica;sans-serif"/>
          <w:color w:val="222222"/>
          <w:spacing w:val="-2"/>
          <w:sz w:val="20"/>
          <w:shd w:fill="FFFFFF" w:val="clear"/>
        </w:rPr>
        <w:t>.</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Digital Broadcasting Solutions appealed those final written decisions, and DISH Network L.L.C. and DISH Technologies L.L.C. cross-appealed as to the single patent claim that wasn’t invalidated. Briefing was completed on October 17, 2025. The underlying case has been stayed since May 9, 2024, pending resolution of the petitions before the United States Patent and Trademark Office and any related appeals.</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Arial;Helvetica;sans-serif" w:hAnsi="Arial;Helvetica;sans-serif"/>
          <w:color w:val="222222"/>
          <w:spacing w:val="-2"/>
          <w:sz w:val="20"/>
        </w:rPr>
      </w:pPr>
      <w:r>
        <w:rPr>
          <w:rFonts w:ascii="Arial;Helvetica;sans-serif" w:hAnsi="Arial;Helvetica;sans-serif"/>
          <w:color w:val="222222"/>
          <w:spacing w:val="-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left"/>
        <w:rPr>
          <w:rFonts w:ascii="Arial;Helvetica;sans-serif" w:hAnsi="Arial;Helvetica;sans-serif"/>
          <w:i/>
          <w:color w:val="222222"/>
          <w:spacing w:val="-2"/>
          <w:sz w:val="20"/>
        </w:rPr>
      </w:pPr>
      <w:r>
        <w:rPr>
          <w:rFonts w:ascii="Arial;Helvetica;sans-serif" w:hAnsi="Arial;Helvetica;sans-serif"/>
          <w:i/>
          <w:color w:val="222222"/>
          <w:spacing w:val="-2"/>
          <w:sz w:val="20"/>
        </w:rPr>
        <w:t>Entropic Communications, LLC (first action)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color w:val="222222"/>
          <w:spacing w:val="-2"/>
          <w:sz w:val="20"/>
        </w:rPr>
        <w:t xml:space="preserve">On March 9, 2022, Entropic Communications, LLC (“Entropic”) filed a complaint against us and our wholly-owned subsidiaries DISH Network L.L.C. and Dish Network Service L.L.C. in the United States District Court for the Eastern District of Texas.  The complaint alleges infringement of U.S. Patent No. 7,130,576 (the “576 patent”), entitled “Signal Selector and Combiner for Broadband Content Distribution”; U.S. Patent 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w:t>
      </w:r>
      <w:r>
        <w:rPr>
          <w:rFonts w:ascii="Arial;Helvetica;sans-serif" w:hAnsi="Arial;Helvetica;sans-serif"/>
          <w:color w:val="222222"/>
          <w:spacing w:val="-2"/>
          <w:sz w:val="20"/>
          <w:shd w:fill="FFFFFF" w:val="clear"/>
        </w:rPr>
        <w:t xml:space="preserve">Generally, the plaintiff accuses satellite antennas, low-noise block converters, signal selector and combiners, and set-top boxes and the manner in which they process signals for satellite television customers of infringing the asserted patents. </w:t>
      </w:r>
      <w:r>
        <w:rPr>
          <w:rFonts w:ascii="Arial;Helvetica;sans-serif" w:hAnsi="Arial;Helvetica;sans-serif"/>
          <w:spacing w:val="-2"/>
          <w:sz w:val="20"/>
        </w:rPr>
        <w:t>The plaintiff is an entity that seeks to license a patent portfolio without itself practicing any of the claims recited therein.</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color w:val="222222"/>
          <w:spacing w:val="-2"/>
          <w:sz w:val="20"/>
          <w:shd w:fill="FFFFFF" w:val="clear"/>
        </w:rPr>
        <w:t xml:space="preserve">On October 24, 2022, this case was ordered to be transferred to the United States District Court for the Central District of California. </w:t>
      </w:r>
      <w:r>
        <w:rPr>
          <w:rFonts w:ascii="Arial;Helvetica;sans-serif" w:hAnsi="Arial;Helvetica;sans-serif"/>
          <w:spacing w:val="-2"/>
          <w:sz w:val="20"/>
        </w:rPr>
        <w:t>A companion case against DirecTV was also ordered transferred to the United States District Court for the Central District of California.</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color w:val="222222"/>
          <w:spacing w:val="-2"/>
          <w:sz w:val="20"/>
        </w:rPr>
        <w:t xml:space="preserve">In January and February of 2023, DISH Network L.L.C. and Dish Network Service L.L.C. </w:t>
      </w:r>
      <w:r>
        <w:rPr>
          <w:rFonts w:ascii="Arial;Helvetica;sans-serif" w:hAnsi="Arial;Helvetica;sans-serif"/>
          <w:spacing w:val="-2"/>
          <w:sz w:val="20"/>
        </w:rPr>
        <w:t xml:space="preserve">filed petitions with the United States Patent and Trademark Office challenging the 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w:t>
      </w:r>
      <w:r>
        <w:rPr>
          <w:rFonts w:ascii="Arial;Helvetica;sans-serif" w:hAnsi="Arial;Helvetica;sans-serif"/>
          <w:color w:val="222222"/>
          <w:spacing w:val="-2"/>
          <w:sz w:val="20"/>
        </w:rPr>
        <w:t>patent. On July 12, 2024, the United States Patent and Trademark Office granted a request for reexamination of the 715 patent, but on May 20, 2025, it affirmed the patent’s validity. Entropic’s expert claims that the DISH defendants owe damages of $212 million.</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left"/>
        <w:rPr>
          <w:rFonts w:ascii="Arial;Helvetica;sans-serif" w:hAnsi="Arial;Helvetica;sans-serif"/>
          <w:color w:val="222222"/>
          <w:spacing w:val="-2"/>
          <w:sz w:val="20"/>
        </w:rPr>
      </w:pPr>
      <w:r>
        <w:rPr>
          <w:rFonts w:ascii="Arial;Helvetica;sans-serif" w:hAnsi="Arial;Helvetica;sans-serif"/>
          <w:color w:val="222222"/>
          <w:spacing w:val="-2"/>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Arial;Helvetica;sans-serif" w:hAnsi="Arial;Helvetica;sans-serif"/>
          <w:i/>
          <w:color w:val="222222"/>
          <w:spacing w:val="-2"/>
          <w:sz w:val="20"/>
        </w:rPr>
      </w:pPr>
      <w:r>
        <w:rPr>
          <w:rFonts w:ascii="Arial;Helvetica;sans-serif" w:hAnsi="Arial;Helvetica;sans-serif"/>
          <w:i/>
          <w:color w:val="222222"/>
          <w:spacing w:val="-2"/>
          <w:sz w:val="20"/>
        </w:rPr>
        <w:t>Entropic Communications, LLC (second action)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 xml:space="preserve">On February 10, 2023, Entropic filed a second lawsuit against us and our wholly-owned subsidiaries </w:t>
      </w:r>
      <w:r>
        <w:rPr>
          <w:rFonts w:ascii="Arial;Helvetica;sans-serif" w:hAnsi="Arial;Helvetica;sans-serif"/>
          <w:color w:val="222222"/>
          <w:spacing w:val="-2"/>
          <w:sz w:val="20"/>
        </w:rPr>
        <w:t xml:space="preserve">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Arial;Helvetica;sans-serif" w:hAnsi="Arial;Helvetica;sans-serif"/>
          <w:color w:val="222222"/>
          <w:spacing w:val="-2"/>
          <w:sz w:val="20"/>
        </w:rPr>
      </w:pPr>
      <w:r>
        <w:rPr>
          <w:rFonts w:ascii="Arial;Helvetica;sans-serif" w:hAnsi="Arial;Helvetica;sans-serif"/>
          <w:color w:val="222222"/>
          <w:spacing w:val="-2"/>
          <w:sz w:val="20"/>
        </w:rPr>
        <w:t>Generally, the patents relate to Multimedia over Coax Alliance standards and the manner in which we provide a whole-home DVR network over an on-premises coaxial cable network.</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color w:val="222222"/>
          <w:spacing w:val="-2"/>
          <w:sz w:val="20"/>
        </w:rPr>
        <w:t xml:space="preserve">Entropic has asserted the same patents in the same court against Comcast, Cox and </w:t>
      </w:r>
      <w:r>
        <w:rPr>
          <w:rFonts w:ascii="Arial;Helvetica;sans-serif" w:hAnsi="Arial;Helvetica;sans-serif"/>
          <w:spacing w:val="-2"/>
          <w:sz w:val="20"/>
        </w:rPr>
        <w:t>DirecTV</w:t>
      </w:r>
      <w:r>
        <w:rPr>
          <w:rFonts w:ascii="Arial;Helvetica;sans-serif" w:hAnsi="Arial;Helvetica;sans-serif"/>
          <w:color w:val="222222"/>
          <w:spacing w:val="-2"/>
          <w:sz w:val="20"/>
        </w:rPr>
        <w:t xml:space="preserve">.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 </w:t>
      </w:r>
      <w:r>
        <w:rPr>
          <w:rFonts w:ascii="Arial;Helvetica;sans-serif" w:hAnsi="Arial;Helvetica;sans-serif"/>
          <w:spacing w:val="-2"/>
          <w:sz w:val="20"/>
        </w:rPr>
        <w:t xml:space="preserve">In January and February 2024, DISH Network L.L.C. filed petitions with the United States Patent and Trademark Office challenging the validity of the 249 patent, the 518 patent, the 759 patent, the 450 patent, the 539 patent, the 0,566 patent, and the 681 patent.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 and Entropic has appealed the decision on the 518 patent and is pursuing rehearing of the decision on the 249 patent.</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Arial;Helvetica;sans-serif" w:hAnsi="Arial;Helvetica;sans-serif"/>
          <w:color w:val="222222"/>
          <w:spacing w:val="-2"/>
          <w:sz w:val="20"/>
        </w:rPr>
      </w:pPr>
      <w:r>
        <w:rPr>
          <w:rFonts w:ascii="Arial;Helvetica;sans-serif" w:hAnsi="Arial;Helvetica;sans-serif"/>
          <w:color w:val="222222"/>
          <w:spacing w:val="-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Err Content IP</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On November 3, 2025, Err Content IP, LLC filed a complaint against EchoStar Communications Corporation, our predecessor, in the United States District Court for the Southern District of Texas. The complaint alleges infringement of United States Patent No. 10,721,542 (the “542 Patent”), entitled “Bandwidth shaping client to capture, transform, cache, and upload images from a remote point of recordation to a network service.” The infringement allegations generally relate to using AirPlay to watch content from the DISH Anywhere app on a paired television screen.</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EchoStar intends to vigorously defend this case. In the event that a court ultimately determines that EchoStar infringes the asserted patents, EchoStar may be subject to substantial damages, which may include treble damages, and/or an injunction that could require EchoStar and us to materially modify certain features that we currently offer to consumers. EchoStar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Headwater Research</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August 28 and 29, 2025, Headwater Research LLC filed five separate lawsuits in the United States District Court for the Eastern District of Texas against us and our wholly-owned subsidiaries DISH Network L.L.C. and DISH Wireless L.L.C. The first complaint alleges infringement of U.S. Patent Nos. 8,639,935 (the “935 patent”), entitled “Automated device provisioning and activation”; 9,609,510 (the “510 patent”), entitled “Automated credential porting for mobile devices”; 9,973,930 (the “930 patent”), entitled “End user device that secures an association of application to service policy with an application certificate check”; 11,096,055 (the “055 patent”), entitled “Automated device provisioning and activation”; 11,405,429 (the “429 patent”), entitled “Security techniques for device assisted services”; 11,966,464 (the “464 patent), entitled “Security techniques for device assisted services”; and 11,985,155 (the “155 patent”), entitled “Automated device provisioning and activation.” The second complaint alleges infringement of U.S. Patent 9,179,359 (the “359 patent”), entitled “Wireless end-user device with differentiated network access status for different device applications;” 9,277,445 (the “445 patent”), entitled “Wireless end-user device with differential traffic control policy list and applying foreground classification to wireless data service;” and 9,609,544 (the “544 patent”), entitled “Device-assisted services for protecting network capacity.” The third complaint alleges infringement of U.S. Patent Nos. 8,666,364, (the “364 patent”), entitled “Verifiable device assisted service usage billing with integrated accounting, mediation accounting, and multiaccount;” 9,143,976 (the “976 patent”), entitled “Wireless end-user device with differentiated network access and access status for background and foreground device applications;” and 9,647,918 (the “918 patent”), entitled “Mobile device and method attributing media services network usage to requesting application.”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fourth complaint alleges infringement of U.S. Patent Nos. 8,635,335 (the “335 patent”), entitled “System and method for wireless network offloading”; 10,791,471 (the “471 patent”), entitled “System and method for wireless network offloading”; and 10,237,757 (the “757 patent”), entitled “System and method for wireless network offloading.” The fifth complaint alleges infringement of U.S. Patent Nos. 8,023,425 (the “425 patent”), entitled “Verifiable service billing for intermediate networking devices”; 8,631,102 (the “102 patent”), entitled</w:t>
      </w:r>
      <w:r>
        <w:rPr>
          <w:rFonts w:ascii="Times New Roman;Times;serif" w:hAnsi="Times New Roman;Times;serif"/>
          <w:sz w:val="20"/>
        </w:rPr>
        <w:t xml:space="preserve"> “</w:t>
      </w:r>
      <w:r>
        <w:rPr>
          <w:rFonts w:ascii="Arial;Helvetica;sans-serif" w:hAnsi="Arial;Helvetica;sans-serif"/>
          <w:sz w:val="20"/>
        </w:rPr>
        <w:t>Automated device provisioning and activation”; and 8,799,451 (the “451 patent”), entitled “Verifiable service policy implementation for intermediate networking devices.” The asserted patents generally relate to eSIM management, data management, application data traffic management, wireless data offloading and tethering operations. Headwater also has filed complaints against Apple, Google, Motorola, Samsung, Verizon, T-Mobile, AT&amp;T, Sprint, Amazon, Charter, and Comcast.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Jones 401(k) Litigation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 xml:space="preserve">On December 20, 2021, four former employees filed a class action complaint in the United States District Court for the District of Colorado against us, our Board of Directors at that time, and our Retirement Plan Committee at that time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Helvetica;sans-serif" w:hAnsi="Arial;Helvetica;sans-serif"/>
          <w:color w:val="222222"/>
          <w:spacing w:val="-2"/>
          <w:sz w:val="20"/>
          <w:shd w:fill="FFFFFF" w:val="clear"/>
        </w:rPr>
        <w:t>On 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retention and alleged underperformance of the Fidelity Freedom Fun</w:t>
      </w:r>
      <w:r>
        <w:rPr>
          <w:rFonts w:ascii="Arial;Helvetica;sans-serif" w:hAnsi="Arial;Helvetica;sans-serif"/>
          <w:spacing w:val="-2"/>
          <w:sz w:val="20"/>
        </w:rPr>
        <w:t xml:space="preserve">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w:t>
      </w:r>
      <w:r>
        <w:rPr>
          <w:rFonts w:ascii="Arial;Helvetica;sans-serif" w:hAnsi="Arial;Helvetica;sans-serif"/>
          <w:color w:val="222222"/>
          <w:spacing w:val="-2"/>
          <w:sz w:val="20"/>
          <w:shd w:fill="FFFFFF" w:val="clear"/>
        </w:rPr>
        <w:t>On March 1, 2024, by stipulation, the plaintiffs dismissed their claims against the Board of Directors and the Retirement Plan Committee, leaving DISH Network as the sole defendant. On April 30, 2024, pursuant to the parties’ stipulation, the Court certified the proposed plaintiff class. Pursuant to the parties’ stipulation, the case was stayed from October 30, 2024 through May 29, 2025 to facilitate a mediation, but the parties did not reach a settlement. The plaintiffs’ expert claims damages of $16.7</w:t>
      </w:r>
      <w:r>
        <w:rPr>
          <w:rFonts w:ascii="Times New Roman;Times;serif" w:hAnsi="Times New Roman;Times;serif"/>
          <w:color w:val="222222"/>
          <w:spacing w:val="-2"/>
          <w:sz w:val="18"/>
          <w:shd w:fill="FFFFFF" w:val="clear"/>
        </w:rPr>
        <w:t xml:space="preserve"> </w:t>
      </w:r>
      <w:r>
        <w:rPr>
          <w:rFonts w:ascii="Arial;Helvetica;sans-serif" w:hAnsi="Arial;Helvetica;sans-serif"/>
          <w:color w:val="222222"/>
          <w:spacing w:val="-2"/>
          <w:sz w:val="20"/>
          <w:shd w:fill="FFFFFF" w:val="clear"/>
        </w:rPr>
        <w:t>million, which is reduced to $10.7</w:t>
      </w:r>
      <w:r>
        <w:rPr>
          <w:rFonts w:ascii="Times New Roman;Times;serif" w:hAnsi="Times New Roman;Times;serif"/>
          <w:color w:val="222222"/>
          <w:spacing w:val="-2"/>
          <w:sz w:val="18"/>
          <w:shd w:fill="FFFFFF" w:val="clear"/>
        </w:rPr>
        <w:t xml:space="preserve"> </w:t>
      </w:r>
      <w:r>
        <w:rPr>
          <w:rFonts w:ascii="Arial;Helvetica;sans-serif" w:hAnsi="Arial;Helvetica;sans-serif"/>
          <w:color w:val="222222"/>
          <w:spacing w:val="-2"/>
          <w:sz w:val="20"/>
          <w:shd w:fill="FFFFFF" w:val="clear"/>
        </w:rPr>
        <w:t>million when Fidelity revenue sharing is credited.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40" w:after="0"/>
        <w:ind w:left="0" w:right="0" w:hanging="0"/>
        <w:jc w:val="left"/>
        <w:rPr>
          <w:rFonts w:ascii="Arial;Helvetica;sans-serif" w:hAnsi="Arial;Helvetica;sans-serif"/>
          <w:i/>
          <w:color w:val="000000"/>
          <w:sz w:val="20"/>
        </w:rPr>
      </w:pPr>
      <w:r>
        <w:rPr>
          <w:rFonts w:ascii="Arial;Helvetica;sans-serif" w:hAnsi="Arial;Helvetica;sans-serif"/>
          <w:i/>
          <w:color w:val="000000"/>
          <w:sz w:val="20"/>
        </w:rPr>
        <w:t>Lingam Securities Class Action (formerly Jaramillo)</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March 23, 2023, a securities fraud class action complaint was filed against us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we allegedly maintained a deficient cyber-security and information technology infrastructure, were unable to properly secure customer data and our operations were susceptible to widespread service outages. </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 xml:space="preserve">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our Senior Vice President and Chief Accounting Officer; John Swieringa, our President, Technology and Chief Operating Officer; Dave Mayo, our former Executive Vice President of Network Development; Marc Rouanne, our former Executive Vice President and Chief Network Officer; and Stephen Bye, our former Executive Vice President and Chief Commercial Officer.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The plaintiffs appealed to the United States Court of Appeals for the Tenth Circuit, and briefing was completed on September 12, 2025.</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both"/>
        <w:rPr>
          <w:rFonts w:ascii="Arial;Helvetica;sans-serif" w:hAnsi="Arial;Helvetica;sans-serif"/>
          <w:i/>
          <w:spacing w:val="-2"/>
          <w:sz w:val="20"/>
        </w:rPr>
      </w:pPr>
      <w:r>
        <w:rPr>
          <w:rFonts w:ascii="Arial;Helvetica;sans-serif" w:hAnsi="Arial;Helvetica;sans-serif"/>
          <w:i/>
          <w:spacing w:val="-2"/>
          <w:sz w:val="20"/>
        </w:rPr>
        <w:t xml:space="preserve">Mesa Digital </w:t>
      </w:r>
    </w:p>
    <w:p>
      <w:pPr>
        <w:pStyle w:val="TextBody"/>
        <w:pBdr/>
        <w:bidi w:val="0"/>
        <w:spacing w:before="0" w:after="0"/>
        <w:ind w:left="0" w:right="0" w:hanging="9"/>
        <w:jc w:val="both"/>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 xml:space="preserve">On November 27, 2024, Mesa Digital, LLC filed a complaint in the United States District Court for the Western District of Texas against our wholly-owned subsidiary DISH Wireless alleging infringement of United States Patent No. 9,031,537, entitled “Electronic Wireless Hand Held Multimedia Device.” Generally, it relates to an electronic handheld device with a touch-sensitive display. On March 31, 2025, the case was dismissed pursuant to a stipulation under which Mesa Digital gave DISH Wireless a covenant not to sue on any of its patents, without any payment from DISH Wireless. This matter is now concluded. </w:t>
      </w:r>
    </w:p>
    <w:p>
      <w:pPr>
        <w:pStyle w:val="TextBody"/>
        <w:pBdr/>
        <w:bidi w:val="0"/>
        <w:spacing w:before="0" w:after="0"/>
        <w:ind w:left="0" w:right="0" w:hanging="9"/>
        <w:jc w:val="both"/>
        <w:rPr>
          <w:spacing w:val="-2"/>
        </w:rPr>
      </w:pPr>
      <w:r>
        <w:rPr>
          <w:spacing w:val="-2"/>
        </w:rPr>
        <w:t>​</w:t>
      </w:r>
    </w:p>
    <w:p>
      <w:pPr>
        <w:pStyle w:val="TextBody"/>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 xml:space="preserve">Mobility Workx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On December 3, 2024, Mobility Workx, LLC filed a complaint in the United States District Court for the Eastern District of Texas against our wholly-owned subsidiary DISH Wireless alleging infringement of United States Patent No. 7,697,508, entitled “System, Apparatus and Methods for Proactive Allocation of Wireless Communication Resources.” Generally, it relates to hand-offs in a mobile network. On July 7, 2025, the case was dismissed under the terms of a non-material confidential settlement. This matter is now concluded.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Morris Routing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August 8, 2025, Morris Routing Technologies LLC filed a complaint against our wholly-owned subsidiary DISH Wireless L.L.C. in the United States District Court for the Eastern District of Texas. It alleges infringement of U.S. Patent Nos. 10,652,133 (the “133 patent”); 10,574,562 (the “562 patent”); 10,652,134 (the “134 patent”); 10,757,010 (the “010 patent”); 10,805,204 (the “204 patent”); 11,757,756 (the “756 patent”); and 11,784,914 (the “914 patent”), each entitled “Routing methods, systems, and computer program products.” Generally, the patents are directed to transmitting data in an end-to-end network routing path by embedding segment identifiers into packet headers. Morris Routing also has brought cases against AT&amp;T, T-Mobile, Verizon, Samsung, Comcast and Microsoft, among others.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shd w:fill="FFFFFF" w:val="clear"/>
        <w:bidi w:val="0"/>
        <w:spacing w:before="0" w:after="0"/>
        <w:ind w:left="9" w:right="0" w:hanging="0"/>
        <w:jc w:val="left"/>
        <w:rPr>
          <w:rFonts w:ascii="Arial;Helvetica;sans-serif" w:hAnsi="Arial;Helvetica;sans-serif"/>
          <w:i/>
          <w:color w:val="222222"/>
          <w:sz w:val="20"/>
        </w:rPr>
      </w:pPr>
      <w:r>
        <w:rPr>
          <w:rFonts w:ascii="Arial;Helvetica;sans-serif" w:hAnsi="Arial;Helvetica;sans-serif"/>
          <w:i/>
          <w:color w:val="222222"/>
          <w:sz w:val="20"/>
        </w:rPr>
        <w:t>Peninsula Technologies</w:t>
      </w:r>
    </w:p>
    <w:p>
      <w:pPr>
        <w:pStyle w:val="TextBody"/>
        <w:shd w:fill="FFFFFF" w:val="clear"/>
        <w:bidi w:val="0"/>
        <w:spacing w:before="0" w:after="0"/>
        <w:ind w:left="9" w:right="0" w:hanging="0"/>
        <w:jc w:val="left"/>
        <w:rPr>
          <w:color w:val="222222"/>
        </w:rPr>
      </w:pPr>
      <w:r>
        <w:rPr>
          <w:color w:val="222222"/>
        </w:rPr>
        <w:t> </w:t>
      </w:r>
    </w:p>
    <w:p>
      <w:pPr>
        <w:pStyle w:val="TextBody"/>
        <w:shd w:fill="FFFFFF" w:val="clear"/>
        <w:bidi w:val="0"/>
        <w:spacing w:before="0" w:after="0"/>
        <w:ind w:left="9" w:right="0" w:hanging="0"/>
        <w:jc w:val="left"/>
        <w:rPr>
          <w:rFonts w:ascii="Times New Roman;Times;serif" w:hAnsi="Times New Roman;Times;serif"/>
          <w:sz w:val="20"/>
        </w:rPr>
      </w:pPr>
      <w:r>
        <w:rPr>
          <w:rFonts w:ascii="Arial;Helvetica;sans-serif" w:hAnsi="Arial;Helvetica;sans-serif"/>
          <w:color w:val="222222"/>
          <w:sz w:val="20"/>
        </w:rPr>
        <w:t xml:space="preserve">On April 15, 2025, Peninsula Technologies, LLC filed two lawsuits against our wholly-owned subsidiary DISH Wireless L.L.C. in the United States District Court for the Eastern District of Texas. In the first lawsuit, Peninsula Technologies alleges infringement of U.S. Patent Nos. 9,844,009 (the “009 patent”), entitled “Power Headroom Report In A Wireless Device With Carrier Aggregation”; 11,792,743 (the “743 patent”), entitled “Transmit Power Priority Based On Cell Types In Wireless Devices”; 11,824,810 (the “4,810 patent”), entitled “Restarting A Deactivation Timer Of A Secondary Cell In A Wireless Network”; and 11,917,549 (the “549 patent”), entitled “Scaling Transmission Power Of Uplink Signals Of A Wireless Device.” In the second lawsuit, Peninsula Technologies alleges infringement of U.S. Patent Nos. 11,438,810 (the “8,810 patent”), entitled “Communication Of Configuration Parameters Of Radio Resources Of An Unlicensed Cell”; 11,570,844 (the “844 patent”), entitled “Release Message In Small Data Transmission Procedure”; 11,723,109 (the “109 patent”), entitled “Downlink Data Of Small Data Transmission Procedure”; and 12,144,057 (the “057 patent”), entitled “Release Message In Small Data Transmission Procedure.” Generally, the asserted patents relate to 5G network operations. On July 16, 2025, Peninsula Technologies filed a First Amended Complaint in the second action, which dropped the 8,810 Patent. </w:t>
      </w:r>
      <w:r>
        <w:rPr>
          <w:rFonts w:ascii="Arial;Helvetica;sans-serif" w:hAnsi="Arial;Helvetica;sans-serif"/>
          <w:sz w:val="20"/>
        </w:rPr>
        <w:t>Pursuant to the parties’ stipulation, the cases were dismissed without prejudice on October 14 and 17, 2025. This matter is now concluded.</w:t>
      </w:r>
    </w:p>
    <w:p>
      <w:pPr>
        <w:pStyle w:val="TextBody"/>
        <w:shd w:fill="FFFFFF" w:val="clear"/>
        <w:bidi w:val="0"/>
        <w:spacing w:before="0" w:after="0"/>
        <w:ind w:left="9" w:right="0" w:hanging="0"/>
        <w:jc w:val="left"/>
        <w:rPr>
          <w:color w:val="222222"/>
        </w:rPr>
      </w:pPr>
      <w:r>
        <w:rPr>
          <w:color w:val="222222"/>
        </w:rPr>
        <w:t> </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Realtime Data LLC and Realtime Adaptive Streaming LLC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June 6, 2017, Realtime Data LLC d/b/a IXO (“Realtime”) filed an amended complaint in the United States District Court for the Eastern District of Texas (the “Original Texas Action”) against us; our wholly-owned subsidiaries DISH Network L.L.C., DISH Technologies L.L.C. (then known as EchoStar Technologies L.L.C.), Sling TV L.L.C. and Sling Media L.L.C.; EchoStar, and EchoStar’s wholly-owned subsidiary Hughes Network Systems, L.L.C. (“HNS”); and Arris Group, Inc. Realtime’s initial complaint in the Original Texas Action, filed on February 14, 2017, had named only EchoStar and HNS as defendants.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 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July 19, 2017, the Court severed Realtime’s claims against us,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us,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As a result, neither we nor any of our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EchoStar and HNS were dismissed from the Original Texas Action in February 2019, and Arris Group, Inc. was dismissed from the Colorado Action in March 2021.</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our petitions, and it held trial on the petitions on December 5, 2019. On January 17, 2020, the United States Patent and Trademark Office terminated the petitions as time-barred, but issued a final written decision invalidating the 535 patent to third parties that had timely joined in our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w:t>
      </w:r>
      <w:r>
        <w:rPr>
          <w:rFonts w:ascii="Times New Roman;Times;serif" w:hAnsi="Times New Roman;Times;serif"/>
          <w:spacing w:val="-2"/>
          <w:sz w:val="18"/>
        </w:rPr>
        <w:t xml:space="preserve"> </w:t>
      </w:r>
      <w:r>
        <w:rPr>
          <w:rFonts w:ascii="Arial;Helvetica;sans-serif" w:hAnsi="Arial;Helvetica;sans-serif"/>
          <w:spacing w:val="-2"/>
          <w:sz w:val="20"/>
        </w:rPr>
        <w:t xml:space="preserve">28, 2021. On January 12, 2021, Realtime Adaptive Streaming filed a notice of dismissal of its claims on the 535 patent.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January 21, 2022, the District Court granted the motion by DISH Network L.L.C., DISH Technologies L.L.C., Sling TV L.L.C. and Sling Media L.L.C. to have the case declared “exceptional,” and on September 20, 2022, awarded them $3.9</w:t>
      </w:r>
      <w:r>
        <w:rPr>
          <w:rFonts w:ascii="Times New Roman;Times;serif" w:hAnsi="Times New Roman;Times;serif"/>
          <w:spacing w:val="-2"/>
          <w:sz w:val="18"/>
        </w:rPr>
        <w:t xml:space="preserve"> </w:t>
      </w:r>
      <w:r>
        <w:rPr>
          <w:rFonts w:ascii="Arial;Helvetica;sans-serif" w:hAnsi="Arial;Helvetica;sans-serif"/>
          <w:spacing w:val="-2"/>
          <w:sz w:val="20"/>
        </w:rPr>
        <w:t>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2025, on remand, the District Court denied the motion to declare the case exceptional. On March 6, 2025, DISH Network L.L.C., DISH Technologies L.L.C., Sling TV L.L.C. and Sling Media L.L.C. filed a notice of appeal of that order, but dismissed the appeal on July 3, 2025. This matter is now concluded.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SafeCast Limited</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On June 27, 2022, SafeCast Limited filed a complaint against us in the United States District Court for the Western District of Texas. The complaint alleges that we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us transferred to the United States District Court for the District of Colorado. On December 1, 2022, SafeCast filed an amended complaint naming our wholly-owned subsidiaries DISH Network L.L.C. and DISH Technologies L.L.C. as defendants and withdrawing the allegations as to us. The plaintiff is an entity that seeks to license a patent portfolio without itself practicing any of the claims recited therein. 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 As a result, DISH Network L.L.C. and DISH Technologies L.L.C. filed a motion to terminate their petition before the United States Patent and Trademark Office, which was granted on June 5, 2025. On July 28, 2025, the District Court dismissed the litigation. This matter is now concluded.</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bookmarkStart w:id="1400" w:name="_DV_C1261"/>
      <w:bookmarkEnd w:id="1400"/>
      <w:r>
        <w:rPr>
          <w:spacing w:val="-2"/>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Sling Pass Litigation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On August 26, 2025, ESPN Enterprises, Inc. and other Disney affiliates sued our wholly-owned subsidiary DISH Network L.L.C. in the United States District Court for the Southern District of New York. On September 5, 2025, WarnerMedia Network Sales and other Warner Bros Discovery (“WBD”) affiliates sued our wholly-owned subsidiary DISH Network L.L.C. in the same court. In each case, the plaintiffs contend that Sling TV’s Day Pass, Weekend Pass and Week Pass subscriptions breach their respective carriage agreements with us. In their respective cases, both the Disney plaintiff and the WBD plaintiffs have sought a preliminary injunction to enjoin the Passes. The motions are fully briefed, and the Court has heard arguments on each motion, but it has not yet ruled.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intend to vigorously defend these cases.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Sound View Innovations, LLC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 </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 xml:space="preserve">State of Illinois ex rel. Rodriguez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 , but the case is continuing against the retailers.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TQ Delta, LLC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July 17, 2015, TQ Delta, LLC (“TQ Delta”) filed a complaint against us and our wholly-owned subsidiaries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EchoStar Corporation and its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July 14, 2016, TQ Delta stipulated to dismiss with prejudice all claims related to the 369 patent and the 956 patent. On July 20, 2016, we filed petitions with the United States Patent and Trademark Office challenging the validity of all of the patent claims of the 404 patent and the 268 patent that have been asserted against us.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our motions to join the instituted petitions on the 430 and 158 patents.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February 9, 2017, the United States Patent and Trademark Office agreed to institute proceedings on our petition related to the 404 patent, and on February 13, 2017, the United States Patent and Trademark Office agreed to institute proceedings on our petition related to the 268 patent. On February 27, 2017, the United States Patent and Trademark Office granted our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February 7, 2018, the United States Patent and Trademark Office issued final written decisions on the petitions challenging the 404 patent, and it invalidated all of the asserted claims of that patent on the basis of our petition. On February 10, 2018, the United States Patent and Trademark Office issued a final written decision on our petition challenging the 268 patent, and it invalidated all of the asserted claims.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w:t>
      </w:r>
      <w:r>
        <w:rPr>
          <w:rFonts w:ascii="Times New Roman;Times;serif" w:hAnsi="Times New Roman;Times;serif"/>
          <w:spacing w:val="-2"/>
          <w:sz w:val="18"/>
        </w:rPr>
        <w:t xml:space="preserve"> </w:t>
      </w:r>
      <w:r>
        <w:rPr>
          <w:rFonts w:ascii="Arial;Helvetica;sans-serif" w:hAnsi="Arial;Helvetica;sans-serif"/>
          <w:spacing w:val="-2"/>
          <w:sz w:val="20"/>
        </w:rPr>
        <w:t>million in damages. The Court has set a trial date of November 8, 2027.</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Uniloc 2017 LLC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 </w:t>
      </w:r>
    </w:p>
    <w:p>
      <w:pPr>
        <w:pStyle w:val="TextBody"/>
        <w:bidi w:val="0"/>
        <w:spacing w:before="0" w:after="0"/>
        <w:ind w:left="0" w:right="0" w:hanging="0"/>
        <w:jc w:val="left"/>
        <w:rPr>
          <w:spacing w:val="-2"/>
        </w:rPr>
      </w:pPr>
      <w:r>
        <w:rPr>
          <w:spacing w:val="-2"/>
        </w:rPr>
        <w:t>​</w:t>
      </w:r>
    </w:p>
    <w:p>
      <w:pPr>
        <w:pStyle w:val="TextBody"/>
        <w:shd w:fill="FFFFFF" w:val="clear"/>
        <w:bidi w:val="0"/>
        <w:spacing w:before="0" w:after="0"/>
        <w:ind w:left="0" w:right="0" w:hanging="0"/>
        <w:jc w:val="left"/>
        <w:rPr>
          <w:rFonts w:ascii="Arial;Helvetica;sans-serif" w:hAnsi="Arial;Helvetica;sans-serif"/>
          <w:i/>
          <w:color w:val="222222"/>
          <w:sz w:val="20"/>
        </w:rPr>
      </w:pPr>
      <w:r>
        <w:rPr>
          <w:rFonts w:ascii="Arial;Helvetica;sans-serif" w:hAnsi="Arial;Helvetica;sans-serif"/>
          <w:i/>
          <w:color w:val="222222"/>
          <w:sz w:val="20"/>
        </w:rPr>
        <w:t>Universal Service Administrative Company</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0" w:right="0" w:hanging="0"/>
        <w:jc w:val="left"/>
        <w:rPr>
          <w:rFonts w:ascii="Times New Roman;Times;serif" w:hAnsi="Times New Roman;Times;serif"/>
          <w:sz w:val="20"/>
        </w:rPr>
      </w:pPr>
      <w:r>
        <w:rPr>
          <w:rFonts w:ascii="Arial;Helvetica;sans-serif" w:hAnsi="Arial;Helvetica;sans-serif"/>
          <w:color w:val="222222"/>
          <w:sz w:val="20"/>
        </w:rPr>
        <w:t>On April 3, 2023, the Universal Service Administrative Company (“USAC”) notified our wholly-owned subsidiary DISH Wireless that it intended to seek to recover funds in the amount of $13.9</w:t>
      </w:r>
      <w:r>
        <w:rPr>
          <w:rFonts w:ascii="Times New Roman;Times;serif" w:hAnsi="Times New Roman;Times;serif"/>
          <w:color w:val="222222"/>
          <w:sz w:val="20"/>
        </w:rPr>
        <w:t xml:space="preserve"> </w:t>
      </w:r>
      <w:r>
        <w:rPr>
          <w:rFonts w:ascii="Arial;Helvetica;sans-serif" w:hAnsi="Arial;Helvetica;sans-serif"/>
          <w:color w:val="222222"/>
          <w:sz w:val="20"/>
        </w:rPr>
        <w:t>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w:t>
      </w:r>
    </w:p>
    <w:p>
      <w:pPr>
        <w:pStyle w:val="TextBody"/>
        <w:shd w:fill="FFFFFF" w:val="clear"/>
        <w:bidi w:val="0"/>
        <w:spacing w:before="0" w:after="0"/>
        <w:ind w:left="0" w:right="0" w:hanging="0"/>
        <w:jc w:val="left"/>
        <w:rPr>
          <w:color w:val="222222"/>
        </w:rPr>
      </w:pPr>
      <w:r>
        <w:rPr>
          <w:color w:val="222222"/>
        </w:rPr>
        <w:t> </w:t>
      </w:r>
    </w:p>
    <w:p>
      <w:pPr>
        <w:pStyle w:val="TextBody"/>
        <w:shd w:fill="FFFFFF" w:val="clear"/>
        <w:bidi w:val="0"/>
        <w:spacing w:before="0" w:after="0"/>
        <w:ind w:left="9" w:right="0" w:hanging="0"/>
        <w:jc w:val="left"/>
        <w:rPr>
          <w:rFonts w:ascii="Arial;Helvetica;sans-serif" w:hAnsi="Arial;Helvetica;sans-serif"/>
          <w:color w:val="222222"/>
          <w:sz w:val="20"/>
        </w:rPr>
      </w:pPr>
      <w:r>
        <w:rPr>
          <w:rFonts w:ascii="Arial;Helvetica;sans-serif" w:hAnsi="Arial;Helvetica;sans-serif"/>
          <w:color w:val="222222"/>
          <w:sz w:val="20"/>
        </w:rPr>
        <w:t>We will continue to appeal USAC's action. We cannot predict with any degree of certainty the outcome of our appeals or determine the extent of any potential liability or damages.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U.S. Bank Trust Company</w:t>
      </w:r>
    </w:p>
    <w:p>
      <w:pPr>
        <w:pStyle w:val="TextBody"/>
        <w:shd w:fill="FFFFFF" w:val="clear"/>
        <w:bidi w:val="0"/>
        <w:spacing w:before="0" w:after="0"/>
        <w:ind w:left="0" w:right="0" w:hanging="0"/>
        <w:jc w:val="left"/>
        <w:rPr/>
      </w:pPr>
      <w:r>
        <w:rPr/>
        <w:t> </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On April 26, 2024, U.S. Bank Trust Company, in its capacity as Trustee under the Indentures for DISH DBS Corporation’s 5.75%</w:t>
      </w:r>
      <w:r>
        <w:rPr>
          <w:rFonts w:ascii="Times New Roman;Times;serif" w:hAnsi="Times New Roman;Times;serif"/>
          <w:spacing w:val="-2"/>
          <w:sz w:val="18"/>
        </w:rPr>
        <w:t xml:space="preserve"> </w:t>
      </w:r>
      <w:r>
        <w:rPr>
          <w:rFonts w:ascii="Arial;Helvetica;sans-serif" w:hAnsi="Arial;Helvetica;sans-serif"/>
          <w:spacing w:val="-2"/>
          <w:sz w:val="20"/>
        </w:rPr>
        <w:t>Senior Secured Notes due 2028 and 7.75%</w:t>
      </w:r>
      <w:r>
        <w:rPr>
          <w:rFonts w:ascii="Times New Roman;Times;serif" w:hAnsi="Times New Roman;Times;serif"/>
          <w:spacing w:val="-2"/>
          <w:sz w:val="18"/>
        </w:rPr>
        <w:t xml:space="preserve"> </w:t>
      </w:r>
      <w:r>
        <w:rPr>
          <w:rFonts w:ascii="Arial;Helvetica;sans-serif" w:hAnsi="Arial;Helvetica;sans-serif"/>
          <w:spacing w:val="-2"/>
          <w:sz w:val="20"/>
        </w:rPr>
        <w:t xml:space="preserve">Senior Notes due 2026, filed an action in state court in New York City against DISH DBS Corporation, DISH Network L.L.C., EchoStar Intercompany Receivable Company L.L.C., DISH DBS Issuer LLC, and DBS Intercompany Receivable L.L.C. In its original complaint, the Trustee contended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On January 22, 2025, with permission from the Court, the Trustee filed a second amended complaint, which added allegations regarding the debt issued by DBS SubscriberCo, a related intercompany loan, and the DIRECTV transaction (collectively, the “September 2024 Transactions”). The defendants moved to dismiss the second amended complaint and, on August 21, 2025, the Court granted the motion to dismiss the claims that were based on the September 2024 Transactions but otherwise denied the motion.</w:t>
      </w:r>
    </w:p>
    <w:p>
      <w:pPr>
        <w:pStyle w:val="TextBody"/>
        <w:pBdr/>
        <w:bidi w:val="0"/>
        <w:spacing w:before="0" w:after="0"/>
        <w:ind w:left="0" w:right="0" w:hanging="9"/>
        <w:jc w:val="left"/>
        <w:rPr>
          <w:spacing w:val="-2"/>
        </w:rPr>
      </w:pPr>
      <w:r>
        <w:rPr>
          <w:spacing w:val="-2"/>
        </w:rPr>
        <w:t> </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We intend to vigorously defend this case. We cannot predict with any degree of certainty the outcome of the suit or determine the extent of any potential liability or damages.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 xml:space="preserve">Vermont National Telephone Company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On September 23, 2016, the United States District Court for the District of Columbia unsealed a qui tam complaint that, on May 13, 2015, Vermont National filed against us; our wholly-owned subsidiaries, American AWS-3 Wireless I L.L.C., American II, American III, and DISH Wireless Holding L.L.C.; Charles W. Ergen (our Chairman) and Cantey M. Ergen (a member of our Board of Directors, at that time);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w:t>
      </w:r>
      <w:r>
        <w:rPr>
          <w:rFonts w:ascii="Times New Roman;Times;serif" w:hAnsi="Times New Roman;Times;serif"/>
          <w:spacing w:val="-2"/>
          <w:sz w:val="18"/>
        </w:rPr>
        <w:t xml:space="preserve"> </w:t>
      </w:r>
      <w:r>
        <w:rPr>
          <w:rFonts w:ascii="Arial;Helvetica;sans-serif" w:hAnsi="Arial;Helvetica;sans-serif"/>
          <w:spacing w:val="-2"/>
          <w:sz w:val="20"/>
        </w:rPr>
        <w:t>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$10</w:t>
      </w:r>
      <w:r>
        <w:rPr>
          <w:rFonts w:ascii="Times New Roman;Times;serif" w:hAnsi="Times New Roman;Times;serif"/>
          <w:spacing w:val="-2"/>
          <w:sz w:val="18"/>
        </w:rPr>
        <w:t xml:space="preserve"> </w:t>
      </w:r>
      <w:r>
        <w:rPr>
          <w:rFonts w:ascii="Arial;Helvetica;sans-serif" w:hAnsi="Arial;Helvetica;sans-serif"/>
          <w:spacing w:val="-2"/>
          <w:sz w:val="20"/>
        </w:rPr>
        <w:t>billion, which reflects the $3.3</w:t>
      </w:r>
      <w:r>
        <w:rPr>
          <w:rFonts w:ascii="Times New Roman;Times;serif" w:hAnsi="Times New Roman;Times;serif"/>
          <w:spacing w:val="-2"/>
          <w:sz w:val="18"/>
        </w:rPr>
        <w:t xml:space="preserve"> </w:t>
      </w:r>
      <w:r>
        <w:rPr>
          <w:rFonts w:ascii="Arial;Helvetica;sans-serif" w:hAnsi="Arial;Helvetica;sans-serif"/>
          <w:spacing w:val="-2"/>
          <w:sz w:val="20"/>
        </w:rPr>
        <w:t>billion in bidding credits that Northstar Wireless and SNR Wireless claimed in the AWS-3 Auction, trebled under the FCA. Vermont National also seeks civil penalties of not less than $5,500</w:t>
      </w:r>
      <w:r>
        <w:rPr>
          <w:rFonts w:ascii="Times New Roman;Times;serif" w:hAnsi="Times New Roman;Times;serif"/>
          <w:spacing w:val="-2"/>
          <w:sz w:val="18"/>
        </w:rPr>
        <w:t xml:space="preserve"> </w:t>
      </w:r>
      <w:r>
        <w:rPr>
          <w:rFonts w:ascii="Arial;Helvetica;sans-serif" w:hAnsi="Arial;Helvetica;sans-serif"/>
          <w:spacing w:val="-2"/>
          <w:sz w:val="20"/>
        </w:rPr>
        <w:t>and not more than $11,000</w:t>
      </w:r>
      <w:r>
        <w:rPr>
          <w:rFonts w:ascii="Times New Roman;Times;serif" w:hAnsi="Times New Roman;Times;serif"/>
          <w:spacing w:val="-2"/>
          <w:sz w:val="18"/>
        </w:rPr>
        <w:t xml:space="preserve"> </w:t>
      </w:r>
      <w:r>
        <w:rPr>
          <w:rFonts w:ascii="Arial;Helvetica;sans-serif" w:hAnsi="Arial;Helvetica;sans-serif"/>
          <w:spacing w:val="-2"/>
          <w:sz w:val="20"/>
        </w:rPr>
        <w:t xml:space="preserve">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Helvetica;sans-serif" w:hAnsi="Arial;Helvetica;sans-serif"/>
          <w:i/>
          <w:spacing w:val="-2"/>
          <w:sz w:val="20"/>
        </w:rPr>
        <w:t xml:space="preserve">SNR Wireless LicenseCo, LLC, et al. v. F.C.C. </w:t>
      </w:r>
      <w:r>
        <w:rPr>
          <w:rFonts w:ascii="Arial;Helvetica;sans-serif" w:hAnsi="Arial;Helvetica;sans-serif"/>
          <w:spacing w:val="-2"/>
          <w:sz w:val="20"/>
        </w:rPr>
        <w:t xml:space="preserve">The D.C. Circuit issued its opinion on August 29, 2017 and remanded the matter to the FCC for further proceedings.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 On August 25, 2023, the FCC provided a sworn declaration stating that “the FCC considers … SNR and Northstar to have fully and timely satisfied their obligations to pay money to the Government arising from the AWS-3 Auction.” </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intend to vigorously defend this case. We cannot predict with any degree of certainty the outcome of this proceeding or determine the extent of any potential liability or damages.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Other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r>
        <w:rPr>
          <w:rFonts w:ascii="Times New Roman;Times;serif" w:hAnsi="Times New Roman;Times;serif"/>
          <w:spacing w:val="-2"/>
          <w:sz w:val="18"/>
        </w:rPr>
        <w:t xml:space="preserve">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val="false"/>
          <w:caps w:val="false"/>
          <w:smallCaps w:val="false"/>
          <w:spacing w:val="-2"/>
          <w:sz w:val="20"/>
        </w:rPr>
        <w:t>10.</w:t>
      </w:r>
      <w:r>
        <w:rPr>
          <w:rFonts w:ascii="Arial;Helvetica;sans-serif" w:hAnsi="Arial;Helvetica;sans-serif"/>
          <w:b/>
          <w:spacing w:val="-2"/>
          <w:sz w:val="20"/>
        </w:rPr>
        <w:t>Segment Reporting</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Our reportable segments are strategic business units managed separately based on different business strategies, services and products.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Our chief operating decision maker </w:t>
      </w:r>
      <w:r>
        <w:rPr>
          <w:rFonts w:ascii="Arial;Helvetica;sans-serif" w:hAnsi="Arial;Helvetica;sans-serif"/>
          <w:color w:val="222222"/>
          <w:sz w:val="20"/>
          <w:shd w:fill="FFFFFF" w:val="clear"/>
        </w:rPr>
        <w:t xml:space="preserve">(“CODM”) </w:t>
      </w:r>
      <w:r>
        <w:rPr>
          <w:rFonts w:ascii="Arial;Helvetica;sans-serif" w:hAnsi="Arial;Helvetica;sans-serif"/>
          <w:sz w:val="20"/>
        </w:rPr>
        <w:t>is our</w:t>
      </w:r>
      <w:r>
        <w:rPr>
          <w:rFonts w:ascii="Times New Roman;Times;serif" w:hAnsi="Times New Roman;Times;serif"/>
          <w:color w:val="222222"/>
          <w:sz w:val="20"/>
          <w:shd w:fill="FFFFFF" w:val="clear"/>
        </w:rPr>
        <w:t xml:space="preserve"> </w:t>
      </w:r>
      <w:r>
        <w:rPr>
          <w:rFonts w:ascii="Arial;Helvetica;sans-serif" w:hAnsi="Arial;Helvetica;sans-serif"/>
          <w:color w:val="222222"/>
          <w:sz w:val="20"/>
          <w:shd w:fill="FFFFFF" w:val="clear"/>
        </w:rPr>
        <w:t xml:space="preserve">President and Chief Executive Officer. </w:t>
      </w:r>
      <w:r>
        <w:rPr>
          <w:rFonts w:ascii="Times New Roman;Times;serif" w:hAnsi="Times New Roman;Times;serif"/>
          <w:sz w:val="20"/>
        </w:rPr>
        <w:t>“</w:t>
      </w:r>
      <w:r>
        <w:rPr>
          <w:rFonts w:ascii="Arial;Helvetica;sans-serif" w:hAnsi="Arial;Helvetica;sans-serif"/>
          <w:sz w:val="20"/>
        </w:rPr>
        <w:t>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currently operate two</w:t>
      </w:r>
      <w:r>
        <w:rPr>
          <w:rFonts w:ascii="Times New Roman;Times;serif" w:hAnsi="Times New Roman;Times;serif"/>
          <w:spacing w:val="-2"/>
          <w:sz w:val="18"/>
        </w:rPr>
        <w:t xml:space="preserve"> </w:t>
      </w:r>
      <w:r>
        <w:rPr>
          <w:rFonts w:ascii="Arial;Helvetica;sans-serif" w:hAnsi="Arial;Helvetica;sans-serif"/>
          <w:spacing w:val="-2"/>
          <w:sz w:val="20"/>
        </w:rPr>
        <w:t xml:space="preserve">primary business segments: (1) Pay-TV and (2) Wireless. See Note 1 for further information. Our Pay-TV segment revenue is primarily derived from Pay-TV subscriber revenue. Our Wireless segment revenue is primarily derived from Wireless subscriber revenue and selling wireless devices to subscribers. </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All other and eliminations primarily include intersegment eliminations related to intercompany revenue and the related expense, which are eliminated in consolidation.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CODM is not regularly provided assets on a segment basis; therefore, such information is not presented. </w:t>
      </w:r>
    </w:p>
    <w:p>
      <w:pPr>
        <w:pStyle w:val="TextBody"/>
        <w:bidi w:val="0"/>
        <w:spacing w:before="0" w:after="0"/>
        <w:ind w:left="360" w:right="0" w:hanging="0"/>
        <w:jc w:val="left"/>
        <w:rPr/>
      </w:pPr>
      <w:r>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The revenue, expense, operating income (loss) and OIBDA by segment were as follows:</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significant expense categories and amounts align with the segment-level information that is regularly provided to the CODM. Intersegment expenses are included within the amounts presented.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pPr>
      <w:bookmarkStart w:id="1401" w:name="Tc_eNUsBDDq3E6jhqlzNhnrJw_35_11"/>
      <w:bookmarkStart w:id="1402" w:name="Tc__wC4HgW8dk-lYenFK97OfQ_35_0"/>
      <w:bookmarkStart w:id="1403" w:name="Tc_wdFwt8E5Gk6WFlb-wssSfQ_34_0"/>
      <w:bookmarkStart w:id="1404" w:name="Tc_p6e-FzQpq0SD-zHhv6B-gQ_33_0"/>
      <w:bookmarkStart w:id="1405" w:name="Tc_arxfytf1IUOpMbzi9yVxVw_32_0"/>
      <w:bookmarkStart w:id="1406" w:name="Tc_4iaHzYkwdkGV9fgQaXrwEg_31_0"/>
      <w:bookmarkStart w:id="1407" w:name="Tc_PM_maMXgaEGUZnmwPEx_mQ_29_9"/>
      <w:bookmarkStart w:id="1408" w:name="Tc_QHivJLyIb0Sv111PSGBrbg_29_8"/>
      <w:bookmarkStart w:id="1409" w:name="Tc_nsZFNyF0ZkWuda0eWk0FiQ_29_5"/>
      <w:bookmarkStart w:id="1410" w:name="Tc_vli3lfdXgkSpsKXiAmfYFA_29_2"/>
      <w:bookmarkStart w:id="1411" w:name="Tc_1_viNPqjHUG1kMn1wwnGYA_29_0"/>
      <w:bookmarkStart w:id="1412" w:name="Tc_0sSftXzsE0qNqsW2NUtsuQ_27_0"/>
      <w:bookmarkStart w:id="1413" w:name="Tc_Fhu3zTStGUe3dfVZlGVgGA_26_9"/>
      <w:bookmarkStart w:id="1414" w:name="Tc_ATcnZR09jEazhPFq536p5Q_26_0"/>
      <w:bookmarkStart w:id="1415" w:name="Tc_NmGPTn7cB0OZpkH5Em_W8g_24_9"/>
      <w:bookmarkStart w:id="1416" w:name="Tc_qqrpNx2P60CbfawAzmA0Og_24_0"/>
      <w:bookmarkStart w:id="1417" w:name="Tc_RWz1AUyW50mzpE3sOYBoIg_22_9"/>
      <w:bookmarkStart w:id="1418" w:name="Tc_Gsf2rnf3vEiD5kSpFHns-Q_22_3"/>
      <w:bookmarkStart w:id="1419" w:name="Tc_EXp2A0xk-kW9gj8LQlUdlg_22_0"/>
      <w:bookmarkStart w:id="1420" w:name="Tc_LZcwouyQiEWBxPcXegafIQ_21_0"/>
      <w:bookmarkStart w:id="1421" w:name="Tc_BrSbZ9Qpr0OfmtMMbMT4Bw_20_0"/>
      <w:bookmarkStart w:id="1422" w:name="Tc_f6LwJqRoR0-_QBsnnISaHA_19_0"/>
      <w:bookmarkStart w:id="1423" w:name="Tc_pc60hmvrFE6FxMD4rbOniw_18_0"/>
      <w:bookmarkStart w:id="1424" w:name="Tc_vG1HGYMfwEuSrxtSvat3oQ_17_9"/>
      <w:bookmarkStart w:id="1425" w:name="Tc_z9H_xiEOekm7istL3udbqw_17_0"/>
      <w:bookmarkStart w:id="1426" w:name="Tc_b7qQxfXpHEOk6q3u8so_hA_16_0"/>
      <w:bookmarkStart w:id="1427" w:name="Tc_I9GocmRqNUa_IVGLGE42aA_15_0"/>
      <w:bookmarkStart w:id="1428" w:name="Tc_k4LG8Gtpf0GsxSpfIVULQQ_14_0"/>
      <w:bookmarkStart w:id="1429" w:name="Tc_3e-3cZD0r06_gkDXxTtHXg_13_9"/>
      <w:bookmarkStart w:id="1430" w:name="Tc_Qmukl5bOGkqMrUg4C_9BUA_13_6"/>
      <w:bookmarkStart w:id="1431" w:name="Tc_bI92UQ8qfUqc82NFZESdJQ_13_0"/>
      <w:bookmarkStart w:id="1432" w:name="Tc_-enalwfoXE2DfvYimf-0iw_12_0"/>
      <w:bookmarkStart w:id="1433" w:name="Tc_Z3SvwtRHv0y2mKMSVCL-fQ_11_0"/>
      <w:bookmarkStart w:id="1434" w:name="Tc_2ueRREXRRk-hOsrHTdCvYg_9_0"/>
      <w:bookmarkStart w:id="1435" w:name="Tc_beMIuJXQ50uBMo2JAYFixA_8_12"/>
      <w:bookmarkStart w:id="1436" w:name="Tc_pv2GUSsfL02N-f_6-CUDpQ_8_0"/>
      <w:bookmarkStart w:id="1437" w:name="Tc_twDs4fXn_UG-DeQsF0eV5w_7_9"/>
      <w:bookmarkStart w:id="1438" w:name="Tc_1u7ZUlkWoUOnf_Yg4BJXLA_7_0"/>
      <w:bookmarkStart w:id="1439" w:name="Tc_NGIilc2mhUq4Rn-a00yvxA_6_11"/>
      <w:bookmarkStart w:id="1440" w:name="Tc_TNI8jvwxlE60qbttXM-8bQ_6_9"/>
      <w:bookmarkStart w:id="1441" w:name="Tc_9nxdg7OFA06C1jZYObiILw_6_8"/>
      <w:bookmarkStart w:id="1442" w:name="Tc_RPstSPbZiUuyvgOOOqP5ZA_6_5"/>
      <w:bookmarkStart w:id="1443" w:name="Tc_Pk7vh9e8-UCHIVG93Qrbug_6_2"/>
      <w:bookmarkStart w:id="1444" w:name="Tc_MMJiJwlYcUqu8dUTMUNOAQ_6_0"/>
      <w:bookmarkStart w:id="1445" w:name="Tc_SH3f60u2PE6DTPn1MnLaFA_5_0"/>
      <w:bookmarkStart w:id="1446" w:name="Tc_xRp-dMr7-kGQ2_GtXXQLEA_4_0"/>
      <w:bookmarkStart w:id="1447" w:name="Tc_Z_NiIR5XYEqegsc70MhQNQ_3_0"/>
      <w:bookmarkStart w:id="1448" w:name="Tc_PSyTTNww9k-U_I1SZ1HlAg_2_2"/>
      <w:bookmarkStart w:id="1449" w:name="Tc_gzU03QAvO06w4FBIN78GLg_1_11"/>
      <w:bookmarkStart w:id="1450" w:name="Tc_bjHIKoi8M0iK8IhBAVB8UA_1_8"/>
      <w:bookmarkStart w:id="1451" w:name="Tc_jlGraErCVEy9nyo5EOFNhQ_1_5"/>
      <w:bookmarkStart w:id="1452" w:name="Tc_8rgbLKp1KUKQqccrb28aNQ_1_2"/>
      <w:bookmarkStart w:id="1453" w:name="_020b1350_1a0a_4ec7_b09c_aa557b765e71"/>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r>
        <w:rPr/>
        <w:t>​</w:t>
      </w:r>
    </w:p>
    <w:tbl>
      <w:tblPr>
        <w:tblW w:w="10117" w:type="dxa"/>
        <w:jc w:val="left"/>
        <w:tblInd w:w="0" w:type="dxa"/>
        <w:tblLayout w:type="fixed"/>
        <w:tblCellMar>
          <w:top w:w="0" w:type="dxa"/>
          <w:left w:w="0" w:type="dxa"/>
          <w:bottom w:w="0" w:type="dxa"/>
          <w:right w:w="0" w:type="dxa"/>
        </w:tblCellMar>
      </w:tblPr>
      <w:tblGrid>
        <w:gridCol w:w="4276"/>
        <w:gridCol w:w="109"/>
        <w:gridCol w:w="211"/>
        <w:gridCol w:w="931"/>
        <w:gridCol w:w="109"/>
        <w:gridCol w:w="211"/>
        <w:gridCol w:w="1156"/>
        <w:gridCol w:w="109"/>
        <w:gridCol w:w="289"/>
        <w:gridCol w:w="867"/>
        <w:gridCol w:w="109"/>
        <w:gridCol w:w="260"/>
        <w:gridCol w:w="1480"/>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715260" cy="175260"/>
                      <wp:effectExtent l="0" t="0" r="0" b="0"/>
                      <wp:wrapNone/>
                      <wp:docPr id="249" name="Frame249"/>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51"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91185" cy="175260"/>
                      <wp:effectExtent l="0" t="0" r="0" b="0"/>
                      <wp:wrapNone/>
                      <wp:docPr id="252" name="Frame25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9215" cy="175260"/>
                      <wp:effectExtent l="0" t="0" r="0" b="0"/>
                      <wp:wrapNone/>
                      <wp:docPr id="253" name="Frame25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734060" cy="175260"/>
                      <wp:effectExtent l="0" t="0" r="0" b="0"/>
                      <wp:wrapNone/>
                      <wp:docPr id="255" name="Frame255"/>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9215" cy="175260"/>
                      <wp:effectExtent l="0" t="0" r="0" b="0"/>
                      <wp:wrapNone/>
                      <wp:docPr id="256" name="Frame2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3515" cy="175260"/>
                      <wp:effectExtent l="0" t="0" r="0" b="0"/>
                      <wp:wrapNone/>
                      <wp:docPr id="257" name="Frame25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50545" cy="175260"/>
                      <wp:effectExtent l="0" t="0" r="0" b="0"/>
                      <wp:wrapNone/>
                      <wp:docPr id="258" name="Frame258"/>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9215" cy="175260"/>
                      <wp:effectExtent l="0" t="0" r="0" b="0"/>
                      <wp:wrapNone/>
                      <wp:docPr id="259"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65100" cy="175260"/>
                      <wp:effectExtent l="0" t="0" r="0" b="0"/>
                      <wp:wrapNone/>
                      <wp:docPr id="260" name="Frame260"/>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939800" cy="175260"/>
                      <wp:effectExtent l="0" t="0" r="0" b="0"/>
                      <wp:wrapNone/>
                      <wp:docPr id="261" name="Frame261"/>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7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11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32"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7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September 30, 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Revenue from external customers: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2,328,205</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836,164</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3,164,369</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13,894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102,631</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116,525</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Intersegment revenue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912</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2,341,183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938,799</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912</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3,280,894</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1,126,925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1,126,925</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 (1)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49,736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615,677</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665,409</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288,433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173,949</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5,236</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467,618</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1,465,094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789,626</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5,232</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2,259,952</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315,241</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323,719</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103,864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188,790</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(4,159)</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288,495</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153,310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95,253</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248,402</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257,174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284,043</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(4,320)</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536,897</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 (3)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610,437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(16,486,112)</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(15,875,675)</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61,049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229,606</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290,655</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1,791,795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17,654,517</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912</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19,447,224</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549,388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(16,715,718)</w:t>
            </w:r>
          </w:p>
        </w:tc>
        <w:tc>
          <w:tcPr>
            <w:tcW w:w="109" w:type="dxa"/>
            <w:tcBorders/>
            <w:shd w:fill="CCEEFF" w:val="clear"/>
            <w:vAlign w:val="center"/>
          </w:tcPr>
          <w:p>
            <w:pPr>
              <w:pStyle w:val="TableContents"/>
              <w:bidi w:val="0"/>
              <w:spacing w:before="0" w:after="0"/>
              <w:ind w:left="0" w:right="0" w:hanging="0"/>
              <w:jc w:val="righ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(16,166,330)</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15,243</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(332,003)</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(41,156)</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(16,524,246)</w:t>
            </w:r>
          </w:p>
        </w:tc>
      </w:tr>
    </w:tbl>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9891"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Connectivity services” is the cost to deliver our services and products to customers, which includes, among other things, network, transport and data, cloud based service, satellite and transmission, and other related costs. </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84" w:type="dxa"/>
            <w:tcBorders/>
            <w:vAlign w:val="center"/>
          </w:tcPr>
          <w:p>
            <w:pPr>
              <w:pStyle w:val="TableContents"/>
              <w:bidi w:val="0"/>
              <w:spacing w:before="0" w:after="283"/>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Other” primarily consists of variable costs including call center, manufacturing, dealer incentive, bad debt, billing and other variable costs, as well as costs to retain our subscribers.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990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w:t>
            </w:r>
          </w:p>
        </w:tc>
      </w:tr>
    </w:tbl>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454" w:name="Tc_EezF92nqsUSqPnCH_io5dQ_35_11"/>
      <w:bookmarkStart w:id="1455" w:name="Tc_Pbf_G9rtPUuEt1lyi675Tw_35_0"/>
      <w:bookmarkStart w:id="1456" w:name="Tc_wOQ_HhiuIUKPoXr-6mQUhg_34_0"/>
      <w:bookmarkStart w:id="1457" w:name="Tc_vyxgbs8a7E-KK6h2yEYHQw_33_0"/>
      <w:bookmarkStart w:id="1458" w:name="Tc_af7bhzxTd06Uox87iJ7FbA_32_0"/>
      <w:bookmarkStart w:id="1459" w:name="Tc_H77NEQ_jSESyjtIJ-u5MMg_31_0"/>
      <w:bookmarkStart w:id="1460" w:name="Tc_qJxg0OfN-0eBqaGzTjg8WA_29_8"/>
      <w:bookmarkStart w:id="1461" w:name="Tc_qS96QgErzkqvrXmGGT4LjQ_29_5"/>
      <w:bookmarkStart w:id="1462" w:name="Tc_-f0ftinjV0CUasWS6ORpDQ_29_2"/>
      <w:bookmarkStart w:id="1463" w:name="Tc_lqpA2Nl0OEen0WbherPiFQ_29_0"/>
      <w:bookmarkStart w:id="1464" w:name="Tc_1_k7NTj65EKbSy-UfLAbew_27_0"/>
      <w:bookmarkStart w:id="1465" w:name="Tc_nyRoEMim9Ea0dIAsSfcooA_26_9"/>
      <w:bookmarkStart w:id="1466" w:name="Tc_Izey5bufwEqaQQQo8W9UHg_26_0"/>
      <w:bookmarkStart w:id="1467" w:name="Tc__uVliZuBGUmah2Jd4W01pA_24_0"/>
      <w:bookmarkStart w:id="1468" w:name="Tc_n-uZr7JE6EakV7qYmRK4Mg_22_12"/>
      <w:bookmarkStart w:id="1469" w:name="Tc_Lx8L3WHDS0O5x85t4RLDxQ_22_9"/>
      <w:bookmarkStart w:id="1470" w:name="Tc_Lw7_WApyW0SKlxaS--1S-w_22_6"/>
      <w:bookmarkStart w:id="1471" w:name="Tc_IQlF6HgysEqZJS7htW9_Ag_22_3"/>
      <w:bookmarkStart w:id="1472" w:name="Tc_t0QW54DYwEO38WzTSjDWOQ_22_0"/>
      <w:bookmarkStart w:id="1473" w:name="Tc_r2g3zpuqFka_7Gjupixuew_21_0"/>
      <w:bookmarkStart w:id="1474" w:name="Tc_J1Nm-2sn-UmffkuhIgnaYg_20_0"/>
      <w:bookmarkStart w:id="1475" w:name="Tc_qzmyfRnSLECwZuN7OiDNmg_19_9"/>
      <w:bookmarkStart w:id="1476" w:name="Tc_Ze8dRsakuE6mCXuG4b0kgw_19_0"/>
      <w:bookmarkStart w:id="1477" w:name="Tc_hU4j7TtR0UW7jddu-6KJtw_18_0"/>
      <w:bookmarkStart w:id="1478" w:name="Tc_tY_UjyjcEUOPEwS7X5d9cA_17_9"/>
      <w:bookmarkStart w:id="1479" w:name="Tc_slOM6Oa1cUunBO3A3n-4Cg_17_0"/>
      <w:bookmarkStart w:id="1480" w:name="Tc_lyN53_pqIUC-NooqcPndUA_16_0"/>
      <w:bookmarkStart w:id="1481" w:name="Tc_xf2iZy3H1ECV-6kAnL4vXA_15_0"/>
      <w:bookmarkStart w:id="1482" w:name="Tc_wJmfwNQ9HUeY90z7F_8A7A_14_0"/>
      <w:bookmarkStart w:id="1483" w:name="Tc_Oc6orcr_DUuF857p5Kds0Q_13_9"/>
      <w:bookmarkStart w:id="1484" w:name="Tc_ntQ2T5qYSke45cLhL85Kuw_13_6"/>
      <w:bookmarkStart w:id="1485" w:name="Tc_gTHs39Atg06r5gu-hsBvyw_13_0"/>
      <w:bookmarkStart w:id="1486" w:name="Tc_h-7U37dPbkiInjr2WmeQOA_12_0"/>
      <w:bookmarkStart w:id="1487" w:name="Tc_fYCOIg0kDUaZr6FeZhj0Mg_11_0"/>
      <w:bookmarkStart w:id="1488" w:name="Tc_xF5SKkikHECZZP9khfbPdQ_9_0"/>
      <w:bookmarkStart w:id="1489" w:name="Tc_cAiXE_2-z0qL8sBCmAHAuA_8_12"/>
      <w:bookmarkStart w:id="1490" w:name="Tc_6w09gqNVdUSvLeS6RLtYXw_8_0"/>
      <w:bookmarkStart w:id="1491" w:name="Tc_UpKgZRGmmEKt3rP3iGGPwA_7_9"/>
      <w:bookmarkStart w:id="1492" w:name="Tc_GHmbZxo-H0CemI_JXsIYwQ_7_0"/>
      <w:bookmarkStart w:id="1493" w:name="Tc_MKjznsKANUOZtsTFW2BMsw_6_11"/>
      <w:bookmarkStart w:id="1494" w:name="Tc_wV9-Myp7DkKUReczCXMPgw_6_9"/>
      <w:bookmarkStart w:id="1495" w:name="Tc_sJlTGYLcAUmMgeQGYWIXgQ_6_8"/>
      <w:bookmarkStart w:id="1496" w:name="Tc_vj34YLunu0uVFLatVPVwaA_6_5"/>
      <w:bookmarkStart w:id="1497" w:name="Tc_aj9W-MF3nECOUR2Bum9vHw_6_2"/>
      <w:bookmarkStart w:id="1498" w:name="Tc_-D07lCyKQ0ye5U3HErBGuw_6_0"/>
      <w:bookmarkStart w:id="1499" w:name="Tc_EGPDKLZObUmcR8sDB4ySWA_5_0"/>
      <w:bookmarkStart w:id="1500" w:name="Tc_fm5ZzMlEzEerGx0dPnz4eQ_4_0"/>
      <w:bookmarkStart w:id="1501" w:name="Tc_40NmJmgWiUuXDwsjhKjwPw_3_0"/>
      <w:bookmarkStart w:id="1502" w:name="Tc_AYmQAVMyH0uTj-dOsbEkjw_2_2"/>
      <w:bookmarkStart w:id="1503" w:name="Tc_F8V19LD340Ck9OW7BA4iLA_1_11"/>
      <w:bookmarkStart w:id="1504" w:name="Tc_X6DfveH4R0G0ZD3GCdYU9w_1_8"/>
      <w:bookmarkStart w:id="1505" w:name="Tc_PPiX2iwEI0ya18Y6ALU4hQ_1_5"/>
      <w:bookmarkStart w:id="1506" w:name="Tc_e18RZM8qg0uF9XJO8NEx-g_1_2"/>
      <w:bookmarkStart w:id="1507" w:name="_13c1daf1_761b_4b97_bad6_206eb416e262"/>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r>
        <w:rPr>
          <w:spacing w:val="-2"/>
        </w:rPr>
        <w:t>​</w:t>
      </w:r>
    </w:p>
    <w:tbl>
      <w:tblPr>
        <w:tblW w:w="9892" w:type="dxa"/>
        <w:jc w:val="left"/>
        <w:tblInd w:w="0" w:type="dxa"/>
        <w:tblLayout w:type="fixed"/>
        <w:tblCellMar>
          <w:top w:w="0" w:type="dxa"/>
          <w:left w:w="0" w:type="dxa"/>
          <w:bottom w:w="0" w:type="dxa"/>
          <w:right w:w="0" w:type="dxa"/>
        </w:tblCellMar>
      </w:tblPr>
      <w:tblGrid>
        <w:gridCol w:w="4276"/>
        <w:gridCol w:w="109"/>
        <w:gridCol w:w="211"/>
        <w:gridCol w:w="931"/>
        <w:gridCol w:w="109"/>
        <w:gridCol w:w="211"/>
        <w:gridCol w:w="931"/>
        <w:gridCol w:w="109"/>
        <w:gridCol w:w="352"/>
        <w:gridCol w:w="804"/>
        <w:gridCol w:w="109"/>
        <w:gridCol w:w="308"/>
        <w:gridCol w:w="1432"/>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715260" cy="175260"/>
                      <wp:effectExtent l="0" t="0" r="0" b="0"/>
                      <wp:wrapNone/>
                      <wp:docPr id="262" name="Frame262"/>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591185" cy="175260"/>
                      <wp:effectExtent l="0" t="0" r="0" b="0"/>
                      <wp:wrapNone/>
                      <wp:docPr id="265" name="Frame2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91185" cy="175260"/>
                      <wp:effectExtent l="0" t="0" r="0" b="0"/>
                      <wp:wrapNone/>
                      <wp:docPr id="268" name="Frame2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23520" cy="175260"/>
                      <wp:effectExtent l="0" t="0" r="0" b="0"/>
                      <wp:wrapNone/>
                      <wp:docPr id="270" name="Frame270"/>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510540" cy="175260"/>
                      <wp:effectExtent l="0" t="0" r="0" b="0"/>
                      <wp:wrapNone/>
                      <wp:docPr id="271" name="Frame271"/>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9215" cy="175260"/>
                      <wp:effectExtent l="0" t="0" r="0" b="0"/>
                      <wp:wrapNone/>
                      <wp:docPr id="272" name="Frame2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95580" cy="175260"/>
                      <wp:effectExtent l="0" t="0" r="0" b="0"/>
                      <wp:wrapNone/>
                      <wp:docPr id="273" name="Frame273"/>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09320" cy="175260"/>
                      <wp:effectExtent l="0" t="0" r="0" b="0"/>
                      <wp:wrapNone/>
                      <wp:docPr id="274" name="Frame274"/>
                      <a:graphic xmlns:a="http://schemas.openxmlformats.org/drawingml/2006/main">
                        <a:graphicData uri="http://schemas.microsoft.com/office/word/2010/wordprocessingShape">
                          <wps:wsp>
                            <wps:cNvSpPr txBox="1"/>
                            <wps:spPr>
                              <a:xfrm>
                                <a:off x="0" y="0"/>
                                <a:ext cx="90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7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989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507"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7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September 30, 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center"/>
              <w:rPr/>
            </w:pPr>
            <w:r>
              <w:rPr/>
              <w:t>​</w:t>
            </w:r>
          </w:p>
        </w:tc>
        <w:tc>
          <w:tcPr>
            <w:tcW w:w="1432" w:type="dxa"/>
            <w:tcBorders/>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Revenue from external customers: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2,602,176</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778,737</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3,380,913</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15,143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119,261</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134,404</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Intersegment revenue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(717)</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2,618,031</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898,003</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(717)</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3,515,317</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1,265,883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1,265,883</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53,820</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637,014</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(570)</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690,264</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319,302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140,058</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459,405</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1,639,005</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777,072</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(525)</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2,415,552</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19,243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300,321</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319,564</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110,697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178,073</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288,770</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173,083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78,654</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251,732</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283,780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256,727</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540,502</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676,003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(436,117)</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(187)</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239,699</w:t>
            </w:r>
          </w:p>
        </w:tc>
      </w:tr>
      <w:tr>
        <w:trPr/>
        <w:tc>
          <w:tcPr>
            <w:tcW w:w="427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left"/>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87,502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276,697</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364,199</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2,029,530</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1,610,817</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3,639,817</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588,501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(712,814)</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w:t>
            </w:r>
          </w:p>
        </w:tc>
        <w:tc>
          <w:tcPr>
            <w:tcW w:w="109" w:type="dxa"/>
            <w:tcBorders/>
            <w:shd w:fill="CCEEFF" w:val="clear"/>
            <w:vAlign w:val="center"/>
          </w:tcPr>
          <w:p>
            <w:pPr>
              <w:pStyle w:val="TableContents"/>
              <w:bidi w:val="0"/>
              <w:spacing w:before="0" w:after="0"/>
              <w:ind w:left="0" w:right="0" w:hanging="0"/>
              <w:jc w:val="righ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(124,500)</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center"/>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1432"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vAlign w:val="center"/>
          </w:tcPr>
          <w:p>
            <w:pPr>
              <w:pStyle w:val="TableContents"/>
              <w:bidi w:val="0"/>
              <w:spacing w:before="0" w:after="0"/>
              <w:ind w:left="0" w:right="0" w:hanging="0"/>
              <w:jc w:val="left"/>
              <w:rPr/>
            </w:pPr>
            <w:r>
              <w:rPr/>
              <w:t>​</w:t>
            </w:r>
          </w:p>
        </w:tc>
        <w:tc>
          <w:tcPr>
            <w:tcW w:w="1432"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8,627</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shd w:fill="CCEEFF" w:val="clear"/>
            <w:vAlign w:val="center"/>
          </w:tcPr>
          <w:p>
            <w:pPr>
              <w:pStyle w:val="TableContents"/>
              <w:bidi w:val="0"/>
              <w:spacing w:before="0" w:after="0"/>
              <w:ind w:left="0" w:right="0" w:hanging="0"/>
              <w:jc w:val="center"/>
              <w:rPr/>
            </w:pPr>
            <w:r>
              <w:rPr/>
              <w:t>​</w:t>
            </w:r>
          </w:p>
        </w:tc>
        <w:tc>
          <w:tcPr>
            <w:tcW w:w="1432"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(160,625)</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32"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18,019</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(258,479)</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508" w:name="Tc_TYAE_mXAU0Sjo2AOGDm-IA_35_11"/>
      <w:bookmarkStart w:id="1509" w:name="Tc_wobaK94_DEif_Ee1w2p10g_35_0"/>
      <w:bookmarkStart w:id="1510" w:name="Tc_RnvFawd8jEGB4KLt2lULMA_34_0"/>
      <w:bookmarkStart w:id="1511" w:name="Tc_X3wjhh2Yf0OWuRw0eyzdqw_33_0"/>
      <w:bookmarkStart w:id="1512" w:name="Tc_8KYKLNaalEmzHAoyQ0b0mA_32_0"/>
      <w:bookmarkStart w:id="1513" w:name="Tc_iauGrftWcES6NWrgz6TxeQ_31_0"/>
      <w:bookmarkStart w:id="1514" w:name="Tc_oogZVqxXA0qk8IhibAVyxA_29_9"/>
      <w:bookmarkStart w:id="1515" w:name="Tc_FDO8wmj23UK5RL096XoG1A_29_8"/>
      <w:bookmarkStart w:id="1516" w:name="Tc_iBKxMuRuaE6j7iUVs6iNFg_29_5"/>
      <w:bookmarkStart w:id="1517" w:name="Tc_lAJtYgK4kUaGx2YBvjuTVA_29_2"/>
      <w:bookmarkStart w:id="1518" w:name="Tc_UBMrNCVNjU-3Czg3wN3AVw_29_0"/>
      <w:bookmarkStart w:id="1519" w:name="Tc__Dq0ybcn8kGbv_J7AdAKeg_27_0"/>
      <w:bookmarkStart w:id="1520" w:name="Tc_3h6O8RMubUyGzvk-l09LJg_26_9"/>
      <w:bookmarkStart w:id="1521" w:name="Tc_wv72-3BLG0GFasVmyOC53A_26_0"/>
      <w:bookmarkStart w:id="1522" w:name="Tc_DOtJSvT0HEaayxHso_k_zA_24_9"/>
      <w:bookmarkStart w:id="1523" w:name="Tc_iw83Dtrn-EW3g14-QfPjVQ_24_0"/>
      <w:bookmarkStart w:id="1524" w:name="Tc_iayif5fxzEqO1chz9WUBGQ_22_9"/>
      <w:bookmarkStart w:id="1525" w:name="Tc_swcHQ2HmskOpuKuYgzYT4g_22_3"/>
      <w:bookmarkStart w:id="1526" w:name="Tc_3BH64jM9fEKexdgpZL5jEA_22_0"/>
      <w:bookmarkStart w:id="1527" w:name="Tc_Xa2J8Hoy2EWO9nHObtZpqw_21_0"/>
      <w:bookmarkStart w:id="1528" w:name="Tc_rLxaYbVcnkCV1apXiwAUDA_20_0"/>
      <w:bookmarkStart w:id="1529" w:name="Tc_gBH6ck2Uf0aG3nV21d7wkw_19_0"/>
      <w:bookmarkStart w:id="1530" w:name="Tc_2UGC_VlpoEa7_OIaGnlKuQ_18_0"/>
      <w:bookmarkStart w:id="1531" w:name="Tc_cOgvBLHxfkm8O_N8nrBR0g_17_9"/>
      <w:bookmarkStart w:id="1532" w:name="Tc_nXp8vTxBh0aBdip7yzZCzg_17_0"/>
      <w:bookmarkStart w:id="1533" w:name="Tc_Aazh3vxOLUWGccS6IFXxXA_16_0"/>
      <w:bookmarkStart w:id="1534" w:name="Tc_lQN7qbfmZEKw0Gs31272Rw_15_0"/>
      <w:bookmarkStart w:id="1535" w:name="Tc_QZfgkxi4fk2kzbzaCLfrkA_14_0"/>
      <w:bookmarkStart w:id="1536" w:name="Tc_ogIPmPsy1kKua2cWuPSuYw_13_9"/>
      <w:bookmarkStart w:id="1537" w:name="Tc_SgnVOmC2sEOxa6kmLc3gtw_13_6"/>
      <w:bookmarkStart w:id="1538" w:name="Tc_YzoaaovTB02hmMliKm-lCw_13_0"/>
      <w:bookmarkStart w:id="1539" w:name="Tc_wKzgIxNgjEycJu19-8TZuA_12_0"/>
      <w:bookmarkStart w:id="1540" w:name="Tc_ssIgxsXUZkGI8zEdoVaMog_11_0"/>
      <w:bookmarkStart w:id="1541" w:name="Tc_qKnCAEsTQEm1cYOnCsYZvQ_9_0"/>
      <w:bookmarkStart w:id="1542" w:name="Tc_3rblk4coh06thBfLPw8-JA_8_12"/>
      <w:bookmarkStart w:id="1543" w:name="Tc_AfqlYPwUo0-nxKQoNqQOhg_8_0"/>
      <w:bookmarkStart w:id="1544" w:name="Tc_yNHmRF6A3kePbFasSa5ICQ_7_9"/>
      <w:bookmarkStart w:id="1545" w:name="Tc_4J4PaXXxVUCjlp95thp2mA_7_0"/>
      <w:bookmarkStart w:id="1546" w:name="Tc_pFAQmaLN0EWy_1ATozhyFg_6_11"/>
      <w:bookmarkStart w:id="1547" w:name="Tc_q8-RDJp8j0SP63f2QBmpUQ_6_9"/>
      <w:bookmarkStart w:id="1548" w:name="Tc_opPaKxrGeEKVuJ7KSGlQxg_6_8"/>
      <w:bookmarkStart w:id="1549" w:name="Tc_BGNMDLiyJEiweT_A1ioEIw_6_5"/>
      <w:bookmarkStart w:id="1550" w:name="Tc_RztwFFAQPUGVK_oveUlMkw_6_2"/>
      <w:bookmarkStart w:id="1551" w:name="Tc_J9dug4OJfE2dvLvkcE9stg_6_0"/>
      <w:bookmarkStart w:id="1552" w:name="Tc_Bj2klEA9NEiOU4ThdUI2aw_5_0"/>
      <w:bookmarkStart w:id="1553" w:name="Tc_adVV_qzk70K_iq-vMOT_Gg_4_0"/>
      <w:bookmarkStart w:id="1554" w:name="Tc_uSC3kfGdBkep6bXbGMOb4A_3_0"/>
      <w:bookmarkStart w:id="1555" w:name="Tc_3A2N3rgl4kWe8cytNo8hsw_2_2"/>
      <w:bookmarkStart w:id="1556" w:name="Tc_C_DTcWcf6Uet8f_Ph0aPRw_1_11"/>
      <w:bookmarkStart w:id="1557" w:name="Tc_KN_SDC7HgUCwuZAbReioew_1_8"/>
      <w:bookmarkStart w:id="1558" w:name="Tc_MvmJV5kt0EaUTrZ13BlKvg_1_5"/>
      <w:bookmarkStart w:id="1559" w:name="Tc_VjRTVsCbpEOud8PZdXlvMA_1_2"/>
      <w:bookmarkStart w:id="1560" w:name="_ce0c971e_138a_4ee4_852e_3249fb6b04db"/>
      <w:bookmarkStart w:id="1561" w:name="Tc_TYAE_mXAU0Sjo2AOGDm-IA_35_11"/>
      <w:bookmarkStart w:id="1562" w:name="Tc_wobaK94_DEif_Ee1w2p10g_35_0"/>
      <w:bookmarkStart w:id="1563" w:name="Tc_RnvFawd8jEGB4KLt2lULMA_34_0"/>
      <w:bookmarkStart w:id="1564" w:name="Tc_X3wjhh2Yf0OWuRw0eyzdqw_33_0"/>
      <w:bookmarkStart w:id="1565" w:name="Tc_8KYKLNaalEmzHAoyQ0b0mA_32_0"/>
      <w:bookmarkStart w:id="1566" w:name="Tc_iauGrftWcES6NWrgz6TxeQ_31_0"/>
      <w:bookmarkStart w:id="1567" w:name="Tc_oogZVqxXA0qk8IhibAVyxA_29_9"/>
      <w:bookmarkStart w:id="1568" w:name="Tc_FDO8wmj23UK5RL096XoG1A_29_8"/>
      <w:bookmarkStart w:id="1569" w:name="Tc_iBKxMuRuaE6j7iUVs6iNFg_29_5"/>
      <w:bookmarkStart w:id="1570" w:name="Tc_lAJtYgK4kUaGx2YBvjuTVA_29_2"/>
      <w:bookmarkStart w:id="1571" w:name="Tc_UBMrNCVNjU-3Czg3wN3AVw_29_0"/>
      <w:bookmarkStart w:id="1572" w:name="Tc__Dq0ybcn8kGbv_J7AdAKeg_27_0"/>
      <w:bookmarkStart w:id="1573" w:name="Tc_3h6O8RMubUyGzvk-l09LJg_26_9"/>
      <w:bookmarkStart w:id="1574" w:name="Tc_wv72-3BLG0GFasVmyOC53A_26_0"/>
      <w:bookmarkStart w:id="1575" w:name="Tc_DOtJSvT0HEaayxHso_k_zA_24_9"/>
      <w:bookmarkStart w:id="1576" w:name="Tc_iw83Dtrn-EW3g14-QfPjVQ_24_0"/>
      <w:bookmarkStart w:id="1577" w:name="Tc_iayif5fxzEqO1chz9WUBGQ_22_9"/>
      <w:bookmarkStart w:id="1578" w:name="Tc_swcHQ2HmskOpuKuYgzYT4g_22_3"/>
      <w:bookmarkStart w:id="1579" w:name="Tc_3BH64jM9fEKexdgpZL5jEA_22_0"/>
      <w:bookmarkStart w:id="1580" w:name="Tc_Xa2J8Hoy2EWO9nHObtZpqw_21_0"/>
      <w:bookmarkStart w:id="1581" w:name="Tc_rLxaYbVcnkCV1apXiwAUDA_20_0"/>
      <w:bookmarkStart w:id="1582" w:name="Tc_gBH6ck2Uf0aG3nV21d7wkw_19_0"/>
      <w:bookmarkStart w:id="1583" w:name="Tc_2UGC_VlpoEa7_OIaGnlKuQ_18_0"/>
      <w:bookmarkStart w:id="1584" w:name="Tc_cOgvBLHxfkm8O_N8nrBR0g_17_9"/>
      <w:bookmarkStart w:id="1585" w:name="Tc_nXp8vTxBh0aBdip7yzZCzg_17_0"/>
      <w:bookmarkStart w:id="1586" w:name="Tc_Aazh3vxOLUWGccS6IFXxXA_16_0"/>
      <w:bookmarkStart w:id="1587" w:name="Tc_lQN7qbfmZEKw0Gs31272Rw_15_0"/>
      <w:bookmarkStart w:id="1588" w:name="Tc_QZfgkxi4fk2kzbzaCLfrkA_14_0"/>
      <w:bookmarkStart w:id="1589" w:name="Tc_ogIPmPsy1kKua2cWuPSuYw_13_9"/>
      <w:bookmarkStart w:id="1590" w:name="Tc_SgnVOmC2sEOxa6kmLc3gtw_13_6"/>
      <w:bookmarkStart w:id="1591" w:name="Tc_YzoaaovTB02hmMliKm-lCw_13_0"/>
      <w:bookmarkStart w:id="1592" w:name="Tc_wKzgIxNgjEycJu19-8TZuA_12_0"/>
      <w:bookmarkStart w:id="1593" w:name="Tc_ssIgxsXUZkGI8zEdoVaMog_11_0"/>
      <w:bookmarkStart w:id="1594" w:name="Tc_qKnCAEsTQEm1cYOnCsYZvQ_9_0"/>
      <w:bookmarkStart w:id="1595" w:name="Tc_3rblk4coh06thBfLPw8-JA_8_12"/>
      <w:bookmarkStart w:id="1596" w:name="Tc_AfqlYPwUo0-nxKQoNqQOhg_8_0"/>
      <w:bookmarkStart w:id="1597" w:name="Tc_yNHmRF6A3kePbFasSa5ICQ_7_9"/>
      <w:bookmarkStart w:id="1598" w:name="Tc_4J4PaXXxVUCjlp95thp2mA_7_0"/>
      <w:bookmarkStart w:id="1599" w:name="Tc_pFAQmaLN0EWy_1ATozhyFg_6_11"/>
      <w:bookmarkStart w:id="1600" w:name="Tc_q8-RDJp8j0SP63f2QBmpUQ_6_9"/>
      <w:bookmarkStart w:id="1601" w:name="Tc_opPaKxrGeEKVuJ7KSGlQxg_6_8"/>
      <w:bookmarkStart w:id="1602" w:name="Tc_BGNMDLiyJEiweT_A1ioEIw_6_5"/>
      <w:bookmarkStart w:id="1603" w:name="Tc_RztwFFAQPUGVK_oveUlMkw_6_2"/>
      <w:bookmarkStart w:id="1604" w:name="Tc_J9dug4OJfE2dvLvkcE9stg_6_0"/>
      <w:bookmarkStart w:id="1605" w:name="Tc_Bj2klEA9NEiOU4ThdUI2aw_5_0"/>
      <w:bookmarkStart w:id="1606" w:name="Tc_adVV_qzk70K_iq-vMOT_Gg_4_0"/>
      <w:bookmarkStart w:id="1607" w:name="Tc_uSC3kfGdBkep6bXbGMOb4A_3_0"/>
      <w:bookmarkStart w:id="1608" w:name="Tc_3A2N3rgl4kWe8cytNo8hsw_2_2"/>
      <w:bookmarkStart w:id="1609" w:name="Tc_C_DTcWcf6Uet8f_Ph0aPRw_1_11"/>
      <w:bookmarkStart w:id="1610" w:name="Tc_KN_SDC7HgUCwuZAbReioew_1_8"/>
      <w:bookmarkStart w:id="1611" w:name="Tc_MvmJV5kt0EaUTrZ13BlKvg_1_5"/>
      <w:bookmarkStart w:id="1612" w:name="Tc_VjRTVsCbpEOud8PZdXlvMA_1_2"/>
      <w:bookmarkStart w:id="1613" w:name="_ce0c971e_138a_4ee4_852e_3249fb6b04db"/>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tbl>
      <w:tblPr>
        <w:tblW w:w="10057" w:type="dxa"/>
        <w:jc w:val="left"/>
        <w:tblInd w:w="0" w:type="dxa"/>
        <w:tblLayout w:type="fixed"/>
        <w:tblCellMar>
          <w:top w:w="0" w:type="dxa"/>
          <w:left w:w="0" w:type="dxa"/>
          <w:bottom w:w="0" w:type="dxa"/>
          <w:right w:w="0" w:type="dxa"/>
        </w:tblCellMar>
      </w:tblPr>
      <w:tblGrid>
        <w:gridCol w:w="4216"/>
        <w:gridCol w:w="109"/>
        <w:gridCol w:w="211"/>
        <w:gridCol w:w="931"/>
        <w:gridCol w:w="109"/>
        <w:gridCol w:w="211"/>
        <w:gridCol w:w="1156"/>
        <w:gridCol w:w="109"/>
        <w:gridCol w:w="289"/>
        <w:gridCol w:w="867"/>
        <w:gridCol w:w="109"/>
        <w:gridCol w:w="260"/>
        <w:gridCol w:w="1480"/>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677160" cy="175260"/>
                      <wp:effectExtent l="0" t="0" r="0" b="0"/>
                      <wp:wrapNone/>
                      <wp:docPr id="275" name="Frame275"/>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91185" cy="175260"/>
                      <wp:effectExtent l="0" t="0" r="0" b="0"/>
                      <wp:wrapNone/>
                      <wp:docPr id="278" name="Frame27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34060" cy="175260"/>
                      <wp:effectExtent l="0" t="0" r="0" b="0"/>
                      <wp:wrapNone/>
                      <wp:docPr id="281" name="Frame28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9215" cy="175260"/>
                      <wp:effectExtent l="0" t="0" r="0" b="0"/>
                      <wp:wrapNone/>
                      <wp:docPr id="282"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83515" cy="175260"/>
                      <wp:effectExtent l="0" t="0" r="0" b="0"/>
                      <wp:wrapNone/>
                      <wp:docPr id="283" name="Frame283"/>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550545" cy="175260"/>
                      <wp:effectExtent l="0" t="0" r="0" b="0"/>
                      <wp:wrapNone/>
                      <wp:docPr id="284" name="Frame28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5100" cy="175260"/>
                      <wp:effectExtent l="0" t="0" r="0" b="0"/>
                      <wp:wrapNone/>
                      <wp:docPr id="286" name="Frame286"/>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939800" cy="175260"/>
                      <wp:effectExtent l="0" t="0" r="0" b="0"/>
                      <wp:wrapNone/>
                      <wp:docPr id="287" name="Frame287"/>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7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1005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32"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1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Nine Months Ended September 30, 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center"/>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Revenue from external customers: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7,299,401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2,469,493</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9,768,894</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41,508</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376,394</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417,902</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Intersegment revenue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1,250</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(1,262)</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7,342,159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2,845,899</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(1,262)</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10,186,796</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3,523,334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3,523,334</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156,522</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1,872,428</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2,028,646</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890,845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482,582</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4,395</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1,377,822</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4,570,701</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2,355,010</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4,091</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6,929,802</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27,596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946,531</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974,127</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277,983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584,085</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(4,807)</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857,261</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462,192</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269,521</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(546)</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731,167</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740,175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853,606</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(5,353)</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1,588,428</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2,003,687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(17,345,249)</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(15,341,562)</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205,317</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857,804</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1,063,121</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5,543,789</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21,048,952</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(1,262)</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26,591,479</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1,798,370</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(18,203,053)</w:t>
            </w:r>
          </w:p>
        </w:tc>
        <w:tc>
          <w:tcPr>
            <w:tcW w:w="109" w:type="dxa"/>
            <w:tcBorders/>
            <w:shd w:fill="CCEEFF" w:val="clear"/>
            <w:vAlign w:val="center"/>
          </w:tcPr>
          <w:p>
            <w:pPr>
              <w:pStyle w:val="TableContents"/>
              <w:bidi w:val="0"/>
              <w:spacing w:before="0" w:after="0"/>
              <w:ind w:left="0" w:right="0" w:hanging="0"/>
              <w:jc w:val="righ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(16,404,683)</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left"/>
              <w:rPr/>
            </w:pPr>
            <w:r>
              <w:rPr/>
              <w:t>​</w:t>
            </w:r>
          </w:p>
        </w:tc>
        <w:tc>
          <w:tcPr>
            <w:tcW w:w="1480"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vAlign w:val="center"/>
          </w:tcPr>
          <w:p>
            <w:pPr>
              <w:pStyle w:val="TableContents"/>
              <w:bidi w:val="0"/>
              <w:spacing w:before="0" w:after="0"/>
              <w:ind w:left="0" w:right="0" w:hanging="0"/>
              <w:jc w:val="left"/>
              <w:rPr/>
            </w:pPr>
            <w:r>
              <w:rPr/>
              <w:t>​</w:t>
            </w:r>
          </w:p>
        </w:tc>
        <w:tc>
          <w:tcPr>
            <w:tcW w:w="148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40,441</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shd w:fill="CCEEFF" w:val="clear"/>
            <w:vAlign w:val="center"/>
          </w:tcPr>
          <w:p>
            <w:pPr>
              <w:pStyle w:val="TableContents"/>
              <w:bidi w:val="0"/>
              <w:spacing w:before="0" w:after="0"/>
              <w:ind w:left="0" w:right="0" w:hanging="0"/>
              <w:jc w:val="center"/>
              <w:rPr/>
            </w:pPr>
            <w:r>
              <w:rPr/>
              <w:t>​</w:t>
            </w:r>
          </w:p>
        </w:tc>
        <w:tc>
          <w:tcPr>
            <w:tcW w:w="148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(759,507)</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80"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(15,938)</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9" w:type="dxa"/>
            <w:tcBorders/>
            <w:shd w:fill="CCEEFF" w:val="clear"/>
            <w:vAlign w:val="center"/>
          </w:tcPr>
          <w:p>
            <w:pPr>
              <w:pStyle w:val="TableContents"/>
              <w:bidi w:val="0"/>
              <w:spacing w:before="0" w:after="0"/>
              <w:ind w:left="0" w:right="0" w:hanging="0"/>
              <w:jc w:val="center"/>
              <w:rPr/>
            </w:pPr>
            <w:r>
              <w:rPr/>
              <w:t>​</w:t>
            </w:r>
          </w:p>
        </w:tc>
        <w:tc>
          <w:tcPr>
            <w:tcW w:w="867"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(17,139,687)</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Normal"/>
        <w:bidi w:val="0"/>
        <w:spacing w:before="0" w:after="0"/>
        <w:jc w:val="left"/>
        <w:rPr>
          <w:sz w:val="4"/>
          <w:szCs w:val="4"/>
        </w:rPr>
      </w:pPr>
      <w:r>
        <w:rPr>
          <w:sz w:val="4"/>
          <w:szCs w:val="4"/>
        </w:rPr>
      </w:r>
      <w:bookmarkStart w:id="1614" w:name="Tc_65Iei3vRH0CKj-WF3DfxKA_35_11"/>
      <w:bookmarkStart w:id="1615" w:name="Tc_kffOqbWE90GkT2QbZjPIUg_35_0"/>
      <w:bookmarkStart w:id="1616" w:name="Tc_G-rVH2XU20ypUuTJMA8sRA_34_0"/>
      <w:bookmarkStart w:id="1617" w:name="Tc_vfr_CBi71k2JSID1guxmXQ_33_0"/>
      <w:bookmarkStart w:id="1618" w:name="Tc_h7KS2QRglUq7dD6-XVGjUQ_32_0"/>
      <w:bookmarkStart w:id="1619" w:name="Tc_gSKkwGdHjUGDZwbX4PSg9A_31_0"/>
      <w:bookmarkStart w:id="1620" w:name="Tc_IajRlVwnkkmscoVbCTiTHQ_29_9"/>
      <w:bookmarkStart w:id="1621" w:name="Tc_0i3mV8izXkS4-I1mITEE3w_29_8"/>
      <w:bookmarkStart w:id="1622" w:name="Tc_ZJXGD0mE_EaqZl_HWJSVSA_29_5"/>
      <w:bookmarkStart w:id="1623" w:name="Tc_zFhFkO00VUiMqKrnIPpFmA_29_2"/>
      <w:bookmarkStart w:id="1624" w:name="Tc_Cv5RLOpEyEmEZthVbGXHgg_29_0"/>
      <w:bookmarkStart w:id="1625" w:name="Tc_rMUhNCejc0-UxnEQl8gR3w_27_0"/>
      <w:bookmarkStart w:id="1626" w:name="Tc_7JTM2fc-1UO3l-ajOA81yw_26_9"/>
      <w:bookmarkStart w:id="1627" w:name="Tc_jKhIFkx1406WQCy0fcDF8w_26_0"/>
      <w:bookmarkStart w:id="1628" w:name="Tc_Oo1-zbF8rEmflDGhVFDJQQ_24_9"/>
      <w:bookmarkStart w:id="1629" w:name="Tc_6Jgc3Fr9mEW18hh41n-d2Q_24_0"/>
      <w:bookmarkStart w:id="1630" w:name="Tc_0HJTbjXps0SyOacigJq3bA_22_12"/>
      <w:bookmarkStart w:id="1631" w:name="Tc_kRYHxWdXREC6yxdJNdvA2g_22_9"/>
      <w:bookmarkStart w:id="1632" w:name="Tc_IXduVBt0GUmHKQcC-H6syw_22_6"/>
      <w:bookmarkStart w:id="1633" w:name="Tc_Vs9IhQjjZUuXm9yykmEzVQ_22_3"/>
      <w:bookmarkStart w:id="1634" w:name="Tc_dtzCwN0lmUqeQDZ8tKZZeA_22_0"/>
      <w:bookmarkStart w:id="1635" w:name="Tc_C4nnRB_d306sr78L5u5Zeg_21_0"/>
      <w:bookmarkStart w:id="1636" w:name="Tc_EVGTUF4j90i125Ujpy_Xiw_20_0"/>
      <w:bookmarkStart w:id="1637" w:name="Tc_VJ1vZfE_bEGrJp9JBWDcZg_19_0"/>
      <w:bookmarkStart w:id="1638" w:name="Tc_gT0KEMfg7E-DSQ8V1Hzj9g_18_0"/>
      <w:bookmarkStart w:id="1639" w:name="Tc_G6y1d8XVxEG-Z-XWadltCg_17_9"/>
      <w:bookmarkStart w:id="1640" w:name="Tc_5ZpzEh2n-UyAqdPsUaTjCg_17_0"/>
      <w:bookmarkStart w:id="1641" w:name="Tc_JaRFcrTH2U2Q81_n-7pwMw_16_0"/>
      <w:bookmarkStart w:id="1642" w:name="Tc_7C--rEIR6UGvwY7GwGSBqQ_15_0"/>
      <w:bookmarkStart w:id="1643" w:name="Tc_FdzVrr5lwkCICprQgp8uig_14_0"/>
      <w:bookmarkStart w:id="1644" w:name="Tc_149H2CbiWk-PbIYQYhN3qQ_13_9"/>
      <w:bookmarkStart w:id="1645" w:name="Tc_fShx4mSvckmU32IhU3sMUw_13_6"/>
      <w:bookmarkStart w:id="1646" w:name="Tc_x12ViNrSrUWEot35wOQPOw_13_0"/>
      <w:bookmarkStart w:id="1647" w:name="Tc_lNHk9wDzI0GY1FsUbG6Pug_12_0"/>
      <w:bookmarkStart w:id="1648" w:name="Tc__W_7P597yUS3KgKb4_FLLw_11_0"/>
      <w:bookmarkStart w:id="1649" w:name="Tc_mZ43hJrpWEuZlfD4HguF_w_9_0"/>
      <w:bookmarkStart w:id="1650" w:name="Tc_i_iCghneC0u4AHkoUSON2g_8_12"/>
      <w:bookmarkStart w:id="1651" w:name="Tc_lEf2ySkmZU6l72jh5i9bbg_8_0"/>
      <w:bookmarkStart w:id="1652" w:name="Tc_zUIlRdMoVEmlA0tTxPhWuw_7_9"/>
      <w:bookmarkStart w:id="1653" w:name="Tc_h6yQDqb2gUSxUISLG1iQXA_7_0"/>
      <w:bookmarkStart w:id="1654" w:name="Tc_bKU9WpM7ME66c6QNyeGnoQ_6_11"/>
      <w:bookmarkStart w:id="1655" w:name="Tc_tlejFLorjkOVlKDalaV9Yg_6_9"/>
      <w:bookmarkStart w:id="1656" w:name="Tc_wmunUhsa4kqXQ4ZPREZuLw_6_8"/>
      <w:bookmarkStart w:id="1657" w:name="Tc_JMtwYK9m7kO_fFbW1cvfGA_6_5"/>
      <w:bookmarkStart w:id="1658" w:name="Tc_UxKnY9olOEmZj1zOJx92Nw_6_2"/>
      <w:bookmarkStart w:id="1659" w:name="Tc_5kDqi3ZHk0iQD7usr2gHnw_6_0"/>
      <w:bookmarkStart w:id="1660" w:name="Tc_PEV4q1Po3Ueg88m69BtXIQ_5_0"/>
      <w:bookmarkStart w:id="1661" w:name="Tc_fDGwwFc2dE6vgAgFG5RqGg_4_0"/>
      <w:bookmarkStart w:id="1662" w:name="Tc_DdzEhSBSAUCc-upQEopa5Q_3_0"/>
      <w:bookmarkStart w:id="1663" w:name="Tc_BjY3GGPblk2VjOfOHN7k1g_2_2"/>
      <w:bookmarkStart w:id="1664" w:name="Tc_jBJBSTi110-47OBHUVk1CA_1_11"/>
      <w:bookmarkStart w:id="1665" w:name="Tc_1tXidq9YyEeViuMUMSea2w_1_8"/>
      <w:bookmarkStart w:id="1666" w:name="Tc_FIdJLPX7D0WR5m5tMe9lAA_1_5"/>
      <w:bookmarkStart w:id="1667" w:name="Tc_2Tz6E0MmVE2UKV01KNOpIg_1_2"/>
      <w:bookmarkStart w:id="1668" w:name="_63e26ac6_12e3_45b6_b29a_13ded35625e7"/>
      <w:bookmarkStart w:id="1669" w:name="Tc_65Iei3vRH0CKj-WF3DfxKA_35_11"/>
      <w:bookmarkStart w:id="1670" w:name="Tc_kffOqbWE90GkT2QbZjPIUg_35_0"/>
      <w:bookmarkStart w:id="1671" w:name="Tc_G-rVH2XU20ypUuTJMA8sRA_34_0"/>
      <w:bookmarkStart w:id="1672" w:name="Tc_vfr_CBi71k2JSID1guxmXQ_33_0"/>
      <w:bookmarkStart w:id="1673" w:name="Tc_h7KS2QRglUq7dD6-XVGjUQ_32_0"/>
      <w:bookmarkStart w:id="1674" w:name="Tc_gSKkwGdHjUGDZwbX4PSg9A_31_0"/>
      <w:bookmarkStart w:id="1675" w:name="Tc_IajRlVwnkkmscoVbCTiTHQ_29_9"/>
      <w:bookmarkStart w:id="1676" w:name="Tc_0i3mV8izXkS4-I1mITEE3w_29_8"/>
      <w:bookmarkStart w:id="1677" w:name="Tc_ZJXGD0mE_EaqZl_HWJSVSA_29_5"/>
      <w:bookmarkStart w:id="1678" w:name="Tc_zFhFkO00VUiMqKrnIPpFmA_29_2"/>
      <w:bookmarkStart w:id="1679" w:name="Tc_Cv5RLOpEyEmEZthVbGXHgg_29_0"/>
      <w:bookmarkStart w:id="1680" w:name="Tc_rMUhNCejc0-UxnEQl8gR3w_27_0"/>
      <w:bookmarkStart w:id="1681" w:name="Tc_7JTM2fc-1UO3l-ajOA81yw_26_9"/>
      <w:bookmarkStart w:id="1682" w:name="Tc_jKhIFkx1406WQCy0fcDF8w_26_0"/>
      <w:bookmarkStart w:id="1683" w:name="Tc_Oo1-zbF8rEmflDGhVFDJQQ_24_9"/>
      <w:bookmarkStart w:id="1684" w:name="Tc_6Jgc3Fr9mEW18hh41n-d2Q_24_0"/>
      <w:bookmarkStart w:id="1685" w:name="Tc_0HJTbjXps0SyOacigJq3bA_22_12"/>
      <w:bookmarkStart w:id="1686" w:name="Tc_kRYHxWdXREC6yxdJNdvA2g_22_9"/>
      <w:bookmarkStart w:id="1687" w:name="Tc_IXduVBt0GUmHKQcC-H6syw_22_6"/>
      <w:bookmarkStart w:id="1688" w:name="Tc_Vs9IhQjjZUuXm9yykmEzVQ_22_3"/>
      <w:bookmarkStart w:id="1689" w:name="Tc_dtzCwN0lmUqeQDZ8tKZZeA_22_0"/>
      <w:bookmarkStart w:id="1690" w:name="Tc_C4nnRB_d306sr78L5u5Zeg_21_0"/>
      <w:bookmarkStart w:id="1691" w:name="Tc_EVGTUF4j90i125Ujpy_Xiw_20_0"/>
      <w:bookmarkStart w:id="1692" w:name="Tc_VJ1vZfE_bEGrJp9JBWDcZg_19_0"/>
      <w:bookmarkStart w:id="1693" w:name="Tc_gT0KEMfg7E-DSQ8V1Hzj9g_18_0"/>
      <w:bookmarkStart w:id="1694" w:name="Tc_G6y1d8XVxEG-Z-XWadltCg_17_9"/>
      <w:bookmarkStart w:id="1695" w:name="Tc_5ZpzEh2n-UyAqdPsUaTjCg_17_0"/>
      <w:bookmarkStart w:id="1696" w:name="Tc_JaRFcrTH2U2Q81_n-7pwMw_16_0"/>
      <w:bookmarkStart w:id="1697" w:name="Tc_7C--rEIR6UGvwY7GwGSBqQ_15_0"/>
      <w:bookmarkStart w:id="1698" w:name="Tc_FdzVrr5lwkCICprQgp8uig_14_0"/>
      <w:bookmarkStart w:id="1699" w:name="Tc_149H2CbiWk-PbIYQYhN3qQ_13_9"/>
      <w:bookmarkStart w:id="1700" w:name="Tc_fShx4mSvckmU32IhU3sMUw_13_6"/>
      <w:bookmarkStart w:id="1701" w:name="Tc_x12ViNrSrUWEot35wOQPOw_13_0"/>
      <w:bookmarkStart w:id="1702" w:name="Tc_lNHk9wDzI0GY1FsUbG6Pug_12_0"/>
      <w:bookmarkStart w:id="1703" w:name="Tc__W_7P597yUS3KgKb4_FLLw_11_0"/>
      <w:bookmarkStart w:id="1704" w:name="Tc_mZ43hJrpWEuZlfD4HguF_w_9_0"/>
      <w:bookmarkStart w:id="1705" w:name="Tc_i_iCghneC0u4AHkoUSON2g_8_12"/>
      <w:bookmarkStart w:id="1706" w:name="Tc_lEf2ySkmZU6l72jh5i9bbg_8_0"/>
      <w:bookmarkStart w:id="1707" w:name="Tc_zUIlRdMoVEmlA0tTxPhWuw_7_9"/>
      <w:bookmarkStart w:id="1708" w:name="Tc_h6yQDqb2gUSxUISLG1iQXA_7_0"/>
      <w:bookmarkStart w:id="1709" w:name="Tc_bKU9WpM7ME66c6QNyeGnoQ_6_11"/>
      <w:bookmarkStart w:id="1710" w:name="Tc_tlejFLorjkOVlKDalaV9Yg_6_9"/>
      <w:bookmarkStart w:id="1711" w:name="Tc_wmunUhsa4kqXQ4ZPREZuLw_6_8"/>
      <w:bookmarkStart w:id="1712" w:name="Tc_JMtwYK9m7kO_fFbW1cvfGA_6_5"/>
      <w:bookmarkStart w:id="1713" w:name="Tc_UxKnY9olOEmZj1zOJx92Nw_6_2"/>
      <w:bookmarkStart w:id="1714" w:name="Tc_5kDqi3ZHk0iQD7usr2gHnw_6_0"/>
      <w:bookmarkStart w:id="1715" w:name="Tc_PEV4q1Po3Ueg88m69BtXIQ_5_0"/>
      <w:bookmarkStart w:id="1716" w:name="Tc_fDGwwFc2dE6vgAgFG5RqGg_4_0"/>
      <w:bookmarkStart w:id="1717" w:name="Tc_DdzEhSBSAUCc-upQEopa5Q_3_0"/>
      <w:bookmarkStart w:id="1718" w:name="Tc_BjY3GGPblk2VjOfOHN7k1g_2_2"/>
      <w:bookmarkStart w:id="1719" w:name="Tc_jBJBSTi110-47OBHUVk1CA_1_11"/>
      <w:bookmarkStart w:id="1720" w:name="Tc_1tXidq9YyEeViuMUMSea2w_1_8"/>
      <w:bookmarkStart w:id="1721" w:name="Tc_FIdJLPX7D0WR5m5tMe9lAA_1_5"/>
      <w:bookmarkStart w:id="1722" w:name="Tc_2Tz6E0MmVE2UKV01KNOpIg_1_2"/>
      <w:bookmarkStart w:id="1723" w:name="_63e26ac6_12e3_45b6_b29a_13ded35625e7"/>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p>
    <w:tbl>
      <w:tblPr>
        <w:tblW w:w="9952" w:type="dxa"/>
        <w:jc w:val="left"/>
        <w:tblInd w:w="0" w:type="dxa"/>
        <w:tblLayout w:type="fixed"/>
        <w:tblCellMar>
          <w:top w:w="0" w:type="dxa"/>
          <w:left w:w="0" w:type="dxa"/>
          <w:bottom w:w="0" w:type="dxa"/>
          <w:right w:w="0" w:type="dxa"/>
        </w:tblCellMar>
      </w:tblPr>
      <w:tblGrid>
        <w:gridCol w:w="4216"/>
        <w:gridCol w:w="109"/>
        <w:gridCol w:w="211"/>
        <w:gridCol w:w="931"/>
        <w:gridCol w:w="109"/>
        <w:gridCol w:w="211"/>
        <w:gridCol w:w="1051"/>
        <w:gridCol w:w="109"/>
        <w:gridCol w:w="352"/>
        <w:gridCol w:w="804"/>
        <w:gridCol w:w="109"/>
        <w:gridCol w:w="284"/>
        <w:gridCol w:w="1456"/>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677160" cy="175260"/>
                      <wp:effectExtent l="0" t="0" r="0" b="0"/>
                      <wp:wrapNone/>
                      <wp:docPr id="288" name="Frame288"/>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9215" cy="175260"/>
                      <wp:effectExtent l="0" t="0" r="0" b="0"/>
                      <wp:wrapNone/>
                      <wp:docPr id="289" name="Frame2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91185" cy="175260"/>
                      <wp:effectExtent l="0" t="0" r="0" b="0"/>
                      <wp:wrapNone/>
                      <wp:docPr id="291" name="Frame29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67385" cy="175260"/>
                      <wp:effectExtent l="0" t="0" r="0" b="0"/>
                      <wp:wrapNone/>
                      <wp:docPr id="294" name="Frame2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9215" cy="175260"/>
                      <wp:effectExtent l="0" t="0" r="0" b="0"/>
                      <wp:wrapNone/>
                      <wp:docPr id="295" name="Frame2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23520" cy="175260"/>
                      <wp:effectExtent l="0" t="0" r="0" b="0"/>
                      <wp:wrapNone/>
                      <wp:docPr id="296" name="Frame29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10540" cy="175260"/>
                      <wp:effectExtent l="0" t="0" r="0" b="0"/>
                      <wp:wrapNone/>
                      <wp:docPr id="297" name="Frame297"/>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9215" cy="175260"/>
                      <wp:effectExtent l="0" t="0" r="0" b="0"/>
                      <wp:wrapNone/>
                      <wp:docPr id="298" name="Frame2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80340" cy="175260"/>
                      <wp:effectExtent l="0" t="0" r="0" b="0"/>
                      <wp:wrapNone/>
                      <wp:docPr id="299" name="Frame29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924560" cy="175260"/>
                      <wp:effectExtent l="0" t="0" r="0" b="0"/>
                      <wp:wrapNone/>
                      <wp:docPr id="300" name="Frame30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26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7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Consolidated Total</w:t>
            </w:r>
          </w:p>
        </w:tc>
      </w:tr>
      <w:tr>
        <w:trPr/>
        <w:tc>
          <w:tcPr>
            <w:tcW w:w="9952"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627"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16" w:type="dxa"/>
            <w:tcBorders>
              <w:bottom w:val="single" w:sz="1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Nine Months Ended September 30, 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Revenue from external customers: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7,961,721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2,368,138</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10,329,859</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58,226</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335,391</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393,617</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Intersegment revenue</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946</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(956)</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8,020,893</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2,703,539</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(956)</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10,723,476</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Programming</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3,809,755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3,809,755</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Connectivity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165,521</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1,896,359</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(579)</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2,061,301</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966,857</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388,173</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1,355,124</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 of services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4,942,133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2,284,532</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(485)</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7,226,180</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54,072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902,846</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956,918</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left"/>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Subscriber acquisition costs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334,085</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467,119</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801,193</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505,909</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241,645</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(460)</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747,094</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selling, general and administrative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839,994</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708,764</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(471)</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1,548,287</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pPr>
            <w:r>
              <w:rPr/>
              <w:t>—</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2,184,694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(1,192,603)</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992,091</w:t>
            </w:r>
          </w:p>
        </w:tc>
      </w:tr>
      <w:tr>
        <w:trPr/>
        <w:tc>
          <w:tcPr>
            <w:tcW w:w="421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left"/>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258,153</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864,230</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1,122,383</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6,094,352</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4,760,372</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(956)</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10,853,768</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1,926,541</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(2,056,833)</w:t>
            </w:r>
          </w:p>
        </w:tc>
        <w:tc>
          <w:tcPr>
            <w:tcW w:w="109" w:type="dxa"/>
            <w:tcBorders/>
            <w:shd w:fill="CCEEFF" w:val="clear"/>
            <w:vAlign w:val="center"/>
          </w:tcPr>
          <w:p>
            <w:pPr>
              <w:pStyle w:val="TableContents"/>
              <w:bidi w:val="0"/>
              <w:spacing w:before="0" w:after="0"/>
              <w:ind w:left="0" w:right="0" w:hanging="0"/>
              <w:jc w:val="righ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4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(130,292)</w:t>
            </w:r>
          </w:p>
        </w:tc>
      </w:tr>
      <w:tr>
        <w:trPr/>
        <w:tc>
          <w:tcPr>
            <w:tcW w:w="42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Unallocated Amounts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pPr>
            <w:r>
              <w:rPr/>
              <w:t>​</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31,794</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shd w:fill="CCEEFF" w:val="clear"/>
            <w:vAlign w:val="center"/>
          </w:tcPr>
          <w:p>
            <w:pPr>
              <w:pStyle w:val="TableContents"/>
              <w:bidi w:val="0"/>
              <w:spacing w:before="0" w:after="0"/>
              <w:ind w:left="0" w:right="0" w:hanging="0"/>
              <w:jc w:val="center"/>
              <w:rPr/>
            </w:pPr>
            <w:r>
              <w:rPr/>
              <w:t>​</w:t>
            </w:r>
          </w:p>
        </w:tc>
        <w:tc>
          <w:tcPr>
            <w:tcW w:w="14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(495,821)</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352" w:type="dxa"/>
            <w:tcBorders/>
            <w:vAlign w:val="center"/>
          </w:tcPr>
          <w:p>
            <w:pPr>
              <w:pStyle w:val="TableContents"/>
              <w:bidi w:val="0"/>
              <w:spacing w:before="0" w:after="0"/>
              <w:ind w:left="0" w:right="0" w:hanging="0"/>
              <w:jc w:val="center"/>
              <w:rPr/>
            </w:pPr>
            <w:r>
              <w:rPr/>
              <w:t>​</w:t>
            </w:r>
          </w:p>
        </w:tc>
        <w:tc>
          <w:tcPr>
            <w:tcW w:w="804"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80,884</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352" w:type="dxa"/>
            <w:tcBorders/>
            <w:shd w:fill="CCEEFF" w:val="clear"/>
            <w:vAlign w:val="center"/>
          </w:tcPr>
          <w:p>
            <w:pPr>
              <w:pStyle w:val="TableContents"/>
              <w:bidi w:val="0"/>
              <w:spacing w:before="0" w:after="0"/>
              <w:ind w:left="0" w:right="0" w:hanging="0"/>
              <w:jc w:val="center"/>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4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(513,435)</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724" w:name="Tc_qAMnZ_WmjEa4sy4iIn1_xg_7_8"/>
      <w:bookmarkStart w:id="1725" w:name="Tc_UHX2lhhqu0Ww-PBrnX1ZLQ_7_5"/>
      <w:bookmarkStart w:id="1726" w:name="Tc__R-wkVW81UOo5ov3wqZJHg_7_2"/>
      <w:bookmarkStart w:id="1727" w:name="Tc_HeaHBS4tQEqSE74t-mNEdA_7_0"/>
      <w:bookmarkStart w:id="1728" w:name="Tc_2QZpyEJQy0SSwpZ2ff2h6Q_6_0"/>
      <w:bookmarkStart w:id="1729" w:name="Tc_h-_Mnnod_U-hL8A7IRT0AQ_4_8"/>
      <w:bookmarkStart w:id="1730" w:name="Tc_S1k7rr8GJkW0idR9PJ8fcw_4_5"/>
      <w:bookmarkStart w:id="1731" w:name="Tc_0OADTCZVpUWJN9jrBo5BIQ_4_2"/>
      <w:bookmarkStart w:id="1732" w:name="Tc_85cLjRFjhk6yytUzt5mAyg_4_0"/>
      <w:bookmarkStart w:id="1733" w:name="Tc_WctuubT-wk2M0h_GmtcWdQ_3_0"/>
      <w:bookmarkStart w:id="1734" w:name="Tc_eOfSpd1yIEKKkGkrSNOBsg_2_2"/>
      <w:bookmarkStart w:id="1735" w:name="Tc_cYYDk5YEc0eO84TvjEhocA_1_8"/>
      <w:bookmarkStart w:id="1736" w:name="Tc_2aABiH4qs0ChS_Z54TzFAg_1_5"/>
      <w:bookmarkStart w:id="1737" w:name="Tc_GPf0_Vgvc0qE_D9BBL5E1w_1_2"/>
      <w:bookmarkStart w:id="1738" w:name="Tc_cG4iPLicSkS8gCRZ3ou2Eg_7_8"/>
      <w:bookmarkStart w:id="1739" w:name="Tc_jlYQbYWgAESU_N0plc3KFA_7_5"/>
      <w:bookmarkStart w:id="1740" w:name="Tc_yunDDQF5gEyohCtS_PyiHQ_7_2"/>
      <w:bookmarkStart w:id="1741" w:name="Tc_H6Ije-OVB0Olkk2DLNKTfQ_7_0"/>
      <w:bookmarkStart w:id="1742" w:name="Tc_nGPiEmoG-Uer9kLKV_MhWQ_6_0"/>
      <w:bookmarkStart w:id="1743" w:name="Tc_BJuH69Zzlk-Pnn1fkb6muA_4_8"/>
      <w:bookmarkStart w:id="1744" w:name="Tc_Rb8ROjoFlkKSNdYP-f7Tew_4_5"/>
      <w:bookmarkStart w:id="1745" w:name="Tc_y4zgPUcHdEyZi28zXnPolA_4_2"/>
      <w:bookmarkStart w:id="1746" w:name="Tc_lqkRdEjOdk-S6ac0MDTDRA_4_0"/>
      <w:bookmarkStart w:id="1747" w:name="Tc_jR98FL0cRk6krS_vOzUiuQ_3_0"/>
      <w:bookmarkStart w:id="1748" w:name="Tc_g8px63FODUyZ8Nmm6a3Ppw_2_2"/>
      <w:bookmarkStart w:id="1749" w:name="Tc_l0HczB1xmkqfMcT9sn7okw_1_8"/>
      <w:bookmarkStart w:id="1750" w:name="Tc_-dZzSw-ZgEq7AVRV1mXmeA_1_5"/>
      <w:bookmarkStart w:id="1751" w:name="Tc_4TQat7URbES8koDDsy3KFw_1_2"/>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r>
        <w:rPr>
          <w:spacing w:val="-2"/>
        </w:rPr>
        <w:t>​</w:t>
      </w:r>
    </w:p>
    <w:p>
      <w:pPr>
        <w:pStyle w:val="TextBody"/>
        <w:pBdr/>
        <w:bidi w:val="0"/>
        <w:spacing w:before="0" w:after="0"/>
        <w:ind w:left="0" w:right="0" w:hanging="9"/>
        <w:jc w:val="both"/>
        <w:rPr>
          <w:rFonts w:ascii="Arial;Helvetica;sans-serif" w:hAnsi="Arial;Helvetica;sans-serif"/>
          <w:spacing w:val="-2"/>
          <w:sz w:val="20"/>
        </w:rPr>
      </w:pPr>
      <w:r>
        <w:rPr>
          <w:rFonts w:ascii="Arial;Helvetica;sans-serif" w:hAnsi="Arial;Helvetica;sans-serif"/>
          <w:spacing w:val="-2"/>
          <w:sz w:val="20"/>
        </w:rPr>
        <w:t>The purchases of property and equipment, net of refunds, (including capitalized interest related to regulatory authorizations) by segment were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780"/>
        <w:gridCol w:w="326"/>
        <w:gridCol w:w="196"/>
        <w:gridCol w:w="601"/>
        <w:gridCol w:w="109"/>
        <w:gridCol w:w="196"/>
        <w:gridCol w:w="691"/>
        <w:gridCol w:w="326"/>
        <w:gridCol w:w="196"/>
        <w:gridCol w:w="784"/>
      </w:tblGrid>
      <w:tr>
        <w:trPr/>
        <w:tc>
          <w:tcPr>
            <w:tcW w:w="67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305300" cy="175260"/>
                      <wp:effectExtent l="0" t="0" r="0" b="0"/>
                      <wp:wrapNone/>
                      <wp:docPr id="301" name="Frame301"/>
                      <a:graphic xmlns:a="http://schemas.openxmlformats.org/drawingml/2006/main">
                        <a:graphicData uri="http://schemas.microsoft.com/office/word/2010/wordprocessingShape">
                          <wps:wsp>
                            <wps:cNvSpPr txBox="1"/>
                            <wps:spPr>
                              <a:xfrm>
                                <a:off x="0" y="0"/>
                                <a:ext cx="4305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302"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24460" cy="175260"/>
                      <wp:effectExtent l="0" t="0" r="0" b="0"/>
                      <wp:wrapNone/>
                      <wp:docPr id="303" name="Frame3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81635" cy="175260"/>
                      <wp:effectExtent l="0" t="0" r="0" b="0"/>
                      <wp:wrapNone/>
                      <wp:docPr id="304" name="Frame3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9215" cy="175260"/>
                      <wp:effectExtent l="0" t="0" r="0" b="0"/>
                      <wp:wrapNone/>
                      <wp:docPr id="305" name="Frame3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24460" cy="175260"/>
                      <wp:effectExtent l="0" t="0" r="0" b="0"/>
                      <wp:wrapNone/>
                      <wp:docPr id="306" name="Frame30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38785" cy="175260"/>
                      <wp:effectExtent l="0" t="0" r="0" b="0"/>
                      <wp:wrapNone/>
                      <wp:docPr id="307" name="Frame3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24460" cy="175260"/>
                      <wp:effectExtent l="0" t="0" r="0" b="0"/>
                      <wp:wrapNone/>
                      <wp:docPr id="309" name="Frame3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97840" cy="175260"/>
                      <wp:effectExtent l="0" t="0" r="0" b="0"/>
                      <wp:wrapNone/>
                      <wp:docPr id="310" name="Frame310"/>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7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Pay-TV</w:t>
            </w:r>
          </w:p>
        </w:tc>
        <w:tc>
          <w:tcPr>
            <w:tcW w:w="109"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Wireless</w:t>
            </w:r>
          </w:p>
        </w:tc>
        <w:tc>
          <w:tcPr>
            <w:tcW w:w="326" w:type="dxa"/>
            <w:tcBorders/>
            <w:vAlign w:val="center"/>
          </w:tcPr>
          <w:p>
            <w:pPr>
              <w:pStyle w:val="TableContents"/>
              <w:bidi w:val="0"/>
              <w:spacing w:before="0" w:after="0"/>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7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99" w:type="dxa"/>
            <w:gridSpan w:val="8"/>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678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For the Three Months Ended September 30, 2025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left"/>
              <w:rPr/>
            </w:pPr>
            <w:r>
              <w:rPr/>
              <w:t>​</w:t>
            </w:r>
          </w:p>
        </w:tc>
      </w:tr>
      <w:tr>
        <w:trPr/>
        <w:tc>
          <w:tcPr>
            <w:tcW w:w="678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net of refunds (including capitalized interest related to regulatory authorizations)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98,553</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211,393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309,946</w:t>
            </w:r>
          </w:p>
        </w:tc>
      </w:tr>
      <w:tr>
        <w:trPr/>
        <w:tc>
          <w:tcPr>
            <w:tcW w:w="67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84" w:type="dxa"/>
            <w:tcBorders/>
            <w:vAlign w:val="center"/>
          </w:tcPr>
          <w:p>
            <w:pPr>
              <w:pStyle w:val="TableContents"/>
              <w:bidi w:val="0"/>
              <w:spacing w:before="0" w:after="0"/>
              <w:ind w:left="0" w:right="0" w:hanging="0"/>
              <w:jc w:val="right"/>
              <w:rPr/>
            </w:pPr>
            <w:r>
              <w:rPr/>
              <w:t>​</w:t>
            </w:r>
          </w:p>
        </w:tc>
      </w:tr>
      <w:tr>
        <w:trPr/>
        <w:tc>
          <w:tcPr>
            <w:tcW w:w="67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For the Three Months Ended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pPr>
            <w:r>
              <w:rPr/>
              <w:t>​</w:t>
            </w:r>
          </w:p>
        </w:tc>
      </w:tr>
      <w:tr>
        <w:trPr/>
        <w:tc>
          <w:tcPr>
            <w:tcW w:w="678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net of refunds (including capitalized interest related to regulatory authorizations)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0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53,357</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323,702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784" w:type="dxa"/>
            <w:tcBorders/>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377,059</w:t>
            </w:r>
          </w:p>
        </w:tc>
      </w:tr>
    </w:tbl>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6420"/>
        <w:gridCol w:w="326"/>
        <w:gridCol w:w="196"/>
        <w:gridCol w:w="691"/>
        <w:gridCol w:w="109"/>
        <w:gridCol w:w="196"/>
        <w:gridCol w:w="826"/>
        <w:gridCol w:w="326"/>
        <w:gridCol w:w="196"/>
        <w:gridCol w:w="919"/>
      </w:tblGrid>
      <w:tr>
        <w:trPr/>
        <w:tc>
          <w:tcPr>
            <w:tcW w:w="6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076700" cy="175260"/>
                      <wp:effectExtent l="0" t="0" r="0" b="0"/>
                      <wp:wrapNone/>
                      <wp:docPr id="311" name="Frame311"/>
                      <a:graphic xmlns:a="http://schemas.openxmlformats.org/drawingml/2006/main">
                        <a:graphicData uri="http://schemas.microsoft.com/office/word/2010/wordprocessingShape">
                          <wps:wsp>
                            <wps:cNvSpPr txBox="1"/>
                            <wps:spPr>
                              <a:xfrm>
                                <a:off x="0" y="0"/>
                                <a:ext cx="407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24460" cy="175260"/>
                      <wp:effectExtent l="0" t="0" r="0" b="0"/>
                      <wp:wrapNone/>
                      <wp:docPr id="313" name="Frame3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38785" cy="175260"/>
                      <wp:effectExtent l="0" t="0" r="0" b="0"/>
                      <wp:wrapNone/>
                      <wp:docPr id="314" name="Frame3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9215" cy="175260"/>
                      <wp:effectExtent l="0" t="0" r="0" b="0"/>
                      <wp:wrapNone/>
                      <wp:docPr id="315" name="Frame31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24460" cy="175260"/>
                      <wp:effectExtent l="0" t="0" r="0" b="0"/>
                      <wp:wrapNone/>
                      <wp:docPr id="316" name="Frame31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24510" cy="175260"/>
                      <wp:effectExtent l="0" t="0" r="0" b="0"/>
                      <wp:wrapNone/>
                      <wp:docPr id="317" name="Frame3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24460" cy="175260"/>
                      <wp:effectExtent l="0" t="0" r="0" b="0"/>
                      <wp:wrapNone/>
                      <wp:docPr id="319" name="Frame31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83565" cy="175260"/>
                      <wp:effectExtent l="0" t="0" r="0" b="0"/>
                      <wp:wrapNone/>
                      <wp:docPr id="320" name="Frame320"/>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Pay-TV</w:t>
            </w:r>
          </w:p>
        </w:tc>
        <w:tc>
          <w:tcPr>
            <w:tcW w:w="109" w:type="dxa"/>
            <w:tcBorders/>
            <w:vAlign w:val="center"/>
          </w:tcPr>
          <w:p>
            <w:pPr>
              <w:pStyle w:val="TableContents"/>
              <w:bidi w:val="0"/>
              <w:spacing w:before="0" w:after="0"/>
              <w:ind w:left="0" w:right="0" w:hanging="0"/>
              <w:jc w:val="center"/>
              <w:rPr/>
            </w:pPr>
            <w:r>
              <w:rPr/>
              <w:t>​</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Wireless</w:t>
            </w:r>
          </w:p>
        </w:tc>
        <w:tc>
          <w:tcPr>
            <w:tcW w:w="326" w:type="dxa"/>
            <w:tcBorders/>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0205"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64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59" w:type="dxa"/>
            <w:gridSpan w:val="8"/>
            <w:tcBorders/>
            <w:vAlign w:val="center"/>
          </w:tcPr>
          <w:p>
            <w:pPr>
              <w:pStyle w:val="TableContents"/>
              <w:bidi w:val="0"/>
              <w:spacing w:before="0" w:after="0"/>
              <w:ind w:left="0" w:right="0" w:hanging="0"/>
              <w:jc w:val="center"/>
              <w:rPr>
                <w:rFonts w:ascii="Arial;Helvetica;sans-serif" w:hAnsi="Arial;Helvetica;sans-serif"/>
                <w:sz w:val="16"/>
              </w:rPr>
            </w:pPr>
            <w:r>
              <w:rPr>
                <w:rFonts w:ascii="Arial;Helvetica;sans-serif" w:hAnsi="Arial;Helvetica;sans-serif"/>
                <w:sz w:val="16"/>
              </w:rPr>
              <w:t>(In thousands)</w:t>
            </w:r>
          </w:p>
        </w:tc>
      </w:tr>
      <w:tr>
        <w:trPr/>
        <w:tc>
          <w:tcPr>
            <w:tcW w:w="642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For the Nine Months Ended September 30, 2025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left"/>
              <w:rPr/>
            </w:pPr>
            <w:r>
              <w:rPr/>
              <w:t>​</w:t>
            </w:r>
          </w:p>
        </w:tc>
      </w:tr>
      <w:tr>
        <w:trPr/>
        <w:tc>
          <w:tcPr>
            <w:tcW w:w="6420"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net of refunds (including capitalized interest related to regulatory authorizations)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239,521</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997,728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9" w:type="dxa"/>
            <w:tcBorders/>
            <w:shd w:fill="CCEEFF" w:val="clear"/>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1,237,249</w:t>
            </w:r>
          </w:p>
        </w:tc>
      </w:tr>
      <w:tr>
        <w:trPr/>
        <w:tc>
          <w:tcPr>
            <w:tcW w:w="64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9" w:type="dxa"/>
            <w:tcBorders/>
            <w:vAlign w:val="center"/>
          </w:tcPr>
          <w:p>
            <w:pPr>
              <w:pStyle w:val="TableContents"/>
              <w:bidi w:val="0"/>
              <w:spacing w:before="0" w:after="0"/>
              <w:ind w:left="0" w:right="0" w:hanging="0"/>
              <w:jc w:val="right"/>
              <w:rPr/>
            </w:pPr>
            <w:r>
              <w:rPr/>
              <w:t>​</w:t>
            </w:r>
          </w:p>
        </w:tc>
      </w:tr>
      <w:tr>
        <w:trPr/>
        <w:tc>
          <w:tcPr>
            <w:tcW w:w="64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6"/>
              </w:rPr>
            </w:pPr>
            <w:r>
              <w:rPr>
                <w:rFonts w:ascii="Arial;Helvetica;sans-serif" w:hAnsi="Arial;Helvetica;sans-serif"/>
                <w:b/>
                <w:sz w:val="16"/>
              </w:rPr>
              <w:t>For the Nine Months Ended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9" w:type="dxa"/>
            <w:tcBorders/>
            <w:shd w:fill="CCEEFF" w:val="clear"/>
            <w:vAlign w:val="center"/>
          </w:tcPr>
          <w:p>
            <w:pPr>
              <w:pStyle w:val="TableContents"/>
              <w:bidi w:val="0"/>
              <w:spacing w:before="0" w:after="0"/>
              <w:ind w:left="0" w:right="0" w:hanging="0"/>
              <w:jc w:val="right"/>
              <w:rPr/>
            </w:pPr>
            <w:r>
              <w:rPr/>
              <w:t>​</w:t>
            </w:r>
          </w:p>
        </w:tc>
      </w:tr>
      <w:tr>
        <w:trPr/>
        <w:tc>
          <w:tcPr>
            <w:tcW w:w="642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Purchases of property and equipment, net of refunds (including capitalized interest related to regulatory authorizations)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691"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119,111</w:t>
            </w:r>
          </w:p>
        </w:tc>
        <w:tc>
          <w:tcPr>
            <w:tcW w:w="109"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826"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1,349,124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919" w:type="dxa"/>
            <w:tcBorders/>
            <w:vAlign w:val="center"/>
          </w:tcPr>
          <w:p>
            <w:pPr>
              <w:pStyle w:val="TableContents"/>
              <w:bidi w:val="0"/>
              <w:spacing w:before="0" w:after="0"/>
              <w:ind w:left="0" w:right="48" w:hanging="0"/>
              <w:jc w:val="right"/>
              <w:rPr>
                <w:rFonts w:ascii="Arial;Helvetica;sans-serif" w:hAnsi="Arial;Helvetica;sans-serif"/>
                <w:sz w:val="16"/>
              </w:rPr>
            </w:pPr>
            <w:r>
              <w:rPr>
                <w:rFonts w:ascii="Arial;Helvetica;sans-serif" w:hAnsi="Arial;Helvetica;sans-serif"/>
                <w:sz w:val="16"/>
              </w:rPr>
              <w:t>1,468,235</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2"/>
        </w:rPr>
      </w:pPr>
      <w:bookmarkStart w:id="1752" w:name="Tc_a6IuBstpCUim3TxeIXIS6A_10_11"/>
      <w:bookmarkStart w:id="1753" w:name="Tc_kxO_SBbRHUWOf5qZea38wg_10_8"/>
      <w:bookmarkStart w:id="1754" w:name="Tc_719FTFRnJkyaFDYv6nIodw_10_5"/>
      <w:bookmarkStart w:id="1755" w:name="Tc_Hu0FaFkPQEWqLv_Sz5A-0w_10_2"/>
      <w:bookmarkStart w:id="1756" w:name="Tc_pbLYpoOIo0Su-3iSaREqwg_10_0"/>
      <w:bookmarkStart w:id="1757" w:name="Tc_owVnLkPW1EqBj-mNIEOITw_9_0"/>
      <w:bookmarkStart w:id="1758" w:name="Tc_cPowePc2GUm3H2nDwb09jw_8_0"/>
      <w:bookmarkStart w:id="1759" w:name="Tc_5LdknKZ2v0ubVO48C3x2vQ_7_0"/>
      <w:bookmarkStart w:id="1760" w:name="Tc_QDgXdBuNVUKoF-HLA5bHHA_6_0"/>
      <w:bookmarkStart w:id="1761" w:name="Tc_eYGMssM2LkmTeO12WNZ7hw_5_11"/>
      <w:bookmarkStart w:id="1762" w:name="Tc_WTzyPhw9zUyqnAP5xuYdVQ_5_8"/>
      <w:bookmarkStart w:id="1763" w:name="Tc_zf5PZRk0xU2Wtd2KFjLetA_5_5"/>
      <w:bookmarkStart w:id="1764" w:name="Tc_-WS4f1pJv0OYb-hRxPlOOA_5_2"/>
      <w:bookmarkStart w:id="1765" w:name="Tc_DHIMyz46vEi79WG2sHc8Ew_5_0"/>
      <w:bookmarkStart w:id="1766" w:name="Tc_iKrZpkE-qUSJtqQK5P3AnQ_4_2"/>
      <w:bookmarkStart w:id="1767" w:name="Tc_UCJJutfAFEabBBQlb-qb7w_3_11"/>
      <w:bookmarkStart w:id="1768" w:name="Tc_l9TDgAVVT0qv5xugiwnLiA_3_8"/>
      <w:bookmarkStart w:id="1769" w:name="Tc_4RFrax8NAUaalvHRcfVD4g_3_5"/>
      <w:bookmarkStart w:id="1770" w:name="Tc_kWFgpp-IikOP_Wgl9SoiSA_3_2"/>
      <w:bookmarkStart w:id="1771" w:name="Tc_hGsbJpx6ykihJAvcLXo8AQ_3_0"/>
      <w:bookmarkStart w:id="1772" w:name="Tc__eI3CwOhZkiwpYTdryQ2YA_2_8"/>
      <w:bookmarkStart w:id="1773" w:name="Tc_dVZH4EWUEUiMdgS4vhzKEg_2_2"/>
      <w:bookmarkStart w:id="1774" w:name="Tc_DsIUgbNV5UuYNwbxbOKIVw_1_8"/>
      <w:bookmarkStart w:id="1775" w:name="Tc_3gm5EUykoU-P6Ul72THUQw_1_2"/>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The revenue from external customers disaggregated by major revenue source was as follows: </w:t>
      </w:r>
    </w:p>
    <w:p>
      <w:pPr>
        <w:pStyle w:val="TextBody"/>
        <w:bidi w:val="0"/>
        <w:spacing w:before="0" w:after="0"/>
        <w:ind w:left="0" w:right="0" w:hanging="0"/>
        <w:jc w:val="both"/>
        <w:rPr>
          <w:spacing w:val="-2"/>
        </w:rPr>
      </w:pPr>
      <w:r>
        <w:rPr>
          <w:spacing w:val="-2"/>
        </w:rPr>
        <w:t>​</w:t>
      </w:r>
    </w:p>
    <w:tbl>
      <w:tblPr>
        <w:tblW w:w="9736" w:type="dxa"/>
        <w:jc w:val="left"/>
        <w:tblInd w:w="0" w:type="dxa"/>
        <w:tblLayout w:type="fixed"/>
        <w:tblCellMar>
          <w:top w:w="0" w:type="dxa"/>
          <w:left w:w="0" w:type="dxa"/>
          <w:bottom w:w="0" w:type="dxa"/>
          <w:right w:w="0" w:type="dxa"/>
        </w:tblCellMar>
      </w:tblPr>
      <w:tblGrid>
        <w:gridCol w:w="3766"/>
        <w:gridCol w:w="326"/>
        <w:gridCol w:w="211"/>
        <w:gridCol w:w="931"/>
        <w:gridCol w:w="326"/>
        <w:gridCol w:w="211"/>
        <w:gridCol w:w="931"/>
        <w:gridCol w:w="109"/>
        <w:gridCol w:w="211"/>
        <w:gridCol w:w="1036"/>
        <w:gridCol w:w="326"/>
        <w:gridCol w:w="211"/>
        <w:gridCol w:w="1141"/>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391410" cy="175260"/>
                      <wp:effectExtent l="0" t="0" r="0" b="0"/>
                      <wp:wrapNone/>
                      <wp:docPr id="321" name="Frame321"/>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3985" cy="175260"/>
                      <wp:effectExtent l="0" t="0" r="0" b="0"/>
                      <wp:wrapNone/>
                      <wp:docPr id="323"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91185" cy="175260"/>
                      <wp:effectExtent l="0" t="0" r="0" b="0"/>
                      <wp:wrapNone/>
                      <wp:docPr id="324" name="Frame3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91185" cy="175260"/>
                      <wp:effectExtent l="0" t="0" r="0" b="0"/>
                      <wp:wrapNone/>
                      <wp:docPr id="327" name="Frame32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9215" cy="175260"/>
                      <wp:effectExtent l="0" t="0" r="0" b="0"/>
                      <wp:wrapNone/>
                      <wp:docPr id="328" name="Frame3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57860" cy="175260"/>
                      <wp:effectExtent l="0" t="0" r="0" b="0"/>
                      <wp:wrapNone/>
                      <wp:docPr id="330" name="Frame33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24535" cy="175260"/>
                      <wp:effectExtent l="0" t="0" r="0" b="0"/>
                      <wp:wrapNone/>
                      <wp:docPr id="333" name="Frame3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center"/>
              <w:rPr/>
            </w:pPr>
            <w:r>
              <w:rPr/>
              <w:t>​</w:t>
            </w:r>
          </w:p>
        </w:tc>
        <w:tc>
          <w:tcPr>
            <w:tcW w:w="292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292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Category:</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73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5644"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7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 and related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2,328,705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2,602,176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7,299,901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7,961,736</w:t>
            </w:r>
          </w:p>
        </w:tc>
      </w:tr>
      <w:tr>
        <w:trPr/>
        <w:tc>
          <w:tcPr>
            <w:tcW w:w="37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services and related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836,164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778,737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2,469,493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2,368,138</w:t>
            </w:r>
          </w:p>
        </w:tc>
      </w:tr>
      <w:tr>
        <w:trPr/>
        <w:tc>
          <w:tcPr>
            <w:tcW w:w="37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15,855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59,157</w:t>
            </w:r>
          </w:p>
        </w:tc>
      </w:tr>
      <w:tr>
        <w:trPr/>
        <w:tc>
          <w:tcPr>
            <w:tcW w:w="376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equipment sales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102,635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119,266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376,406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335,401</w:t>
            </w:r>
          </w:p>
        </w:tc>
      </w:tr>
      <w:tr>
        <w:trPr/>
        <w:tc>
          <w:tcPr>
            <w:tcW w:w="376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Eliminations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(956)</w:t>
            </w:r>
          </w:p>
        </w:tc>
      </w:tr>
      <w:tr>
        <w:trPr/>
        <w:tc>
          <w:tcPr>
            <w:tcW w:w="376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3,280,894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3,515,317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10,186,796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10,723,476</w:t>
            </w:r>
          </w:p>
        </w:tc>
      </w:tr>
    </w:tbl>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left"/>
        <w:rPr>
          <w:rFonts w:ascii="Times New Roman;Times;serif" w:hAnsi="Times New Roman;Times;serif"/>
          <w:spacing w:val="-2"/>
          <w:sz w:val="18"/>
        </w:rPr>
      </w:pPr>
      <w:bookmarkStart w:id="1776" w:name="Tc_urtTZlQs7EKp3cZOVXT0aA_5_5"/>
      <w:bookmarkStart w:id="1777" w:name="Tc_-_Oii53tM0OVH2cAZWAhag_5_2"/>
      <w:bookmarkStart w:id="1778" w:name="Tc_0UckY2Ab30qESHNhf2cGPQ_5_0"/>
      <w:bookmarkStart w:id="1779" w:name="Tc_t1AchzNHKkOGmKtWwDKAdA_4_2"/>
      <w:bookmarkStart w:id="1780" w:name="Tc_7PJ8wNAy0UOe31fb14kNRw_3_5"/>
      <w:bookmarkStart w:id="1781" w:name="Tc_jruHBZcvykSxGepJCKaNbQ_3_2"/>
      <w:bookmarkStart w:id="1782" w:name="Tc_Ww8gjjUDI0SvFmb5C-t7yQ_2_5"/>
      <w:bookmarkStart w:id="1783" w:name="Tc_b0sWPjk_9Um_pRP1iRatVg_2_2"/>
      <w:bookmarkStart w:id="1784" w:name="Tc_6F5PdBWH0E-GcmtE3JHjHg_1_2"/>
      <w:bookmarkStart w:id="1785" w:name="Tc_-1cD8WXfx0ySNbonP0NKPg_6_8"/>
      <w:bookmarkStart w:id="1786" w:name="Tc_oFhK2DBu4UmNXKIk3u9GXg_6_5"/>
      <w:bookmarkStart w:id="1787" w:name="Tc_lycx1b_54k2FTt3KtA4G4A_6_2"/>
      <w:bookmarkStart w:id="1788" w:name="Tc_LOtnjo6Vw0OwmildrfwIWQ_6_0"/>
      <w:bookmarkStart w:id="1789" w:name="Tc_3tWAJLxOmkiUp22yznKR7w_5_0"/>
      <w:bookmarkStart w:id="1790" w:name="Tc_xtRyCd5MfkeXYAGCU-3I-Q_4_0"/>
      <w:bookmarkStart w:id="1791" w:name="Tc_YAgvxc-THE2rf_cj3EXFyw_3_8"/>
      <w:bookmarkStart w:id="1792" w:name="Tc_bVvwOQ5jLEuXI2HV_CiHcA_3_5"/>
      <w:bookmarkStart w:id="1793" w:name="Tc_OapoiEd3Ukm6adRf9qMX6g_3_2"/>
      <w:bookmarkStart w:id="1794" w:name="Tc_XFgt0Jdje0OQaLy2cet5hg_3_0"/>
      <w:bookmarkStart w:id="1795" w:name="Tc_rNbJb1nhKkqLI3pfVPhUKg_2_2"/>
      <w:bookmarkStart w:id="1796" w:name="Tc_Yf6LL98uLUObwxkW0nJ8JQ_1_8"/>
      <w:bookmarkStart w:id="1797" w:name="Tc_kjB-nY95j0y5VD9mqTUP-w_1_5"/>
      <w:bookmarkStart w:id="1798" w:name="Tc_ex_QS3RqvU6KtMDLlBIvjg_1_2"/>
      <w:bookmarkStart w:id="1799" w:name="_b83b1ba0_6f9a_4550_9717_fff87c1cc02d"/>
      <w:bookmarkStart w:id="1800" w:name="Tc_btFYgJggHkCNbpMnwHQYhw_6_8"/>
      <w:bookmarkStart w:id="1801" w:name="Tc_BF2TVdNv4kyWgeVKRSWxnA_6_5"/>
      <w:bookmarkStart w:id="1802" w:name="Tc_yvhjrA7ZyEaRvbdGjos01g_6_2"/>
      <w:bookmarkStart w:id="1803" w:name="Tc_CqUXgZaxMkePUA0RACGUXg_6_0"/>
      <w:bookmarkStart w:id="1804" w:name="Tc_4mKptkkGMUaeLpgxJfZOXQ_5_0"/>
      <w:bookmarkStart w:id="1805" w:name="Tc_tT4foeDIYEmrgdZJ7idTlA_4_0"/>
      <w:bookmarkStart w:id="1806" w:name="Tc_KY2bpsHU9kWx8lCAXGC5Uw_3_8"/>
      <w:bookmarkStart w:id="1807" w:name="Tc_tSI8QOklaUOuWAqaSEoA2Q_3_5"/>
      <w:bookmarkStart w:id="1808" w:name="Tc_CwKr6xKHgEusbad4TQ9dwA_3_2"/>
      <w:bookmarkStart w:id="1809" w:name="Tc_6ptuqRLF506JuKrvCwVmBQ_3_0"/>
      <w:bookmarkStart w:id="1810" w:name="Tc_bi0dOHaz3kecVfX1hJ1-jw_2_2"/>
      <w:bookmarkStart w:id="1811" w:name="Tc_0b4e1Cr8Yk2F_zh08Fqqew_1_8"/>
      <w:bookmarkStart w:id="1812" w:name="Tc_71MwyQGVMEeM6QX0RcJ5hw_1_5"/>
      <w:bookmarkStart w:id="1813" w:name="Tc_xYJtCAcvV0i5yL5EdixPaw_1_2"/>
      <w:bookmarkStart w:id="1814" w:name="_fc428ea1_2c9c_45b0_aa5b_394ba5b251bb"/>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r>
        <w:rPr>
          <w:rFonts w:ascii="Arial;Helvetica;sans-serif" w:hAnsi="Arial;Helvetica;sans-serif"/>
          <w:b/>
          <w:i w:val="false"/>
          <w:caps w:val="false"/>
          <w:smallCaps w:val="false"/>
          <w:spacing w:val="-2"/>
          <w:sz w:val="20"/>
        </w:rPr>
        <w:t>11.</w:t>
      </w:r>
      <w:r>
        <w:rPr>
          <w:rFonts w:ascii="Arial;Helvetica;sans-serif" w:hAnsi="Arial;Helvetica;sans-serif"/>
          <w:b/>
          <w:spacing w:val="-2"/>
          <w:sz w:val="20"/>
        </w:rPr>
        <w:t>Revenue Recognition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Contract Balances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10"/>
        <w:jc w:val="left"/>
        <w:rPr>
          <w:rFonts w:ascii="Arial;Helvetica;sans-serif" w:hAnsi="Arial;Helvetica;sans-serif"/>
          <w:spacing w:val="-2"/>
          <w:sz w:val="20"/>
        </w:rPr>
      </w:pPr>
      <w:r>
        <w:rPr>
          <w:rFonts w:ascii="Arial;Helvetica;sans-serif" w:hAnsi="Arial;Helvetica;sans-serif"/>
          <w:spacing w:val="-2"/>
          <w:sz w:val="20"/>
        </w:rPr>
        <w:t>Our allowance for credit losses for trade accounts receivable were as follows:</w:t>
      </w:r>
    </w:p>
    <w:p>
      <w:pPr>
        <w:pStyle w:val="TextBody"/>
        <w:bidi w:val="0"/>
        <w:spacing w:before="0" w:after="0"/>
        <w:ind w:left="0" w:right="0" w:hanging="0"/>
        <w:jc w:val="left"/>
        <w:rPr>
          <w:spacing w:val="-2"/>
        </w:rPr>
      </w:pPr>
      <w:r>
        <w:rPr>
          <w:spacing w:val="-2"/>
        </w:rPr>
        <w:t>​</w:t>
      </w:r>
    </w:p>
    <w:tbl>
      <w:tblPr>
        <w:tblW w:w="8260" w:type="dxa"/>
        <w:jc w:val="left"/>
        <w:tblInd w:w="0" w:type="dxa"/>
        <w:tblLayout w:type="fixed"/>
        <w:tblCellMar>
          <w:top w:w="0" w:type="dxa"/>
          <w:left w:w="0" w:type="dxa"/>
          <w:bottom w:w="0" w:type="dxa"/>
          <w:right w:w="0" w:type="dxa"/>
        </w:tblCellMar>
      </w:tblPr>
      <w:tblGrid>
        <w:gridCol w:w="4216"/>
        <w:gridCol w:w="326"/>
        <w:gridCol w:w="211"/>
        <w:gridCol w:w="796"/>
        <w:gridCol w:w="326"/>
        <w:gridCol w:w="211"/>
        <w:gridCol w:w="796"/>
        <w:gridCol w:w="32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677160" cy="175260"/>
                      <wp:effectExtent l="0" t="0" r="0" b="0"/>
                      <wp:wrapNone/>
                      <wp:docPr id="334" name="Frame33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05460" cy="175260"/>
                      <wp:effectExtent l="0" t="0" r="0" b="0"/>
                      <wp:wrapNone/>
                      <wp:docPr id="337" name="Frame3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05460" cy="175260"/>
                      <wp:effectExtent l="0" t="0" r="0" b="0"/>
                      <wp:wrapNone/>
                      <wp:docPr id="340" name="Frame3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534035" cy="175260"/>
                      <wp:effectExtent l="0" t="0" r="0" b="0"/>
                      <wp:wrapNone/>
                      <wp:docPr id="343" name="Frame34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82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42,575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28,739</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71,314</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36,900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61,191</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(26,713)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(53,108)</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September 30, 2025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53,080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79,397</w:t>
            </w:r>
          </w:p>
        </w:tc>
      </w:tr>
    </w:tbl>
    <w:p>
      <w:pPr>
        <w:pStyle w:val="TextBody"/>
        <w:bidi w:val="0"/>
        <w:spacing w:before="0" w:after="0"/>
        <w:ind w:left="0" w:right="0" w:hanging="0"/>
        <w:jc w:val="left"/>
        <w:rPr>
          <w:spacing w:val="-2"/>
        </w:rPr>
      </w:pPr>
      <w:r>
        <w:rPr>
          <w:spacing w:val="-2"/>
        </w:rPr>
        <w:t>​</w:t>
      </w:r>
    </w:p>
    <w:tbl>
      <w:tblPr>
        <w:tblW w:w="8260" w:type="dxa"/>
        <w:jc w:val="left"/>
        <w:tblInd w:w="0" w:type="dxa"/>
        <w:tblLayout w:type="fixed"/>
        <w:tblCellMar>
          <w:top w:w="0" w:type="dxa"/>
          <w:left w:w="0" w:type="dxa"/>
          <w:bottom w:w="0" w:type="dxa"/>
          <w:right w:w="0" w:type="dxa"/>
        </w:tblCellMar>
      </w:tblPr>
      <w:tblGrid>
        <w:gridCol w:w="4216"/>
        <w:gridCol w:w="326"/>
        <w:gridCol w:w="211"/>
        <w:gridCol w:w="796"/>
        <w:gridCol w:w="326"/>
        <w:gridCol w:w="211"/>
        <w:gridCol w:w="796"/>
        <w:gridCol w:w="326"/>
        <w:gridCol w:w="211"/>
        <w:gridCol w:w="841"/>
      </w:tblGrid>
      <w:tr>
        <w:trPr/>
        <w:tc>
          <w:tcPr>
            <w:tcW w:w="4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677160" cy="175260"/>
                      <wp:effectExtent l="0" t="0" r="0" b="0"/>
                      <wp:wrapNone/>
                      <wp:docPr id="344" name="Frame344"/>
                      <a:graphic xmlns:a="http://schemas.openxmlformats.org/drawingml/2006/main">
                        <a:graphicData uri="http://schemas.microsoft.com/office/word/2010/wordprocessingShape">
                          <wps:wsp>
                            <wps:cNvSpPr txBox="1"/>
                            <wps:spPr>
                              <a:xfrm>
                                <a:off x="0" y="0"/>
                                <a:ext cx="267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5460" cy="175260"/>
                      <wp:effectExtent l="0" t="0" r="0" b="0"/>
                      <wp:wrapNone/>
                      <wp:docPr id="347" name="Frame34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05460" cy="175260"/>
                      <wp:effectExtent l="0" t="0" r="0" b="0"/>
                      <wp:wrapNone/>
                      <wp:docPr id="350" name="Frame35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34035" cy="175260"/>
                      <wp:effectExtent l="0" t="0" r="0" b="0"/>
                      <wp:wrapNone/>
                      <wp:docPr id="353" name="Frame3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w:t>
            </w:r>
          </w:p>
        </w:tc>
      </w:tr>
      <w:tr>
        <w:trPr/>
        <w:tc>
          <w:tcPr>
            <w:tcW w:w="8260"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35,320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18,671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53,991</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period provision for expected credit losses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51,609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47,542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99,151</w:t>
            </w:r>
          </w:p>
        </w:tc>
      </w:tr>
      <w:tr>
        <w:trPr/>
        <w:tc>
          <w:tcPr>
            <w:tcW w:w="42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Write-offs charged against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(36,775)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(49,303)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(86,078)</w:t>
            </w:r>
          </w:p>
        </w:tc>
      </w:tr>
      <w:tr>
        <w:trPr/>
        <w:tc>
          <w:tcPr>
            <w:tcW w:w="421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September 30, 2024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50,154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16,910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41"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67,064</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following table summarizes our contract liability balances:</w:t>
      </w:r>
    </w:p>
    <w:p>
      <w:pPr>
        <w:pStyle w:val="TextBody"/>
        <w:bidi w:val="0"/>
        <w:spacing w:before="0" w:after="0"/>
        <w:ind w:left="0" w:right="0" w:hanging="0"/>
        <w:jc w:val="both"/>
        <w:rPr>
          <w:spacing w:val="-2"/>
        </w:rPr>
      </w:pPr>
      <w:r>
        <w:rPr>
          <w:spacing w:val="-2"/>
        </w:rPr>
        <w:t>​</w:t>
      </w:r>
    </w:p>
    <w:tbl>
      <w:tblPr>
        <w:tblW w:w="4674" w:type="dxa"/>
        <w:jc w:val="left"/>
        <w:tblInd w:w="0" w:type="dxa"/>
        <w:tblLayout w:type="fixed"/>
        <w:tblCellMar>
          <w:top w:w="0" w:type="dxa"/>
          <w:left w:w="0" w:type="dxa"/>
          <w:bottom w:w="0" w:type="dxa"/>
          <w:right w:w="0" w:type="dxa"/>
        </w:tblCellMar>
      </w:tblPr>
      <w:tblGrid>
        <w:gridCol w:w="1666"/>
        <w:gridCol w:w="109"/>
        <w:gridCol w:w="296"/>
        <w:gridCol w:w="1099"/>
        <w:gridCol w:w="109"/>
        <w:gridCol w:w="268"/>
        <w:gridCol w:w="1127"/>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057910" cy="175260"/>
                      <wp:effectExtent l="0" t="0" r="0" b="0"/>
                      <wp:wrapNone/>
                      <wp:docPr id="354" name="Frame354"/>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87960" cy="175260"/>
                      <wp:effectExtent l="0" t="0" r="0" b="0"/>
                      <wp:wrapNone/>
                      <wp:docPr id="356" name="Frame356"/>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97865" cy="175260"/>
                      <wp:effectExtent l="0" t="0" r="0" b="0"/>
                      <wp:wrapNone/>
                      <wp:docPr id="357" name="Frame357"/>
                      <a:graphic xmlns:a="http://schemas.openxmlformats.org/drawingml/2006/main">
                        <a:graphicData uri="http://schemas.microsoft.com/office/word/2010/wordprocessingShape">
                          <wps:wsp>
                            <wps:cNvSpPr txBox="1"/>
                            <wps:spPr>
                              <a:xfrm>
                                <a:off x="0" y="0"/>
                                <a:ext cx="697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9215" cy="175260"/>
                      <wp:effectExtent l="0" t="0" r="0" b="0"/>
                      <wp:wrapNone/>
                      <wp:docPr id="358" name="Frame3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70180" cy="175260"/>
                      <wp:effectExtent l="0" t="0" r="0" b="0"/>
                      <wp:wrapNone/>
                      <wp:docPr id="359" name="Frame35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715645" cy="175260"/>
                      <wp:effectExtent l="0" t="0" r="0" b="0"/>
                      <wp:wrapNone/>
                      <wp:docPr id="360" name="Frame360"/>
                      <a:graphic xmlns:a="http://schemas.openxmlformats.org/drawingml/2006/main">
                        <a:graphicData uri="http://schemas.microsoft.com/office/word/2010/wordprocessingShape">
                          <wps:wsp>
                            <wps:cNvSpPr txBox="1"/>
                            <wps:spPr>
                              <a:xfrm>
                                <a:off x="0" y="0"/>
                                <a:ext cx="715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09"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4674"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99"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166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9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536,683</w:t>
            </w:r>
          </w:p>
        </w:tc>
        <w:tc>
          <w:tcPr>
            <w:tcW w:w="109"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7" w:type="dxa"/>
            <w:tcBorders/>
            <w:shd w:fill="CCEEFF" w:val="cle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566,118</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Our beginning of period contract liability recorded as customer contract revenue during 2025 was $544</w:t>
      </w:r>
      <w:r>
        <w:rPr>
          <w:rFonts w:ascii="Times New Roman;Times;serif" w:hAnsi="Times New Roman;Times;serif"/>
          <w:spacing w:val="-2"/>
          <w:sz w:val="18"/>
        </w:rPr>
        <w:t xml:space="preserve"> </w:t>
      </w:r>
      <w:r>
        <w:rPr>
          <w:rFonts w:ascii="Arial;Helvetica;sans-serif" w:hAnsi="Arial;Helvetica;sans-serif"/>
          <w:spacing w:val="-2"/>
          <w:sz w:val="20"/>
        </w:rPr>
        <w:t>million.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bookmarkStart w:id="1815" w:name="Tc_E_-oftGeZUqWXO9_oI34Ug_8_11"/>
      <w:bookmarkStart w:id="1816" w:name="Tc_6IaRmB9ooEeHIjDphYxnGQ_8_8"/>
      <w:bookmarkStart w:id="1817" w:name="Tc_hvhxZKMS-EOO9PyhQ7st8g_8_5"/>
      <w:bookmarkStart w:id="1818" w:name="Tc_A1OgAMPdFUeubJc3ZgrlEQ_8_2"/>
      <w:bookmarkStart w:id="1819" w:name="Tc_SY4uCXyl4EuOmwi9ygU7mQ_8_0"/>
      <w:bookmarkStart w:id="1820" w:name="Tc_O-iWhNPlPU6D1Lh8UNMS6A_7_0"/>
      <w:bookmarkStart w:id="1821" w:name="Tc_631DYMQobEi1CII2YRITAw_6_0"/>
      <w:bookmarkStart w:id="1822" w:name="Tc_ygJzkSPOrECS3TliuWbdYA_5_11"/>
      <w:bookmarkStart w:id="1823" w:name="Tc_IoKquNFi6UqKtW87a7hpZw_5_8"/>
      <w:bookmarkStart w:id="1824" w:name="Tc_seRMi3Ezy0qHT4SOpUbYYw_5_5"/>
      <w:bookmarkStart w:id="1825" w:name="Tc_W5uZUKygwkuLNY0Wn2MOCA_5_2"/>
      <w:bookmarkStart w:id="1826" w:name="Tc_vWT4_eKDAEi5obmpTVrPpQ_5_0"/>
      <w:bookmarkStart w:id="1827" w:name="Tc_7q6kY8mJWE-cyIQZ3bav1w_4_2"/>
      <w:bookmarkStart w:id="1828" w:name="Tc_m20hEHQWAk2F0tTi4hU4Hw_3_11"/>
      <w:bookmarkStart w:id="1829" w:name="Tc_DXNxUbSc-EerephicEtW_Q_3_8"/>
      <w:bookmarkStart w:id="1830" w:name="Tc_CeXCaybPMEyf8JNvk63NGw_3_5"/>
      <w:bookmarkStart w:id="1831" w:name="Tc_IpgFCn8qeUmGiDP4NeRm6w_3_2"/>
      <w:bookmarkStart w:id="1832" w:name="Tc_CbeESHjwmUWwD0WRSW0x1g_2_8"/>
      <w:bookmarkStart w:id="1833" w:name="Tc_6DAzlcr1DEeFTWL98LTNtQ_2_2"/>
      <w:bookmarkStart w:id="1834" w:name="Tc_dqyb_ic3M0CyLMwvvWa31g_1_8"/>
      <w:bookmarkStart w:id="1835" w:name="Tc_YiCtZ4uKzk-QrHL5VXO64g_1_2"/>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Performance Obligations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Pay-TV and Wireless Segments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Contract Acquisition Costs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following table presents the activity in our contract acquisition costs, net:</w:t>
      </w:r>
    </w:p>
    <w:p>
      <w:pPr>
        <w:pStyle w:val="TextBody"/>
        <w:bidi w:val="0"/>
        <w:spacing w:before="0" w:after="0"/>
        <w:ind w:left="0" w:right="0" w:hanging="0"/>
        <w:jc w:val="both"/>
        <w:rPr>
          <w:spacing w:val="-2"/>
        </w:rPr>
      </w:pPr>
      <w:r>
        <w:rPr>
          <w:spacing w:val="-2"/>
        </w:rPr>
        <w:t>​</w:t>
      </w:r>
    </w:p>
    <w:tbl>
      <w:tblPr>
        <w:tblW w:w="7898" w:type="dxa"/>
        <w:jc w:val="left"/>
        <w:tblInd w:w="0" w:type="dxa"/>
        <w:tblLayout w:type="fixed"/>
        <w:tblCellMar>
          <w:top w:w="0" w:type="dxa"/>
          <w:left w:w="0" w:type="dxa"/>
          <w:bottom w:w="0" w:type="dxa"/>
          <w:right w:w="0" w:type="dxa"/>
        </w:tblCellMar>
      </w:tblPr>
      <w:tblGrid>
        <w:gridCol w:w="2536"/>
        <w:gridCol w:w="109"/>
        <w:gridCol w:w="230"/>
        <w:gridCol w:w="867"/>
        <w:gridCol w:w="355"/>
        <w:gridCol w:w="230"/>
        <w:gridCol w:w="867"/>
        <w:gridCol w:w="109"/>
        <w:gridCol w:w="211"/>
        <w:gridCol w:w="901"/>
        <w:gridCol w:w="326"/>
        <w:gridCol w:w="211"/>
        <w:gridCol w:w="94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610360" cy="175260"/>
                      <wp:effectExtent l="0" t="0" r="0" b="0"/>
                      <wp:wrapNone/>
                      <wp:docPr id="361" name="Frame361"/>
                      <a:graphic xmlns:a="http://schemas.openxmlformats.org/drawingml/2006/main">
                        <a:graphicData uri="http://schemas.microsoft.com/office/word/2010/wordprocessingShape">
                          <wps:wsp>
                            <wps:cNvSpPr txBox="1"/>
                            <wps:spPr>
                              <a:xfrm>
                                <a:off x="0" y="0"/>
                                <a:ext cx="161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46050" cy="175260"/>
                      <wp:effectExtent l="0" t="0" r="0" b="0"/>
                      <wp:wrapNone/>
                      <wp:docPr id="363" name="Frame36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550545" cy="175260"/>
                      <wp:effectExtent l="0" t="0" r="0" b="0"/>
                      <wp:wrapNone/>
                      <wp:docPr id="364" name="Frame364"/>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25425" cy="175260"/>
                      <wp:effectExtent l="0" t="0" r="0" b="0"/>
                      <wp:wrapNone/>
                      <wp:docPr id="365" name="Frame36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46050" cy="175260"/>
                      <wp:effectExtent l="0" t="0" r="0" b="0"/>
                      <wp:wrapNone/>
                      <wp:docPr id="366" name="Frame366"/>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550545" cy="175260"/>
                      <wp:effectExtent l="0" t="0" r="0" b="0"/>
                      <wp:wrapNone/>
                      <wp:docPr id="367" name="Frame367"/>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8" name="Frame3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72135" cy="175260"/>
                      <wp:effectExtent l="0" t="0" r="0" b="0"/>
                      <wp:wrapNone/>
                      <wp:docPr id="370" name="Frame37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00710" cy="175260"/>
                      <wp:effectExtent l="0" t="0" r="0" b="0"/>
                      <wp:wrapNone/>
                      <wp:docPr id="373" name="Frame37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49"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left"/>
              <w:rPr/>
            </w:pPr>
            <w:r>
              <w:rPr/>
              <w:t>​</w:t>
            </w:r>
          </w:p>
        </w:tc>
        <w:tc>
          <w:tcPr>
            <w:tcW w:w="259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49"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left"/>
              <w:rPr/>
            </w:pPr>
            <w:r>
              <w:rPr/>
              <w:t>​</w:t>
            </w:r>
          </w:p>
        </w:tc>
        <w:tc>
          <w:tcPr>
            <w:tcW w:w="259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253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55"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789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53"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228,210</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242,873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230,922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287,276</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Additions</w:t>
            </w:r>
          </w:p>
        </w:tc>
        <w:tc>
          <w:tcPr>
            <w:tcW w:w="109"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64,208</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55,094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172,679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164,570</w:t>
            </w:r>
          </w:p>
        </w:tc>
      </w:tr>
      <w:tr>
        <w:trPr/>
        <w:tc>
          <w:tcPr>
            <w:tcW w:w="253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Amortization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(67,271)</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(63,364)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(178,454)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(217,243)</w:t>
            </w:r>
          </w:p>
        </w:tc>
      </w:tr>
      <w:tr>
        <w:trPr/>
        <w:tc>
          <w:tcPr>
            <w:tcW w:w="253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Balance, end of period</w:t>
            </w:r>
          </w:p>
        </w:tc>
        <w:tc>
          <w:tcPr>
            <w:tcW w:w="109"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225,147</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234,603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225,147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46" w:type="dxa"/>
            <w:tcBorders>
              <w:bottom w:val="double" w:sz="6" w:space="0" w:color="000000"/>
            </w:tcBorders>
            <w:tcMar>
              <w:bottom w:w="28" w:type="dxa"/>
            </w:tcMar>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234,603</w:t>
            </w:r>
          </w:p>
        </w:tc>
      </w:tr>
    </w:tbl>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val="false"/>
          <w:caps w:val="false"/>
          <w:smallCaps w:val="false"/>
          <w:spacing w:val="-2"/>
          <w:sz w:val="20"/>
        </w:rPr>
        <w:t>12.</w:t>
      </w:r>
      <w:r>
        <w:rPr>
          <w:rFonts w:ascii="Arial;Helvetica;sans-serif" w:hAnsi="Arial;Helvetica;sans-serif"/>
          <w:b/>
          <w:spacing w:val="-2"/>
          <w:sz w:val="20"/>
        </w:rPr>
        <w:t xml:space="preserve">Related Party Transactions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 xml:space="preserve">Related Party Transactions with EchoStar, our Parent, and its subsidiaries.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On January 1, 2008, DISH Network completed the distribution of its technology and set-top box business and certain infrastructure assets (the “Spin-off”) into a separate publicly-traded company, EchoStar. Following the Spin-off, DISH Network and EchoStar operated as separate publicly-traded companies until December 31, 2023, when EchoStar completed the acquisition of DISH Network.</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following is a summary of the terms of our principal agreements with EchoStar, our parent, and its subsidiaries, that may have an impact on our financial condition and results of operations.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Sale and Transfer of Assets</w:t>
      </w:r>
      <w:r>
        <w:rPr>
          <w:rFonts w:ascii="Times New Roman;Times;serif" w:hAnsi="Times New Roman;Times;serif"/>
          <w:spacing w:val="-2"/>
          <w:sz w:val="18"/>
        </w:rPr>
        <w:t xml:space="preserv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 xml:space="preserve">Recent Transactions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pacing w:val="-2"/>
          <w:sz w:val="20"/>
        </w:rPr>
        <w:t xml:space="preserve">Wireless Spectrum License Exchange. </w:t>
      </w:r>
      <w:r>
        <w:rPr>
          <w:rFonts w:ascii="Arial;Helvetica;sans-serif" w:hAnsi="Arial;Helvetica;sans-serif"/>
          <w:spacing w:val="-2"/>
          <w:sz w:val="20"/>
        </w:rPr>
        <w:t xml:space="preserve">On March 21, 2025, we exchanged interests in our wholly-owned subsidiaries which hold certain 3.45-3.55 GHz Licenses with our parent, EchoStar, for interests in their wholly-owned subsidiaries that hold the 700 MHz, LMDS, C-Band – Cheyenne (3.7-3.98 GHz), 24 GHz, 28 GHz, 37GHz, 39GHz and 47GHz Licenses.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 xml:space="preserve">2024 Transactions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Sale of Assets to EchoStar. </w:t>
      </w:r>
      <w:r>
        <w:rPr>
          <w:rFonts w:ascii="Arial;Helvetica;sans-serif" w:hAnsi="Arial;Helvetica;sans-serif"/>
          <w:spacing w:val="-2"/>
          <w:sz w:val="20"/>
        </w:rPr>
        <w:t xml:space="preserve">On January 10, 2024, we sold certain assets and equity interests to EchoStar, which included the sale of a financial asset (the “Sale of Assets to EchoStar”).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color w:val="222222"/>
          <w:spacing w:val="-2"/>
          <w:sz w:val="20"/>
          <w:shd w:fill="FFFFFF" w:val="clear"/>
        </w:rPr>
        <w:t>Asset Transfer to EchoStar.</w:t>
      </w:r>
      <w:r>
        <w:rPr>
          <w:rFonts w:ascii="Times New Roman;Times;serif" w:hAnsi="Times New Roman;Times;serif"/>
          <w:color w:val="222222"/>
          <w:spacing w:val="-2"/>
          <w:sz w:val="18"/>
          <w:shd w:fill="FFFFFF" w:val="clear"/>
        </w:rPr>
        <w:t xml:space="preserve"> </w:t>
      </w:r>
      <w:r>
        <w:rPr>
          <w:rFonts w:ascii="Arial;Helvetica;sans-serif" w:hAnsi="Arial;Helvetica;sans-serif"/>
          <w:spacing w:val="-2"/>
          <w:sz w:val="20"/>
          <w:shd w:fill="FFFFFF" w:val="clear"/>
        </w:rPr>
        <w:t xml:space="preserve">On January 10, 2024, we transferred our </w:t>
      </w:r>
      <w:r>
        <w:rPr>
          <w:rFonts w:ascii="Arial;Helvetica;sans-serif" w:hAnsi="Arial;Helvetica;sans-serif"/>
          <w:spacing w:val="-2"/>
          <w:sz w:val="20"/>
        </w:rPr>
        <w:t>wholly-owned subsidiaries that hold</w:t>
      </w:r>
      <w:r>
        <w:rPr>
          <w:rFonts w:ascii="Times New Roman;Times;serif" w:hAnsi="Times New Roman;Times;serif"/>
          <w:spacing w:val="-2"/>
          <w:sz w:val="18"/>
          <w:shd w:fill="FFFFFF" w:val="clear"/>
        </w:rPr>
        <w:t xml:space="preserve"> </w:t>
      </w:r>
      <w:r>
        <w:rPr>
          <w:rFonts w:ascii="Arial;Helvetica;sans-serif" w:hAnsi="Arial;Helvetica;sans-serif"/>
          <w:spacing w:val="-2"/>
          <w:sz w:val="20"/>
          <w:shd w:fill="FFFFFF" w:val="clear"/>
        </w:rPr>
        <w:t>certain assets, including the EchoStar XXV satellite currently under construction, and our wireless spectrum licenses, including AWS-4, H-Block, CBRS (3550-3650 MHz), C-Band – Cheyenne (3.7-3.98 GHz), 12GHz (MVDDS), LMDS, 24 GHz, 28 GHz, 37GHz, 39GHz and 47GHz to EchoStar Wireless Holding L.L.C., a direct wholly-owned subsidiary of our parent, EchoStar (together with the “DISH 2021 Intercompany Loan 2026 Tranche” as defined in Note 8, the “Asset Transfer to EchoStar”)</w:t>
      </w:r>
      <w:r>
        <w:rPr>
          <w:rFonts w:ascii="Arial;Helvetica;sans-serif" w:hAnsi="Arial;Helvetica;sans-serif"/>
          <w:spacing w:val="-2"/>
          <w:sz w:val="20"/>
        </w:rPr>
        <w:t xml:space="preserv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700 MHz Spectrum Sale to EchoStar. </w:t>
      </w:r>
      <w:r>
        <w:rPr>
          <w:rFonts w:ascii="Arial;Helvetica;sans-serif" w:hAnsi="Arial;Helvetica;sans-serif"/>
          <w:spacing w:val="-2"/>
          <w:sz w:val="20"/>
        </w:rPr>
        <w:t>On March 12, 2024, we sold our wholly-owned subsidiary which holds the</w:t>
      </w:r>
      <w:r>
        <w:rPr>
          <w:rFonts w:ascii="Times New Roman;Times;serif" w:hAnsi="Times New Roman;Times;serif"/>
          <w:spacing w:val="-2"/>
          <w:sz w:val="18"/>
        </w:rPr>
        <w:t xml:space="preserve"> </w:t>
      </w:r>
      <w:r>
        <w:rPr>
          <w:rFonts w:ascii="Arial;Helvetica;sans-serif" w:hAnsi="Arial;Helvetica;sans-serif"/>
          <w:spacing w:val="-2"/>
          <w:sz w:val="20"/>
        </w:rPr>
        <w:t>700 MHz spectrum to a wholly-owned subsidiary of our parent, EchoStar (the “700 MHz Spectrum Sale to EchoStar”).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 xml:space="preserve">The Sale of Assets to EchoStar, </w:t>
      </w:r>
      <w:r>
        <w:rPr>
          <w:rFonts w:ascii="Arial;Helvetica;sans-serif" w:hAnsi="Arial;Helvetica;sans-serif"/>
          <w:color w:val="222222"/>
          <w:spacing w:val="-2"/>
          <w:sz w:val="20"/>
          <w:shd w:fill="FFFFFF" w:val="clear"/>
        </w:rPr>
        <w:t>Asset Transfer to EchoStar and</w:t>
      </w:r>
      <w:r>
        <w:rPr>
          <w:rFonts w:ascii="Times New Roman;Times;serif" w:hAnsi="Times New Roman;Times;serif"/>
          <w:spacing w:val="-2"/>
          <w:sz w:val="18"/>
        </w:rPr>
        <w:t xml:space="preserve"> </w:t>
      </w:r>
      <w:r>
        <w:rPr>
          <w:rFonts w:ascii="Arial;Helvetica;sans-serif" w:hAnsi="Arial;Helvetica;sans-serif"/>
          <w:spacing w:val="-2"/>
          <w:sz w:val="20"/>
        </w:rPr>
        <w:t xml:space="preserve">700 MHz Spectrum Sale to EchoStar together are referred to as (the “Sale and Transfer of Assets to EchoStar”).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Orbital II Transfer from EchoStar.</w:t>
      </w:r>
      <w:r>
        <w:rPr>
          <w:rFonts w:ascii="Times New Roman;Times;serif" w:hAnsi="Times New Roman;Times;serif"/>
          <w:spacing w:val="-2"/>
          <w:sz w:val="18"/>
        </w:rPr>
        <w:t xml:space="preserve"> </w:t>
      </w:r>
      <w:r>
        <w:rPr>
          <w:rFonts w:ascii="Arial;Helvetica;sans-serif" w:hAnsi="Arial;Helvetica;sans-serif"/>
          <w:spacing w:val="-2"/>
          <w:sz w:val="20"/>
          <w:shd w:fill="FFFFFF" w:val="clear"/>
        </w:rPr>
        <w:t xml:space="preserve">On May 2, 2024, EchoStar transferred certain assets to us, including the </w:t>
      </w:r>
      <w:r>
        <w:rPr>
          <w:rFonts w:ascii="Arial;Helvetica;sans-serif" w:hAnsi="Arial;Helvetica;sans-serif"/>
          <w:spacing w:val="-2"/>
          <w:sz w:val="20"/>
        </w:rPr>
        <w:t xml:space="preserve">EchoStar XXV satellite currently under construction.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For further information, refer to the consolidated financial statements and notes thereto included in our Annual Report on Form 10-K for the year ended December 31, 2024.</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r>
        <w:rPr>
          <w:rFonts w:ascii="Arial;Helvetica;sans-serif" w:hAnsi="Arial;Helvetica;sans-serif"/>
          <w:b/>
          <w:i/>
          <w:spacing w:val="-2"/>
          <w:sz w:val="20"/>
        </w:rPr>
        <w:t>Trade accounts payable”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As of September 30, 2025 and December 31, 2024, trade accounts payable to EchoStar was $18</w:t>
      </w:r>
      <w:r>
        <w:rPr>
          <w:rFonts w:ascii="Times New Roman;Times;serif" w:hAnsi="Times New Roman;Times;serif"/>
          <w:spacing w:val="-2"/>
          <w:sz w:val="18"/>
        </w:rPr>
        <w:t xml:space="preserve"> </w:t>
      </w:r>
      <w:r>
        <w:rPr>
          <w:rFonts w:ascii="Arial;Helvetica;sans-serif" w:hAnsi="Arial;Helvetica;sans-serif"/>
          <w:spacing w:val="-2"/>
          <w:sz w:val="20"/>
        </w:rPr>
        <w:t>million and $53</w:t>
      </w:r>
      <w:r>
        <w:rPr>
          <w:rFonts w:ascii="Times New Roman;Times;serif" w:hAnsi="Times New Roman;Times;serif"/>
          <w:spacing w:val="-2"/>
          <w:sz w:val="18"/>
        </w:rPr>
        <w:t xml:space="preserve"> </w:t>
      </w:r>
      <w:r>
        <w:rPr>
          <w:rFonts w:ascii="Arial;Helvetica;sans-serif" w:hAnsi="Arial;Helvetica;sans-serif"/>
          <w:spacing w:val="-2"/>
          <w:sz w:val="20"/>
        </w:rPr>
        <w:t>million, respectively. These amounts are recorded in “Trade accounts payable” on our Condensed Consolidated Balance Sheets.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r>
        <w:rPr>
          <w:rFonts w:ascii="Arial;Helvetica;sans-serif" w:hAnsi="Arial;Helvetica;sans-serif"/>
          <w:b/>
          <w:i/>
          <w:spacing w:val="-2"/>
          <w:sz w:val="20"/>
        </w:rPr>
        <w:t xml:space="preserve">Service revenue”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During the three months ended September 30, 2025 and 2024, we received $1</w:t>
      </w:r>
      <w:r>
        <w:rPr>
          <w:rFonts w:ascii="Times New Roman;Times;serif" w:hAnsi="Times New Roman;Times;serif"/>
          <w:spacing w:val="-2"/>
          <w:sz w:val="18"/>
        </w:rPr>
        <w:t xml:space="preserve"> </w:t>
      </w:r>
      <w:r>
        <w:rPr>
          <w:rFonts w:ascii="Arial;Helvetica;sans-serif" w:hAnsi="Arial;Helvetica;sans-serif"/>
          <w:spacing w:val="-2"/>
          <w:sz w:val="20"/>
        </w:rPr>
        <w:t>million and $2</w:t>
      </w:r>
      <w:r>
        <w:rPr>
          <w:rFonts w:ascii="Times New Roman;Times;serif" w:hAnsi="Times New Roman;Times;serif"/>
          <w:spacing w:val="-2"/>
          <w:sz w:val="18"/>
        </w:rPr>
        <w:t xml:space="preserve"> </w:t>
      </w:r>
      <w:r>
        <w:rPr>
          <w:rFonts w:ascii="Arial;Helvetica;sans-serif" w:hAnsi="Arial;Helvetica;sans-serif"/>
          <w:spacing w:val="-2"/>
          <w:sz w:val="20"/>
        </w:rPr>
        <w:t>million, respectively, for services provided to EchoStar. During the nine months ended September 30, 2025 and 2024, we received $4</w:t>
      </w:r>
      <w:r>
        <w:rPr>
          <w:rFonts w:ascii="Times New Roman;Times;serif" w:hAnsi="Times New Roman;Times;serif"/>
          <w:spacing w:val="-2"/>
          <w:sz w:val="18"/>
        </w:rPr>
        <w:t xml:space="preserve"> </w:t>
      </w:r>
      <w:r>
        <w:rPr>
          <w:rFonts w:ascii="Arial;Helvetica;sans-serif" w:hAnsi="Arial;Helvetica;sans-serif"/>
          <w:spacing w:val="-2"/>
          <w:sz w:val="20"/>
        </w:rPr>
        <w:t>million and $4</w:t>
      </w:r>
      <w:r>
        <w:rPr>
          <w:rFonts w:ascii="Times New Roman;Times;serif" w:hAnsi="Times New Roman;Times;serif"/>
          <w:spacing w:val="-2"/>
          <w:sz w:val="18"/>
        </w:rPr>
        <w:t xml:space="preserve"> </w:t>
      </w:r>
      <w:r>
        <w:rPr>
          <w:rFonts w:ascii="Arial;Helvetica;sans-serif" w:hAnsi="Arial;Helvetica;sans-serif"/>
          <w:spacing w:val="-2"/>
          <w:sz w:val="20"/>
        </w:rPr>
        <w:t>million, respectively, for services provided to EchoStar. These amounts are recorded in “Service revenue” on our Condensed Consolidated Statements of Operations and Comprehensive Income (Loss). The primary agreements pertaining to these revenues are discussed below.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i/>
          <w:spacing w:val="-2"/>
          <w:sz w:val="20"/>
        </w:rPr>
        <w:t>TT&amp;C Agreement – Master Transaction Agreement</w:t>
      </w:r>
      <w:r>
        <w:rPr>
          <w:rFonts w:ascii="Arial;Helvetica;sans-serif" w:hAnsi="Arial;Helvetica;sans-serif"/>
          <w:spacing w:val="-2"/>
          <w:sz w:val="20"/>
        </w:rPr>
        <w:t>. In September 2019, we entered into an agreement pursuant to which we provide TT&amp;C services to EchoStar for an initial term that ended in September 2021, (the “MTA TT&amp;C Agreement”). In September 2021, we amended the MTA TT&amp;C Agreement to extend the term until September 2022 and added the option for EchoStar to renew for three</w:t>
      </w:r>
      <w:r>
        <w:rPr>
          <w:rFonts w:ascii="Times New Roman;Times;serif" w:hAnsi="Times New Roman;Times;serif"/>
          <w:spacing w:val="-2"/>
          <w:sz w:val="20"/>
        </w:rPr>
        <w:t xml:space="preserve"> </w:t>
      </w:r>
      <w:r>
        <w:rPr>
          <w:rFonts w:ascii="Arial;Helvetica;sans-serif" w:hAnsi="Arial;Helvetica;sans-serif"/>
          <w:spacing w:val="-2"/>
          <w:sz w:val="20"/>
        </w:rPr>
        <w:t>one-year</w:t>
      </w:r>
      <w:r>
        <w:rPr>
          <w:rFonts w:ascii="Times New Roman;Times;serif" w:hAnsi="Times New Roman;Times;serif"/>
          <w:spacing w:val="-2"/>
          <w:sz w:val="20"/>
        </w:rPr>
        <w:t xml:space="preserve"> </w:t>
      </w:r>
      <w:r>
        <w:rPr>
          <w:rFonts w:ascii="Arial;Helvetica;sans-serif" w:hAnsi="Arial;Helvetica;sans-serif"/>
          <w:spacing w:val="-2"/>
          <w:sz w:val="20"/>
        </w:rPr>
        <w:t>renewal terms ending in September 2025. Effective September 2025, the MTA TT&amp;C Agreement was extended on a month-to-month basis. Either party is able to terminate the MTA TT&amp;C Agreement for any reason upon 12 months</w:t>
      </w:r>
      <w:r>
        <w:rPr>
          <w:rFonts w:ascii="Times New Roman;Times;serif" w:hAnsi="Times New Roman;Times;serif"/>
          <w:spacing w:val="-2"/>
          <w:sz w:val="20"/>
        </w:rPr>
        <w:t xml:space="preserve">’ </w:t>
      </w:r>
      <w:r>
        <w:rPr>
          <w:rFonts w:ascii="Arial;Helvetica;sans-serif" w:hAnsi="Arial;Helvetica;sans-serif"/>
          <w:spacing w:val="-2"/>
          <w:sz w:val="20"/>
        </w:rPr>
        <w:t xml:space="preserve">notice.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r>
        <w:rPr>
          <w:rFonts w:ascii="Arial;Helvetica;sans-serif" w:hAnsi="Arial;Helvetica;sans-serif"/>
          <w:b/>
          <w:i/>
          <w:spacing w:val="-2"/>
          <w:sz w:val="20"/>
        </w:rPr>
        <w:t>Equipment sales and other revenue”</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During the three months ended September 30, 2025 and 2024, we received $1</w:t>
      </w:r>
      <w:r>
        <w:rPr>
          <w:rFonts w:ascii="Times New Roman;Times;serif" w:hAnsi="Times New Roman;Times;serif"/>
          <w:spacing w:val="-2"/>
          <w:sz w:val="18"/>
        </w:rPr>
        <w:t xml:space="preserve"> </w:t>
      </w:r>
      <w:r>
        <w:rPr>
          <w:rFonts w:ascii="Arial;Helvetica;sans-serif" w:hAnsi="Arial;Helvetica;sans-serif"/>
          <w:spacing w:val="-2"/>
          <w:sz w:val="20"/>
        </w:rPr>
        <w:t>million and $2</w:t>
      </w:r>
      <w:r>
        <w:rPr>
          <w:rFonts w:ascii="Times New Roman;Times;serif" w:hAnsi="Times New Roman;Times;serif"/>
          <w:spacing w:val="-2"/>
          <w:sz w:val="18"/>
        </w:rPr>
        <w:t xml:space="preserve"> </w:t>
      </w:r>
      <w:r>
        <w:rPr>
          <w:rFonts w:ascii="Arial;Helvetica;sans-serif" w:hAnsi="Arial;Helvetica;sans-serif"/>
          <w:spacing w:val="-2"/>
          <w:sz w:val="20"/>
        </w:rPr>
        <w:t>million, respectively, for services provided to EchoStar. During the nine months ended September 30, 2025 and 2024, we received $3</w:t>
      </w:r>
      <w:r>
        <w:rPr>
          <w:rFonts w:ascii="Times New Roman;Times;serif" w:hAnsi="Times New Roman;Times;serif"/>
          <w:spacing w:val="-2"/>
          <w:sz w:val="18"/>
        </w:rPr>
        <w:t xml:space="preserve"> </w:t>
      </w:r>
      <w:r>
        <w:rPr>
          <w:rFonts w:ascii="Arial;Helvetica;sans-serif" w:hAnsi="Arial;Helvetica;sans-serif"/>
          <w:spacing w:val="-2"/>
          <w:sz w:val="20"/>
        </w:rPr>
        <w:t>million and $3</w:t>
      </w:r>
      <w:r>
        <w:rPr>
          <w:rFonts w:ascii="Times New Roman;Times;serif" w:hAnsi="Times New Roman;Times;serif"/>
          <w:spacing w:val="-2"/>
          <w:sz w:val="18"/>
        </w:rPr>
        <w:t xml:space="preserve"> </w:t>
      </w:r>
      <w:r>
        <w:rPr>
          <w:rFonts w:ascii="Arial;Helvetica;sans-serif" w:hAnsi="Arial;Helvetica;sans-serif"/>
          <w:spacing w:val="-2"/>
          <w:sz w:val="20"/>
        </w:rPr>
        <w:t>million, respectively, for services provided to EchoStar. These amounts are recorded in “Equipment sales and other revenue” on our Condensed Consolidated Statements of Operations and Comprehensive Income (Loss). The primary agreements pertaining to these revenues are discussed below.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Real Estate Lease Agreements. </w:t>
      </w:r>
      <w:r>
        <w:rPr>
          <w:rFonts w:ascii="Arial;Helvetica;sans-serif" w:hAnsi="Arial;Helvetica;sans-serif"/>
          <w:spacing w:val="-2"/>
          <w:sz w:val="20"/>
        </w:rPr>
        <w:t>We have entered into lease agreements pursuant to which we lease certain real estate to EchoStar. The term of each lease is set forth below:</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El Paso Lease Agreement.</w:t>
            </w:r>
            <w:r>
              <w:rPr>
                <w:caps w:val="false"/>
                <w:smallCaps w:val="false"/>
              </w:rPr>
              <w:t xml:space="preserve"> </w:t>
            </w:r>
            <w:r>
              <w:rPr>
                <w:rFonts w:ascii="Arial;Helvetica;sans-serif" w:hAnsi="Arial;Helvetica;sans-serif"/>
                <w:b w:val="false"/>
                <w:i w:val="false"/>
                <w:caps w:val="false"/>
                <w:smallCaps w:val="false"/>
                <w:sz w:val="20"/>
              </w:rPr>
              <w:t>Effective 2012, EchoStar leases certain space from us at 1285 Joe Battle Blvd., El Paso, Texas for an initial term that ended in August 2015 and</w:t>
            </w:r>
            <w:r>
              <w:rPr>
                <w:caps w:val="false"/>
                <w:smallCaps w:val="false"/>
              </w:rPr>
              <w:t xml:space="preserve"> </w:t>
            </w:r>
            <w:r>
              <w:rPr>
                <w:rFonts w:ascii="Arial;Helvetica;sans-serif" w:hAnsi="Arial;Helvetica;sans-serif"/>
                <w:b w:val="false"/>
                <w:i w:val="false"/>
                <w:caps w:val="false"/>
                <w:smallCaps w:val="false"/>
                <w:sz w:val="20"/>
              </w:rPr>
              <w:t>renewal options for four</w:t>
            </w:r>
            <w:r>
              <w:rPr>
                <w:caps w:val="false"/>
                <w:smallCaps w:val="false"/>
              </w:rPr>
              <w:t xml:space="preserve"> </w:t>
            </w:r>
            <w:r>
              <w:rPr>
                <w:rFonts w:ascii="Arial;Helvetica;sans-serif" w:hAnsi="Arial;Helvetica;sans-serif"/>
                <w:b w:val="false"/>
                <w:i w:val="false"/>
                <w:caps w:val="false"/>
                <w:smallCaps w:val="false"/>
                <w:sz w:val="20"/>
              </w:rPr>
              <w:t>consecutive three-year</w:t>
            </w:r>
            <w:r>
              <w:rPr>
                <w:caps w:val="false"/>
                <w:smallCaps w:val="false"/>
              </w:rPr>
              <w:t xml:space="preserve"> </w:t>
            </w:r>
            <w:r>
              <w:rPr>
                <w:rFonts w:ascii="Arial;Helvetica;sans-serif" w:hAnsi="Arial;Helvetica;sans-serif"/>
                <w:b w:val="false"/>
                <w:i w:val="false"/>
                <w:caps w:val="false"/>
                <w:smallCaps w:val="false"/>
                <w:sz w:val="20"/>
              </w:rPr>
              <w:t xml:space="preserve">terms ending in July 2027. </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90 Inverness Lease Agreement</w:t>
            </w:r>
            <w:r>
              <w:rPr>
                <w:rFonts w:ascii="Arial;Helvetica;sans-serif" w:hAnsi="Arial;Helvetica;sans-serif"/>
                <w:b w:val="false"/>
                <w:i w:val="false"/>
                <w:caps w:val="false"/>
                <w:smallCaps w:val="false"/>
                <w:sz w:val="20"/>
              </w:rPr>
              <w:t>.  Effective March 2017, EchoStar leases certain space from us at 90 Inverness Circle East, Englewood, Colorado for an initial term that ended in February 2022 and renewal options for four</w:t>
            </w:r>
            <w:r>
              <w:rPr>
                <w:caps w:val="false"/>
                <w:smallCaps w:val="false"/>
              </w:rPr>
              <w:t xml:space="preserve"> </w:t>
            </w:r>
            <w:r>
              <w:rPr>
                <w:rFonts w:ascii="Arial;Helvetica;sans-serif" w:hAnsi="Arial;Helvetica;sans-serif"/>
                <w:b w:val="false"/>
                <w:i w:val="false"/>
                <w:caps w:val="false"/>
                <w:smallCaps w:val="false"/>
                <w:sz w:val="20"/>
              </w:rPr>
              <w:t>consecutive three-year</w:t>
            </w:r>
            <w:r>
              <w:rPr>
                <w:caps w:val="false"/>
                <w:smallCaps w:val="false"/>
              </w:rPr>
              <w:t xml:space="preserve"> </w:t>
            </w:r>
            <w:r>
              <w:rPr>
                <w:rFonts w:ascii="Arial;Helvetica;sans-serif" w:hAnsi="Arial;Helvetica;sans-serif"/>
                <w:b w:val="false"/>
                <w:i w:val="false"/>
                <w:caps w:val="false"/>
                <w:smallCaps w:val="false"/>
                <w:sz w:val="20"/>
              </w:rPr>
              <w:t xml:space="preserve">terms ending in February 2034. </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Whidbey Island 5G Network Test Bed Subcontract. </w:t>
      </w:r>
      <w:r>
        <w:rPr>
          <w:rFonts w:ascii="Arial;Helvetica;sans-serif" w:hAnsi="Arial;Helvetica;sans-serif"/>
          <w:spacing w:val="-2"/>
          <w:sz w:val="20"/>
        </w:rPr>
        <w:t>Effective</w:t>
      </w:r>
      <w:r>
        <w:rPr>
          <w:rFonts w:ascii="Times New Roman;Times;serif" w:hAnsi="Times New Roman;Times;serif"/>
          <w:spacing w:val="-2"/>
          <w:sz w:val="18"/>
        </w:rPr>
        <w:t xml:space="preserve"> </w:t>
      </w:r>
      <w:r>
        <w:rPr>
          <w:rFonts w:ascii="Arial;Helvetica;sans-serif" w:hAnsi="Arial;Helvetica;sans-serif"/>
          <w:spacing w:val="-2"/>
          <w:sz w:val="20"/>
        </w:rPr>
        <w:t>June 2022, we entered into certain agreements pursuant to which we provide EchoStar</w:t>
      </w:r>
      <w:r>
        <w:rPr>
          <w:rFonts w:ascii="Times New Roman;Times;serif" w:hAnsi="Times New Roman;Times;serif"/>
          <w:spacing w:val="-2"/>
          <w:sz w:val="18"/>
        </w:rPr>
        <w:t xml:space="preserve"> </w:t>
      </w:r>
      <w:r>
        <w:rPr>
          <w:rFonts w:ascii="Arial;Helvetica;sans-serif" w:hAnsi="Arial;Helvetica;sans-serif"/>
          <w:spacing w:val="-2"/>
          <w:sz w:val="20"/>
        </w:rPr>
        <w:t xml:space="preserve">access and use of a lab, technical support and integration, and testing support for the 5G network test bed. In addition, EchoStar leases certain wireless spectrum and receives construction and related services. EchoStar may terminate this agreement at any time by providing written notice to us. </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Collocation and Antenna Space Agreements</w:t>
      </w:r>
      <w:r>
        <w:rPr>
          <w:rFonts w:ascii="Arial;Helvetica;sans-serif" w:hAnsi="Arial;Helvetica;sans-serif"/>
          <w:sz w:val="20"/>
        </w:rPr>
        <w:t>. We entered into certain agreements pursuant to which we provide certain collocation and antenna space to EchoStar.</w:t>
      </w:r>
      <w:r>
        <w:rPr>
          <w:rFonts w:ascii="Times New Roman;Times;serif" w:hAnsi="Times New Roman;Times;serif"/>
          <w:sz w:val="20"/>
        </w:rPr>
        <w:t xml:space="preserve"> </w:t>
      </w:r>
      <w:r>
        <w:rPr>
          <w:rFonts w:ascii="Arial;Helvetica;sans-serif" w:hAnsi="Arial;Helvetica;sans-serif"/>
          <w:sz w:val="20"/>
        </w:rPr>
        <w:t>EchoStar may terminate certain of these agreements with 180 days</w:t>
      </w:r>
      <w:r>
        <w:rPr>
          <w:rFonts w:ascii="Times New Roman;Times;serif" w:hAnsi="Times New Roman;Times;serif"/>
          <w:sz w:val="20"/>
        </w:rPr>
        <w:t xml:space="preserve">’ </w:t>
      </w:r>
      <w:r>
        <w:rPr>
          <w:rFonts w:ascii="Arial;Helvetica;sans-serif" w:hAnsi="Arial;Helvetica;sans-serif"/>
          <w:sz w:val="20"/>
        </w:rPr>
        <w:t>prior written notice to us and for certain other agreements with prior written notice no more than 120 days</w:t>
      </w:r>
      <w:r>
        <w:rPr>
          <w:rFonts w:ascii="Times New Roman;Times;serif" w:hAnsi="Times New Roman;Times;serif"/>
          <w:sz w:val="20"/>
        </w:rPr>
        <w:t xml:space="preserve"> </w:t>
      </w:r>
      <w:r>
        <w:rPr>
          <w:rFonts w:ascii="Arial;Helvetica;sans-serif" w:hAnsi="Arial;Helvetica;sans-serif"/>
          <w:sz w:val="20"/>
        </w:rPr>
        <w:t>but no less than 90 days</w:t>
      </w:r>
      <w:r>
        <w:rPr>
          <w:rFonts w:ascii="Times New Roman;Times;serif" w:hAnsi="Times New Roman;Times;serif"/>
          <w:sz w:val="20"/>
        </w:rPr>
        <w:t xml:space="preserve"> </w:t>
      </w:r>
      <w:r>
        <w:rPr>
          <w:rFonts w:ascii="Arial;Helvetica;sans-serif" w:hAnsi="Arial;Helvetica;sans-serif"/>
          <w:sz w:val="20"/>
        </w:rPr>
        <w:t xml:space="preserve">prior to the end of the then-current term. The term of each agreement is set forth below: </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Effective March 2017 for an initial term that ended in February 2022 and renewal options ending in February 2034</w:t>
            </w:r>
            <w:r>
              <w:rPr>
                <w:caps w:val="false"/>
                <w:smallCaps w:val="false"/>
              </w:rPr>
              <w:t xml:space="preserve"> </w:t>
            </w:r>
            <w:r>
              <w:rPr>
                <w:rFonts w:ascii="Arial;Helvetica;sans-serif" w:hAnsi="Arial;Helvetica;sans-serif"/>
                <w:b w:val="false"/>
                <w:i w:val="false"/>
                <w:caps w:val="false"/>
                <w:smallCaps w:val="false"/>
                <w:sz w:val="20"/>
              </w:rPr>
              <w:t xml:space="preserve">at the following locations: Cheyenne, Wyoming; Gilbert, Arizona; Monee, Illinois; Englewood, Colorado; and Spokane, Washington.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Effective August 2017 for</w:t>
            </w:r>
            <w:r>
              <w:rPr>
                <w:caps w:val="false"/>
                <w:smallCaps w:val="false"/>
              </w:rPr>
              <w:t xml:space="preserve"> </w:t>
            </w:r>
            <w:r>
              <w:rPr>
                <w:rFonts w:ascii="Arial;Helvetica;sans-serif" w:hAnsi="Arial;Helvetica;sans-serif"/>
                <w:b w:val="false"/>
                <w:i w:val="false"/>
                <w:caps w:val="false"/>
                <w:smallCaps w:val="false"/>
                <w:sz w:val="20"/>
              </w:rPr>
              <w:t>an initial term that ended in</w:t>
            </w:r>
            <w:r>
              <w:rPr>
                <w:caps w:val="false"/>
                <w:smallCaps w:val="false"/>
              </w:rPr>
              <w:t xml:space="preserve"> </w:t>
            </w:r>
            <w:r>
              <w:rPr>
                <w:rFonts w:ascii="Arial;Helvetica;sans-serif" w:hAnsi="Arial;Helvetica;sans-serif"/>
                <w:b w:val="false"/>
                <w:i w:val="false"/>
                <w:caps w:val="false"/>
                <w:smallCaps w:val="false"/>
                <w:sz w:val="20"/>
              </w:rPr>
              <w:t>August 2022 and renewal options ending in August 2034 at the following locations: Monee, Illinois and Spokane, Washington. In March 2024, EchoStar provided a termination notice for one of the Spokane, Washington agreements, effective April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Effective January 2022 for an initial term ending December 2026 and renewal options ending in December 2038 at the following location:</w:t>
            </w:r>
            <w:r>
              <w:rPr>
                <w:caps w:val="false"/>
                <w:smallCaps w:val="false"/>
              </w:rPr>
              <w:t xml:space="preserve"> </w:t>
            </w:r>
            <w:r>
              <w:rPr>
                <w:rFonts w:ascii="Arial;Helvetica;sans-serif" w:hAnsi="Arial;Helvetica;sans-serif"/>
                <w:b w:val="false"/>
                <w:i w:val="false"/>
                <w:caps w:val="false"/>
                <w:smallCaps w:val="false"/>
                <w:sz w:val="20"/>
              </w:rPr>
              <w:t xml:space="preserve">Englewood, Colorado.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val="false"/>
                <w:caps w:val="false"/>
                <w:smallCaps w:val="false"/>
                <w:sz w:val="20"/>
              </w:rPr>
              <w:t>Effective October 2020 with renewal options ending in October 2037</w:t>
            </w:r>
            <w:r>
              <w:rPr>
                <w:caps w:val="false"/>
                <w:smallCaps w:val="false"/>
              </w:rPr>
              <w:t xml:space="preserve"> </w:t>
            </w:r>
            <w:r>
              <w:rPr>
                <w:rFonts w:ascii="Arial;Helvetica;sans-serif" w:hAnsi="Arial;Helvetica;sans-serif"/>
                <w:b w:val="false"/>
                <w:i w:val="false"/>
                <w:caps w:val="false"/>
                <w:smallCaps w:val="false"/>
                <w:sz w:val="20"/>
              </w:rPr>
              <w:t>at the following location:</w:t>
            </w:r>
            <w:r>
              <w:rPr>
                <w:caps w:val="false"/>
                <w:smallCaps w:val="false"/>
              </w:rPr>
              <w:t xml:space="preserve"> </w:t>
            </w:r>
            <w:r>
              <w:rPr>
                <w:rFonts w:ascii="Arial;Helvetica;sans-serif" w:hAnsi="Arial;Helvetica;sans-serif"/>
                <w:b w:val="false"/>
                <w:i w:val="false"/>
                <w:caps w:val="false"/>
                <w:smallCaps w:val="false"/>
                <w:sz w:val="20"/>
              </w:rPr>
              <w:t xml:space="preserve">Cheyenne, Wyoming. </w:t>
            </w:r>
          </w:p>
        </w:tc>
      </w:tr>
    </w:tbl>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r>
        <w:rPr>
          <w:rFonts w:ascii="Arial;Helvetica;sans-serif" w:hAnsi="Arial;Helvetica;sans-serif"/>
          <w:b/>
          <w:i/>
          <w:spacing w:val="-2"/>
          <w:sz w:val="20"/>
        </w:rPr>
        <w:t>Cost of services”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During the three months ended September 30, 2025 and 2024, we incurred $3</w:t>
      </w:r>
      <w:r>
        <w:rPr>
          <w:rFonts w:ascii="Times New Roman;Times;serif" w:hAnsi="Times New Roman;Times;serif"/>
          <w:spacing w:val="-2"/>
          <w:sz w:val="18"/>
        </w:rPr>
        <w:t xml:space="preserve"> </w:t>
      </w:r>
      <w:r>
        <w:rPr>
          <w:rFonts w:ascii="Arial;Helvetica;sans-serif" w:hAnsi="Arial;Helvetica;sans-serif"/>
          <w:spacing w:val="-2"/>
          <w:sz w:val="20"/>
        </w:rPr>
        <w:t>million and $1</w:t>
      </w:r>
      <w:r>
        <w:rPr>
          <w:rFonts w:ascii="Times New Roman;Times;serif" w:hAnsi="Times New Roman;Times;serif"/>
          <w:spacing w:val="-2"/>
          <w:sz w:val="18"/>
        </w:rPr>
        <w:t xml:space="preserve"> </w:t>
      </w:r>
      <w:r>
        <w:rPr>
          <w:rFonts w:ascii="Arial;Helvetica;sans-serif" w:hAnsi="Arial;Helvetica;sans-serif"/>
          <w:spacing w:val="-2"/>
          <w:sz w:val="20"/>
        </w:rPr>
        <w:t>million, respectively, of costs for services provided to us by EchoStar. During the nine months ended September 30, 2025 and 2024, we incurred $5</w:t>
      </w:r>
      <w:r>
        <w:rPr>
          <w:rFonts w:ascii="Times New Roman;Times;serif" w:hAnsi="Times New Roman;Times;serif"/>
          <w:spacing w:val="-2"/>
          <w:sz w:val="18"/>
        </w:rPr>
        <w:t xml:space="preserve"> </w:t>
      </w:r>
      <w:r>
        <w:rPr>
          <w:rFonts w:ascii="Arial;Helvetica;sans-serif" w:hAnsi="Arial;Helvetica;sans-serif"/>
          <w:spacing w:val="-2"/>
          <w:sz w:val="20"/>
        </w:rPr>
        <w:t>million and $3</w:t>
      </w:r>
      <w:r>
        <w:rPr>
          <w:rFonts w:ascii="Times New Roman;Times;serif" w:hAnsi="Times New Roman;Times;serif"/>
          <w:spacing w:val="-2"/>
          <w:sz w:val="18"/>
        </w:rPr>
        <w:t xml:space="preserve"> </w:t>
      </w:r>
      <w:r>
        <w:rPr>
          <w:rFonts w:ascii="Arial;Helvetica;sans-serif" w:hAnsi="Arial;Helvetica;sans-serif"/>
          <w:spacing w:val="-2"/>
          <w:sz w:val="20"/>
        </w:rPr>
        <w:t>million, respectively, of costs for services provided to us by EchoStar. These amounts are recorded in “Cost of services” on our Condensed Consolidated Statements of Operations and Comprehensive Income (Loss). The primary</w:t>
      </w:r>
      <w:r>
        <w:rPr>
          <w:rFonts w:ascii="Times New Roman;Times;serif" w:hAnsi="Times New Roman;Times;serif"/>
          <w:spacing w:val="-2"/>
          <w:sz w:val="18"/>
        </w:rPr>
        <w:t xml:space="preserve"> </w:t>
      </w:r>
      <w:r>
        <w:rPr>
          <w:rFonts w:ascii="Arial;Helvetica;sans-serif" w:hAnsi="Arial;Helvetica;sans-serif"/>
          <w:spacing w:val="-2"/>
          <w:sz w:val="20"/>
        </w:rPr>
        <w:t>agreements pertaining to these expenses are discussed below.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Spectrum Manager Lease Agreement</w:t>
      </w:r>
      <w:r>
        <w:rPr>
          <w:rFonts w:ascii="Arial;Helvetica;sans-serif" w:hAnsi="Arial;Helvetica;sans-serif"/>
          <w:spacing w:val="-2"/>
          <w:sz w:val="20"/>
        </w:rPr>
        <w:t xml:space="preserve">. </w:t>
      </w:r>
      <w:r>
        <w:rPr>
          <w:rFonts w:ascii="Arial;Helvetica;sans-serif" w:hAnsi="Arial;Helvetica;sans-serif"/>
          <w:spacing w:val="-2"/>
          <w:sz w:val="20"/>
          <w:shd w:fill="FFFFFF" w:val="clear"/>
        </w:rPr>
        <w:t>Effective January 10, 2024, we and EchoStar, on behalf of certain wholly-owned subsidiaries, entered into the Spectrum Manager Lease Agreement pursuant to which we have the right to lease the wireless spectrum licenses AWS-4, H-Block, CBRS (3550-3650 MHz), C-Band– </w:t>
      </w:r>
      <w:r>
        <w:rPr>
          <w:rFonts w:ascii="Arial;Helvetica;sans-serif" w:hAnsi="Arial;Helvetica;sans-serif"/>
          <w:spacing w:val="-2"/>
          <w:sz w:val="20"/>
        </w:rPr>
        <w:t>Cheyenne (3.7-3.98 GHz)</w:t>
      </w:r>
      <w:r>
        <w:rPr>
          <w:rFonts w:ascii="Arial;Helvetica;sans-serif" w:hAnsi="Arial;Helvetica;sans-serif"/>
          <w:spacing w:val="-2"/>
          <w:sz w:val="20"/>
          <w:shd w:fill="FFFFFF" w:val="clear"/>
        </w:rPr>
        <w:t xml:space="preserve">, 12GHz (MVDDS), LMDS, 24 GHz, 28 GHz, 37GHz, 39GHz and 47GHz, and 700 MHz for a nominal fee. As a result of the </w:t>
      </w:r>
      <w:r>
        <w:rPr>
          <w:rFonts w:ascii="Arial;Helvetica;sans-serif" w:hAnsi="Arial;Helvetica;sans-serif"/>
          <w:spacing w:val="-2"/>
          <w:sz w:val="20"/>
        </w:rPr>
        <w:t>Wireless Spectrum License Exchange (as defined in Note 9)</w:t>
      </w:r>
      <w:r>
        <w:rPr>
          <w:rFonts w:ascii="Arial;Helvetica;sans-serif" w:hAnsi="Arial;Helvetica;sans-serif"/>
          <w:spacing w:val="-2"/>
          <w:sz w:val="20"/>
          <w:shd w:fill="FFFFFF" w:val="clear"/>
        </w:rPr>
        <w:t xml:space="preserve">, effective March 21, 2025, we amended the Spectrum Manager Lease Agreement pursuant to which we currently have the right to lease wireless spectrum licenses AWS-4, H-Block, 12GHz (MVDDS), CBRS (3550-3650 MHz) and 3.45-3.55 GHz for a nominal fee. </w:t>
      </w:r>
      <w:r>
        <w:rPr>
          <w:rFonts w:ascii="Arial;Helvetica;sans-serif" w:hAnsi="Arial;Helvetica;sans-serif"/>
          <w:spacing w:val="-2"/>
          <w:sz w:val="20"/>
        </w:rPr>
        <w:t xml:space="preserve">Effective August 25, 2025, the AT&amp;T License Purchase Agreement extended to AT&amp;T the right to lease certain 3.45 GHz licenses from us and EchoStar, which AT&amp;T exercised, subject to a short-term spectrum manager lease, at the end of the third quarter of 2025. As a result, we no longer lease the </w:t>
      </w:r>
      <w:r>
        <w:rPr>
          <w:rFonts w:ascii="Arial;Helvetica;sans-serif" w:hAnsi="Arial;Helvetica;sans-serif"/>
          <w:spacing w:val="-2"/>
          <w:sz w:val="20"/>
          <w:shd w:fill="FFFFFF" w:val="clear"/>
        </w:rPr>
        <w:t>3.45-3.55 GHz</w:t>
      </w:r>
      <w:r>
        <w:rPr>
          <w:rFonts w:ascii="Times New Roman;Times;serif" w:hAnsi="Times New Roman;Times;serif"/>
          <w:spacing w:val="-2"/>
          <w:sz w:val="18"/>
        </w:rPr>
        <w:t xml:space="preserve"> </w:t>
      </w:r>
      <w:r>
        <w:rPr>
          <w:rFonts w:ascii="Arial;Helvetica;sans-serif" w:hAnsi="Arial;Helvetica;sans-serif"/>
          <w:spacing w:val="-2"/>
          <w:sz w:val="20"/>
        </w:rPr>
        <w:t xml:space="preserve">wireless spectrum licenses from EchoStar. Under the applicable accounting guidance in Accounting Standards Codification 842, </w:t>
      </w:r>
      <w:r>
        <w:rPr>
          <w:rFonts w:ascii="Arial;Helvetica;sans-serif" w:hAnsi="Arial;Helvetica;sans-serif"/>
          <w:i/>
          <w:spacing w:val="-2"/>
          <w:sz w:val="20"/>
        </w:rPr>
        <w:t>Leases (“ASC 842”)</w:t>
      </w:r>
      <w:r>
        <w:rPr>
          <w:rFonts w:ascii="Arial;Helvetica;sans-serif" w:hAnsi="Arial;Helvetica;sans-serif"/>
          <w:spacing w:val="-2"/>
          <w:sz w:val="20"/>
        </w:rPr>
        <w:t xml:space="preserve">, </w:t>
      </w:r>
      <w:r>
        <w:rPr>
          <w:rFonts w:ascii="Arial;Helvetica;sans-serif" w:hAnsi="Arial;Helvetica;sans-serif"/>
          <w:spacing w:val="-2"/>
          <w:sz w:val="20"/>
          <w:shd w:fill="FFFFFF" w:val="clear"/>
        </w:rPr>
        <w:t>these wireless spectrum licenses are intangible assets, and therefore excluded from the scope of ASC 842 and are not reflected on our Condensed Consolidated Balance Sheets as right-of-use assets and lease liabilities. We have the right to use the wireless spectrum licenses for as long as EchoStar holds the licenses, subject to certain termination provisions.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i/>
          <w:spacing w:val="-2"/>
          <w:sz w:val="20"/>
        </w:rPr>
        <w:t>Hughes Broadband Distribution Agreement</w:t>
      </w:r>
      <w:r>
        <w:rPr>
          <w:rFonts w:ascii="Arial;Helvetica;sans-serif" w:hAnsi="Arial;Helvetica;sans-serif"/>
          <w:spacing w:val="-2"/>
          <w:sz w:val="20"/>
        </w:rPr>
        <w:t xml:space="preserve">. Effective October 2012, </w:t>
      </w:r>
      <w:r>
        <w:rPr>
          <w:rFonts w:ascii="Arial;Helvetica;sans-serif" w:hAnsi="Arial;Helvetica;sans-serif"/>
          <w:spacing w:val="-2"/>
          <w:sz w:val="20"/>
          <w:shd w:fill="FFFFFF" w:val="clear"/>
        </w:rPr>
        <w:t>we and EchoStar</w:t>
      </w:r>
      <w:r>
        <w:rPr>
          <w:rFonts w:ascii="Times New Roman;Times;serif" w:hAnsi="Times New Roman;Times;serif"/>
          <w:spacing w:val="-2"/>
          <w:sz w:val="20"/>
        </w:rPr>
        <w:t xml:space="preserve"> </w:t>
      </w:r>
      <w:r>
        <w:rPr>
          <w:rFonts w:ascii="Arial;Helvetica;sans-serif" w:hAnsi="Arial;Helvetica;sans-serif"/>
          <w:spacing w:val="-2"/>
          <w:sz w:val="20"/>
        </w:rPr>
        <w:t>entered into a Distribution Agreement (the “Distribution Agreement”) pursuant to which we have the right, but not the obligation, to market, sell and distribute the EchoStar satellite Internet service (the “Service”) and to purchase certain broadband equipment from EchoStar to support the sale of the Service</w:t>
      </w:r>
      <w:r>
        <w:rPr>
          <w:rFonts w:ascii="Times New Roman;Times;serif" w:hAnsi="Times New Roman;Times;serif"/>
          <w:spacing w:val="-2"/>
          <w:sz w:val="20"/>
        </w:rPr>
        <w:t xml:space="preserve"> </w:t>
      </w:r>
      <w:r>
        <w:rPr>
          <w:rFonts w:ascii="Arial;Helvetica;sans-serif" w:hAnsi="Arial;Helvetica;sans-serif"/>
          <w:spacing w:val="-2"/>
          <w:sz w:val="20"/>
        </w:rPr>
        <w:t>for an extended initial term that ended March 1, 2024. Thereafter, the Distribution Agreement automatically renews for successive one year</w:t>
      </w:r>
      <w:r>
        <w:rPr>
          <w:rFonts w:ascii="Times New Roman;Times;serif" w:hAnsi="Times New Roman;Times;serif"/>
          <w:spacing w:val="-2"/>
          <w:sz w:val="20"/>
        </w:rPr>
        <w:t xml:space="preserve"> </w:t>
      </w:r>
      <w:r>
        <w:rPr>
          <w:rFonts w:ascii="Arial;Helvetica;sans-serif" w:hAnsi="Arial;Helvetica;sans-serif"/>
          <w:spacing w:val="-2"/>
          <w:sz w:val="20"/>
        </w:rPr>
        <w:t>terms unless either party gives written notice of its intent not to renew to the other party at least 180 days</w:t>
      </w:r>
      <w:r>
        <w:rPr>
          <w:rFonts w:ascii="Times New Roman;Times;serif" w:hAnsi="Times New Roman;Times;serif"/>
          <w:spacing w:val="-2"/>
          <w:sz w:val="20"/>
        </w:rPr>
        <w:t xml:space="preserve"> </w:t>
      </w:r>
      <w:r>
        <w:rPr>
          <w:rFonts w:ascii="Arial;Helvetica;sans-serif" w:hAnsi="Arial;Helvetica;sans-serif"/>
          <w:spacing w:val="-2"/>
          <w:sz w:val="20"/>
        </w:rPr>
        <w:t xml:space="preserve">before the expiration of the then-current term. Upon expiration or termination of the Distribution Agreement, the parties will continue to provide the Service pursuant to the terms and conditions of the Distribution Agreement.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Hughes Equipment and Services Agreement.</w:t>
      </w:r>
      <w:r>
        <w:rPr>
          <w:rFonts w:ascii="Times New Roman;Times;serif" w:hAnsi="Times New Roman;Times;serif"/>
          <w:sz w:val="20"/>
        </w:rPr>
        <w:t xml:space="preserve">  </w:t>
      </w:r>
      <w:r>
        <w:rPr>
          <w:rFonts w:ascii="Arial;Helvetica;sans-serif" w:hAnsi="Arial;Helvetica;sans-serif"/>
          <w:sz w:val="20"/>
        </w:rPr>
        <w:t>In February 2019, we and EchoStar entered into an agreement pursuant to which EchoStar will provide us with satellite Internet service and equipment for the transmission of certain data related to our 5G Network.  This agreement had an initial term that ended February 2024 with automatic renewal for successive one-year</w:t>
      </w:r>
      <w:r>
        <w:rPr>
          <w:rFonts w:ascii="Times New Roman;Times;serif" w:hAnsi="Times New Roman;Times;serif"/>
          <w:sz w:val="20"/>
        </w:rPr>
        <w:t xml:space="preserve"> </w:t>
      </w:r>
      <w:r>
        <w:rPr>
          <w:rFonts w:ascii="Arial;Helvetica;sans-serif" w:hAnsi="Arial;Helvetica;sans-serif"/>
          <w:sz w:val="20"/>
        </w:rPr>
        <w:t>terms unless terminated by us with at least 180 days</w:t>
      </w:r>
      <w:r>
        <w:rPr>
          <w:rFonts w:ascii="Times New Roman;Times;serif" w:hAnsi="Times New Roman;Times;serif"/>
          <w:sz w:val="20"/>
        </w:rPr>
        <w:t xml:space="preserve">’ </w:t>
      </w:r>
      <w:r>
        <w:rPr>
          <w:rFonts w:ascii="Arial;Helvetica;sans-serif" w:hAnsi="Arial;Helvetica;sans-serif"/>
          <w:sz w:val="20"/>
        </w:rPr>
        <w:t>written notice to EchoStar or by EchoStar with at least</w:t>
      </w:r>
      <w:r>
        <w:rPr>
          <w:rFonts w:ascii="Times New Roman;Times;serif" w:hAnsi="Times New Roman;Times;serif"/>
          <w:sz w:val="20"/>
        </w:rPr>
        <w:t xml:space="preserve"> </w:t>
      </w:r>
      <w:r>
        <w:rPr>
          <w:rFonts w:ascii="Arial;Helvetica;sans-serif" w:hAnsi="Arial;Helvetica;sans-serif"/>
          <w:sz w:val="20"/>
        </w:rPr>
        <w:t>365 days</w:t>
      </w:r>
      <w:r>
        <w:rPr>
          <w:rFonts w:ascii="Times New Roman;Times;serif" w:hAnsi="Times New Roman;Times;serif"/>
          <w:sz w:val="20"/>
        </w:rPr>
        <w:t xml:space="preserve">’ </w:t>
      </w:r>
      <w:r>
        <w:rPr>
          <w:rFonts w:ascii="Arial;Helvetica;sans-serif" w:hAnsi="Arial;Helvetica;sans-serif"/>
          <w:sz w:val="20"/>
        </w:rPr>
        <w:t>written</w:t>
      </w:r>
      <w:r>
        <w:rPr>
          <w:rFonts w:ascii="Times New Roman;Times;serif" w:hAnsi="Times New Roman;Times;serif"/>
          <w:sz w:val="20"/>
        </w:rPr>
        <w:t xml:space="preserve"> </w:t>
      </w:r>
      <w:r>
        <w:rPr>
          <w:rFonts w:ascii="Arial;Helvetica;sans-serif" w:hAnsi="Arial;Helvetica;sans-serif"/>
          <w:sz w:val="20"/>
        </w:rPr>
        <w:t>notice to us.</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r>
        <w:rPr>
          <w:rFonts w:ascii="Arial;Helvetica;sans-serif" w:hAnsi="Arial;Helvetica;sans-serif"/>
          <w:b/>
          <w:i/>
          <w:spacing w:val="-2"/>
          <w:sz w:val="20"/>
        </w:rPr>
        <w:t>Selling, general and administrative expenses”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During the three months ended September 30, 2025 and 2024, we incurred $8</w:t>
      </w:r>
      <w:r>
        <w:rPr>
          <w:rFonts w:ascii="Times New Roman;Times;serif" w:hAnsi="Times New Roman;Times;serif"/>
          <w:spacing w:val="-2"/>
          <w:sz w:val="18"/>
        </w:rPr>
        <w:t xml:space="preserve"> </w:t>
      </w:r>
      <w:r>
        <w:rPr>
          <w:rFonts w:ascii="Arial;Helvetica;sans-serif" w:hAnsi="Arial;Helvetica;sans-serif"/>
          <w:spacing w:val="-2"/>
          <w:sz w:val="20"/>
        </w:rPr>
        <w:t>million and $6</w:t>
      </w:r>
      <w:r>
        <w:rPr>
          <w:rFonts w:ascii="Times New Roman;Times;serif" w:hAnsi="Times New Roman;Times;serif"/>
          <w:spacing w:val="-2"/>
          <w:sz w:val="18"/>
        </w:rPr>
        <w:t xml:space="preserve"> </w:t>
      </w:r>
      <w:r>
        <w:rPr>
          <w:rFonts w:ascii="Arial;Helvetica;sans-serif" w:hAnsi="Arial;Helvetica;sans-serif"/>
          <w:spacing w:val="-2"/>
          <w:sz w:val="20"/>
        </w:rPr>
        <w:t>million, respectively, for selling, general and administrative expenses for services provided to us by EchoStar. During the nine months ended September 30, 2025 and 2024, we incurred $24</w:t>
      </w:r>
      <w:r>
        <w:rPr>
          <w:rFonts w:ascii="Times New Roman;Times;serif" w:hAnsi="Times New Roman;Times;serif"/>
          <w:spacing w:val="-2"/>
          <w:sz w:val="18"/>
        </w:rPr>
        <w:t xml:space="preserve"> </w:t>
      </w:r>
      <w:r>
        <w:rPr>
          <w:rFonts w:ascii="Arial;Helvetica;sans-serif" w:hAnsi="Arial;Helvetica;sans-serif"/>
          <w:spacing w:val="-2"/>
          <w:sz w:val="20"/>
        </w:rPr>
        <w:t>million and $17</w:t>
      </w:r>
      <w:r>
        <w:rPr>
          <w:rFonts w:ascii="Times New Roman;Times;serif" w:hAnsi="Times New Roman;Times;serif"/>
          <w:spacing w:val="-2"/>
          <w:sz w:val="18"/>
        </w:rPr>
        <w:t xml:space="preserve"> </w:t>
      </w:r>
      <w:r>
        <w:rPr>
          <w:rFonts w:ascii="Arial;Helvetica;sans-serif" w:hAnsi="Arial;Helvetica;sans-serif"/>
          <w:spacing w:val="-2"/>
          <w:sz w:val="20"/>
        </w:rPr>
        <w:t>million, respectively, for selling, general and administrative expenses for services provided to us by EchoStar. These amounts are recorded in “Selling, general and administrative expenses” on our Condensed Consolidated Statements of Operations and Comprehensive Income (Loss). The primary agreements pertaining to these expenses are discussed below.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Real Estate Lease Agreements. </w:t>
      </w:r>
      <w:r>
        <w:rPr>
          <w:rFonts w:ascii="Arial;Helvetica;sans-serif" w:hAnsi="Arial;Helvetica;sans-serif"/>
          <w:spacing w:val="-2"/>
          <w:sz w:val="20"/>
        </w:rPr>
        <w:t>We have entered into lease agreements pursuant to which we lease certain real estate from EchoStar. The term of each lease is set forth below:</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 xml:space="preserve">Meridian Lease Agreement. </w:t>
            </w:r>
            <w:r>
              <w:rPr>
                <w:rFonts w:ascii="Arial;Helvetica;sans-serif" w:hAnsi="Arial;Helvetica;sans-serif"/>
                <w:b w:val="false"/>
                <w:i w:val="false"/>
                <w:caps w:val="false"/>
                <w:smallCaps w:val="false"/>
                <w:sz w:val="20"/>
              </w:rPr>
              <w:t>We lease all of 9601 S. Meridian Blvd. in Englewood, Colorado. This lease automatically renews on a month-to-month basis unless either party gives written notice of its intent not to renew to the other party.</w:t>
            </w:r>
          </w:p>
        </w:tc>
      </w:tr>
    </w:tbl>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Arial;Helvetica;sans-serif" w:hAnsi="Arial;Helvetica;sans-serif"/>
                <w:b w:val="false"/>
                <w:i/>
                <w:sz w:val="20"/>
              </w:rPr>
              <w:t>100 Inverness Lease Agreement</w:t>
            </w:r>
            <w:r>
              <w:rPr>
                <w:rFonts w:ascii="Arial;Helvetica;sans-serif" w:hAnsi="Arial;Helvetica;sans-serif"/>
                <w:b w:val="false"/>
                <w:i w:val="false"/>
                <w:caps w:val="false"/>
                <w:smallCaps w:val="false"/>
                <w:sz w:val="20"/>
              </w:rPr>
              <w:t>.  Effective March 2017, we leased certain space from EchoStar at 100 Inverness Terrace East, Englewood, Colorado. This lease terminated in August 2024.</w:t>
            </w:r>
          </w:p>
        </w:tc>
      </w:tr>
    </w:tbl>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i/>
          <w:spacing w:val="-2"/>
          <w:sz w:val="20"/>
        </w:rPr>
        <w:t xml:space="preserve">Professional Services Agreement. </w:t>
      </w:r>
      <w:r>
        <w:rPr>
          <w:rFonts w:ascii="Arial;Helvetica;sans-serif" w:hAnsi="Arial;Helvetica;sans-serif"/>
          <w:spacing w:val="-2"/>
          <w:sz w:val="20"/>
        </w:rPr>
        <w:t>Effective January 2010, we and EchoStar entered into the Professional Services Agreement, pursuant to which EchoStar has the right, but not the obligation, to receive the following services from us, among others: information technology, travel and event coordination, internal audit, legal, accounting and tax, benefits administration, program acquisition services and other support services. Additionally, we and EchoStar agreed that we shall continue to have the right, but not the obligation, to engage EchoStar to manage the process of procuring new satellite capacity for us and receive logistics, procurement and quality assurance services from EchoStar and other support services. In February 2017 and in September 2019, we and EchoStar amended the Professional Services Agreement to, among other things, provide certain transition services to each other. The Professional Services Agreement renews automatically for successive one-year</w:t>
      </w:r>
      <w:r>
        <w:rPr>
          <w:rFonts w:ascii="Times New Roman;Times;serif" w:hAnsi="Times New Roman;Times;serif"/>
          <w:spacing w:val="-2"/>
          <w:sz w:val="20"/>
        </w:rPr>
        <w:t xml:space="preserve"> </w:t>
      </w:r>
      <w:r>
        <w:rPr>
          <w:rFonts w:ascii="Arial;Helvetica;sans-serif" w:hAnsi="Arial;Helvetica;sans-serif"/>
          <w:spacing w:val="-2"/>
          <w:sz w:val="20"/>
        </w:rPr>
        <w:t>periods, unless terminated earlier by either party upon at least 60 days</w:t>
      </w:r>
      <w:r>
        <w:rPr>
          <w:rFonts w:ascii="Times New Roman;Times;serif" w:hAnsi="Times New Roman;Times;serif"/>
          <w:spacing w:val="-2"/>
          <w:sz w:val="20"/>
        </w:rPr>
        <w:t xml:space="preserve">’ </w:t>
      </w:r>
      <w:r>
        <w:rPr>
          <w:rFonts w:ascii="Arial;Helvetica;sans-serif" w:hAnsi="Arial;Helvetica;sans-serif"/>
          <w:spacing w:val="-2"/>
          <w:sz w:val="20"/>
        </w:rPr>
        <w:t>notice. However, either party may terminate the Professional Services Agreement in part with respect to any particular service it receives for any reason upon at least 30 days</w:t>
      </w:r>
      <w:r>
        <w:rPr>
          <w:rFonts w:ascii="Times New Roman;Times;serif" w:hAnsi="Times New Roman;Times;serif"/>
          <w:spacing w:val="-2"/>
          <w:sz w:val="20"/>
        </w:rPr>
        <w:t xml:space="preserve">’ </w:t>
      </w:r>
      <w:r>
        <w:rPr>
          <w:rFonts w:ascii="Arial;Helvetica;sans-serif" w:hAnsi="Arial;Helvetica;sans-serif"/>
          <w:spacing w:val="-2"/>
          <w:sz w:val="20"/>
        </w:rPr>
        <w:t xml:space="preserve">notice.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Revenue for services provided by us to EchoStar under the Professional Services Agreement is recorded in “Service revenue” and “Equipment sales and other revenue” on our Condensed Consolidated Statements of Operations and Comprehensive Income (Loss).</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Other Agreements – EchoStar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 xml:space="preserve">Tax Sharing Agreement. </w:t>
      </w:r>
      <w:r>
        <w:rPr>
          <w:rFonts w:ascii="Arial;Helvetica;sans-serif" w:hAnsi="Arial;Helvetica;sans-serif"/>
          <w:spacing w:val="-2"/>
          <w:sz w:val="20"/>
        </w:rPr>
        <w:t xml:space="preserve">We entered into a tax sharing agreement (the “Tax Sharing Agreement”) with EchoStar which governs our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us, and we will indemnify EchoStar for such taxes. However, we are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EchoStar’s stock, stock options or assets; (ii) any action that EchoStar takes or fails to take; or (iii) any action that EchoStar takes that is inconsistent with the information and representations furnished to the Internal Revenue Service (“IRS”) in connection with the request for the private letter ruling, or to counsel in connection with any opinion being delivered by counsel with respect to the Spin-off or certain related transactions. In such case, EchoStar is solely liable for, and will indemnify us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In light of the Tax Sharing Agreement, among other things, and in connection with our consolidated federal income tax returns for certain tax years prior to and for the year of the Spin-off, during 2013, we and EchoStar agreed upon a supplemental allocation of the tax benefits arising from certain tax items resolved in the course of the IRS’ examination of these consolidated tax returns. As a result, we agreed to pay EchoStar $82</w:t>
      </w:r>
      <w:r>
        <w:rPr>
          <w:rFonts w:ascii="Times New Roman;Times;serif" w:hAnsi="Times New Roman;Times;serif"/>
          <w:spacing w:val="-2"/>
          <w:sz w:val="18"/>
        </w:rPr>
        <w:t xml:space="preserve"> </w:t>
      </w:r>
      <w:r>
        <w:rPr>
          <w:rFonts w:ascii="Arial;Helvetica;sans-serif" w:hAnsi="Arial;Helvetica;sans-serif"/>
          <w:spacing w:val="-2"/>
          <w:sz w:val="20"/>
        </w:rPr>
        <w:t>million of the tax benefit we received or will receive. Any payment to EchoStar, including accrued interest, will be made at such time as EchoStar would have otherwise been able to realize such tax benefit. As of September 30, 2025, we have paid $13</w:t>
      </w:r>
      <w:r>
        <w:rPr>
          <w:rFonts w:ascii="Times New Roman;Times;serif" w:hAnsi="Times New Roman;Times;serif"/>
          <w:spacing w:val="-2"/>
          <w:sz w:val="18"/>
        </w:rPr>
        <w:t> </w:t>
      </w:r>
      <w:r>
        <w:rPr>
          <w:rFonts w:ascii="Arial;Helvetica;sans-serif" w:hAnsi="Arial;Helvetica;sans-serif"/>
          <w:spacing w:val="-2"/>
          <w:sz w:val="20"/>
        </w:rPr>
        <w:t>million of the tax benefit received, leaving $69</w:t>
      </w:r>
      <w:r>
        <w:rPr>
          <w:rFonts w:ascii="Times New Roman;Times;serif" w:hAnsi="Times New Roman;Times;serif"/>
          <w:spacing w:val="-2"/>
          <w:sz w:val="18"/>
        </w:rPr>
        <w:t xml:space="preserve"> </w:t>
      </w:r>
      <w:r>
        <w:rPr>
          <w:rFonts w:ascii="Arial;Helvetica;sans-serif" w:hAnsi="Arial;Helvetica;sans-serif"/>
          <w:spacing w:val="-2"/>
          <w:sz w:val="20"/>
        </w:rPr>
        <w:t>million remaining to be paid.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During the third quarter of 2018, we and EchoStar amended the Tax Sharing Agreement and the 2013 agreements (the “Amendment”). Under the Amendment, among other things, we are entitled to apply the benefit of EchoStar’s 2009 net operating losses to our federal tax return for the year ended December 31, 2008, in exchange for paying EchoStar over time the value of the net annual federal income taxes paid by EchoStar that would have been otherwise offset by their 2009 net operating loss.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Patent Cross-License Agreements</w:t>
      </w:r>
      <w:r>
        <w:rPr>
          <w:rFonts w:ascii="Arial;Helvetica;sans-serif" w:hAnsi="Arial;Helvetica;sans-serif"/>
          <w:spacing w:val="-2"/>
          <w:sz w:val="20"/>
        </w:rPr>
        <w:t>. In December 2011, we and EchoStar entered into separate patent cross-license agreements with the same third-party whereby: (i) EchoStar and such third-party licensed their respective patents to each other subject to certain conditions; and (ii) we and such third-party licensed our respective patents to each other subject to certain conditions (each, a “Cross-License Agreement”). Each Cross License Agreement covers patents acquired by the respective party prior to January 1, 2017 and aggregate payments under both Cross-License Agreements total less than $10</w:t>
      </w:r>
      <w:r>
        <w:rPr>
          <w:rFonts w:ascii="Times New Roman;Times;serif" w:hAnsi="Times New Roman;Times;serif"/>
          <w:spacing w:val="-2"/>
          <w:sz w:val="18"/>
        </w:rPr>
        <w:t xml:space="preserve"> </w:t>
      </w:r>
      <w:r>
        <w:rPr>
          <w:rFonts w:ascii="Arial;Helvetica;sans-serif" w:hAnsi="Arial;Helvetica;sans-serif"/>
          <w:spacing w:val="-2"/>
          <w:sz w:val="20"/>
        </w:rPr>
        <w:t xml:space="preserve">million. In December 2016, we and EchoStar independently exercised our respective options to extend each Cross-License Agreement to include patents acquired by the respective party prior to January 1, 2022.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i/>
          <w:spacing w:val="-2"/>
          <w:sz w:val="20"/>
        </w:rPr>
        <w:t>Rovi License Agreement.</w:t>
      </w:r>
      <w:r>
        <w:rPr>
          <w:rFonts w:ascii="Times New Roman;Times;serif" w:hAnsi="Times New Roman;Times;serif"/>
          <w:spacing w:val="-2"/>
          <w:sz w:val="20"/>
        </w:rPr>
        <w:t xml:space="preserve">  </w:t>
      </w:r>
      <w:r>
        <w:rPr>
          <w:rFonts w:ascii="Arial;Helvetica;sans-serif" w:hAnsi="Arial;Helvetica;sans-serif"/>
          <w:spacing w:val="-2"/>
          <w:sz w:val="20"/>
        </w:rPr>
        <w:t>On August 19, 2016, we entered into a ten-year</w:t>
      </w:r>
      <w:r>
        <w:rPr>
          <w:rFonts w:ascii="Times New Roman;Times;serif" w:hAnsi="Times New Roman;Times;serif"/>
          <w:spacing w:val="-2"/>
          <w:sz w:val="20"/>
        </w:rPr>
        <w:t xml:space="preserve"> </w:t>
      </w:r>
      <w:r>
        <w:rPr>
          <w:rFonts w:ascii="Arial;Helvetica;sans-serif" w:hAnsi="Arial;Helvetica;sans-serif"/>
          <w:spacing w:val="-2"/>
          <w:sz w:val="20"/>
        </w:rPr>
        <w:t>patent license agreement (the “Rovi License Agreement”) with Rovi Corporation (“Rovi”) and, for certain limited purposes, EchoStar.  EchoStar is a party to the Rovi License Agreement solely with respect to certain provisions relating to the prior patent license agreement between EchoStar and Rovi.  There are no</w:t>
      </w:r>
      <w:r>
        <w:rPr>
          <w:rFonts w:ascii="Times New Roman;Times;serif" w:hAnsi="Times New Roman;Times;serif"/>
          <w:spacing w:val="-2"/>
          <w:sz w:val="20"/>
        </w:rPr>
        <w:t xml:space="preserve"> </w:t>
      </w:r>
      <w:r>
        <w:rPr>
          <w:rFonts w:ascii="Arial;Helvetica;sans-serif" w:hAnsi="Arial;Helvetica;sans-serif"/>
          <w:spacing w:val="-2"/>
          <w:sz w:val="20"/>
        </w:rPr>
        <w:t xml:space="preserve">payments between us and EchoStar under the Rovi License Agreement.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20"/>
        </w:rPr>
      </w:pPr>
      <w:r>
        <w:rPr>
          <w:rFonts w:ascii="Arial;Helvetica;sans-serif" w:hAnsi="Arial;Helvetica;sans-serif"/>
          <w:i/>
          <w:spacing w:val="-2"/>
          <w:sz w:val="20"/>
        </w:rPr>
        <w:t>Hughes Broadband Master Services Agreement.</w:t>
      </w:r>
      <w:r>
        <w:rPr>
          <w:rFonts w:ascii="Times New Roman;Times;serif" w:hAnsi="Times New Roman;Times;serif"/>
          <w:spacing w:val="-2"/>
          <w:sz w:val="20"/>
        </w:rPr>
        <w:t xml:space="preserve">  </w:t>
      </w:r>
      <w:r>
        <w:rPr>
          <w:rFonts w:ascii="Arial;Helvetica;sans-serif" w:hAnsi="Arial;Helvetica;sans-serif"/>
          <w:spacing w:val="-2"/>
          <w:sz w:val="20"/>
        </w:rPr>
        <w:t>In March 2017, we and EchoStar entered into the Master Services Agreement (“MSA”) pursuant to which we, among other things: (i) have the right, but not the obligation, to market, promote and solicit orders for the EchoStar satellite Internet service</w:t>
      </w:r>
      <w:r>
        <w:rPr>
          <w:rFonts w:ascii="Times New Roman;Times;serif" w:hAnsi="Times New Roman;Times;serif"/>
          <w:spacing w:val="-2"/>
          <w:sz w:val="20"/>
        </w:rPr>
        <w:t> </w:t>
      </w:r>
      <w:r>
        <w:rPr>
          <w:rFonts w:ascii="Arial;Helvetica;sans-serif" w:hAnsi="Arial;Helvetica;sans-serif"/>
          <w:spacing w:val="-2"/>
          <w:sz w:val="20"/>
        </w:rPr>
        <w:t>and related equipment; and (ii) install service equipment with respect to activations we generate. Payments from EchoStar for services provided are recorded in “Service revenue”</w:t>
      </w:r>
      <w:r>
        <w:rPr>
          <w:rFonts w:ascii="Times New Roman;Times;serif" w:hAnsi="Times New Roman;Times;serif"/>
          <w:spacing w:val="-2"/>
          <w:sz w:val="20"/>
        </w:rPr>
        <w:t xml:space="preserve"> </w:t>
      </w:r>
      <w:r>
        <w:rPr>
          <w:rFonts w:ascii="Arial;Helvetica;sans-serif" w:hAnsi="Arial;Helvetica;sans-serif"/>
          <w:spacing w:val="-2"/>
          <w:sz w:val="20"/>
        </w:rPr>
        <w:t>on our Condensed Consolidated Statements of Operations and Comprehensive Income (Loss). For the three months ended September 30, 2025 and 2024, these payments were $1</w:t>
      </w:r>
      <w:r>
        <w:rPr>
          <w:rFonts w:ascii="Times New Roman;Times;serif" w:hAnsi="Times New Roman;Times;serif"/>
          <w:spacing w:val="-2"/>
          <w:sz w:val="20"/>
        </w:rPr>
        <w:t xml:space="preserve"> </w:t>
      </w:r>
      <w:r>
        <w:rPr>
          <w:rFonts w:ascii="Arial;Helvetica;sans-serif" w:hAnsi="Arial;Helvetica;sans-serif"/>
          <w:spacing w:val="-2"/>
          <w:sz w:val="20"/>
        </w:rPr>
        <w:t>million and less than $1</w:t>
      </w:r>
      <w:r>
        <w:rPr>
          <w:rFonts w:ascii="Times New Roman;Times;serif" w:hAnsi="Times New Roman;Times;serif"/>
          <w:spacing w:val="-2"/>
          <w:sz w:val="20"/>
        </w:rPr>
        <w:t xml:space="preserve"> </w:t>
      </w:r>
      <w:r>
        <w:rPr>
          <w:rFonts w:ascii="Arial;Helvetica;sans-serif" w:hAnsi="Arial;Helvetica;sans-serif"/>
          <w:spacing w:val="-2"/>
          <w:sz w:val="20"/>
        </w:rPr>
        <w:t>million, respectively. For the nine months ended September 30, 2025 and 2024, these payments were $3</w:t>
      </w:r>
      <w:r>
        <w:rPr>
          <w:rFonts w:ascii="Times New Roman;Times;serif" w:hAnsi="Times New Roman;Times;serif"/>
          <w:spacing w:val="-2"/>
          <w:sz w:val="20"/>
        </w:rPr>
        <w:t xml:space="preserve"> </w:t>
      </w:r>
      <w:r>
        <w:rPr>
          <w:rFonts w:ascii="Arial;Helvetica;sans-serif" w:hAnsi="Arial;Helvetica;sans-serif"/>
          <w:spacing w:val="-2"/>
          <w:sz w:val="20"/>
        </w:rPr>
        <w:t>million and $1</w:t>
      </w:r>
      <w:r>
        <w:rPr>
          <w:rFonts w:ascii="Times New Roman;Times;serif" w:hAnsi="Times New Roman;Times;serif"/>
          <w:spacing w:val="-2"/>
          <w:sz w:val="20"/>
        </w:rPr>
        <w:t xml:space="preserve"> </w:t>
      </w:r>
      <w:r>
        <w:rPr>
          <w:rFonts w:ascii="Arial;Helvetica;sans-serif" w:hAnsi="Arial;Helvetica;sans-serif"/>
          <w:spacing w:val="-2"/>
          <w:sz w:val="20"/>
        </w:rPr>
        <w:t>million, respectively. The MSA had an initial term that ended March 2022 with</w:t>
      </w:r>
      <w:r>
        <w:rPr>
          <w:rFonts w:ascii="Times New Roman;Times;serif" w:hAnsi="Times New Roman;Times;serif"/>
          <w:spacing w:val="-2"/>
          <w:sz w:val="20"/>
        </w:rPr>
        <w:t xml:space="preserve"> </w:t>
      </w:r>
      <w:r>
        <w:rPr>
          <w:rFonts w:ascii="Arial;Helvetica;sans-serif" w:hAnsi="Arial;Helvetica;sans-serif"/>
          <w:spacing w:val="-2"/>
          <w:sz w:val="20"/>
        </w:rPr>
        <w:t>automatic renewal for successive one-year</w:t>
      </w:r>
      <w:r>
        <w:rPr>
          <w:rFonts w:ascii="Times New Roman;Times;serif" w:hAnsi="Times New Roman;Times;serif"/>
          <w:spacing w:val="-2"/>
          <w:sz w:val="20"/>
        </w:rPr>
        <w:t xml:space="preserve"> </w:t>
      </w:r>
      <w:r>
        <w:rPr>
          <w:rFonts w:ascii="Arial;Helvetica;sans-serif" w:hAnsi="Arial;Helvetica;sans-serif"/>
          <w:spacing w:val="-2"/>
          <w:sz w:val="20"/>
        </w:rPr>
        <w:t>terms. Either party has the ability to terminate the MSA, in whole or in part, for any reason upon at least 90 days</w:t>
      </w:r>
      <w:r>
        <w:rPr>
          <w:rFonts w:ascii="Times New Roman;Times;serif" w:hAnsi="Times New Roman;Times;serif"/>
          <w:spacing w:val="-2"/>
          <w:sz w:val="20"/>
        </w:rPr>
        <w:t xml:space="preserve">’ </w:t>
      </w:r>
      <w:r>
        <w:rPr>
          <w:rFonts w:ascii="Arial;Helvetica;sans-serif" w:hAnsi="Arial;Helvetica;sans-serif"/>
          <w:spacing w:val="-2"/>
          <w:sz w:val="20"/>
        </w:rPr>
        <w:t>notice to the other party. </w:t>
      </w:r>
      <w:r>
        <w:rPr>
          <w:rFonts w:ascii="Times New Roman;Times;serif" w:hAnsi="Times New Roman;Times;serif"/>
          <w:spacing w:val="-2"/>
          <w:sz w:val="20"/>
        </w:rPr>
        <w:t xml:space="preserve"> </w:t>
      </w:r>
      <w:r>
        <w:rPr>
          <w:rFonts w:ascii="Arial;Helvetica;sans-serif" w:hAnsi="Arial;Helvetica;sans-serif"/>
          <w:spacing w:val="-2"/>
          <w:sz w:val="20"/>
        </w:rPr>
        <w:t>Upon expiration or termination of the MSA, EchoStar will continue to provide the satellite Internet service to subscribers and make certain payments to us pursuant to the terms and conditions of the MSA. For each of the three months ended September 30, 2025 and 2024, we purchased zero</w:t>
      </w:r>
      <w:r>
        <w:rPr>
          <w:rFonts w:ascii="Times New Roman;Times;serif" w:hAnsi="Times New Roman;Times;serif"/>
          <w:spacing w:val="-2"/>
          <w:sz w:val="20"/>
        </w:rPr>
        <w:t xml:space="preserve"> </w:t>
      </w:r>
      <w:r>
        <w:rPr>
          <w:rFonts w:ascii="Arial;Helvetica;sans-serif" w:hAnsi="Arial;Helvetica;sans-serif"/>
          <w:spacing w:val="-2"/>
          <w:sz w:val="20"/>
        </w:rPr>
        <w:t xml:space="preserve">broadband equipment from EchoStar under the MSA.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Intellectual Property and Technology License Agreement – Share Exchange</w:t>
      </w:r>
      <w:r>
        <w:rPr>
          <w:rFonts w:ascii="Arial;Helvetica;sans-serif" w:hAnsi="Arial;Helvetica;sans-serif"/>
          <w:spacing w:val="-2"/>
          <w:sz w:val="20"/>
        </w:rPr>
        <w:t>.  Effective March 1, 2017, we and EchoStar entered into an Intellectual Property and Technology License Agreement (“IPTLA”), pursuant to which we and EchoStar license to each other certain intellectual property and technology.  The IPTLA will continue in perpetuity, unless mutually terminated by the parties.  Pursuant to the IPTLA, EchoStar granted to us a license to its intellectual property and technology for use by us, among other things, in connection with our continued operation of the Transferred Businesses acquired pursuant to the Share Exchange Agreement, including a limited license to use the “ECHOSTAR” trademark during a transition period.  EchoStar retains full ownership of the “ECHOSTAR” trademark. </w:t>
      </w:r>
      <w:r>
        <w:rPr>
          <w:rFonts w:ascii="Times New Roman;Times;serif" w:hAnsi="Times New Roman;Times;serif"/>
          <w:spacing w:val="-2"/>
          <w:sz w:val="18"/>
        </w:rPr>
        <w:t xml:space="preserve"> </w:t>
      </w:r>
      <w:r>
        <w:rPr>
          <w:rFonts w:ascii="Arial;Helvetica;sans-serif" w:hAnsi="Arial;Helvetica;sans-serif"/>
          <w:spacing w:val="-2"/>
          <w:sz w:val="20"/>
        </w:rPr>
        <w:t xml:space="preserve">In addition, we granted a license back to EchoStar, among other things, for the continued use of all intellectual property and technology transferred to us pursuant to the Share Exchange Agreement that is used in EchoStar’s retained businesses.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i/>
          <w:spacing w:val="-2"/>
          <w:sz w:val="20"/>
        </w:rPr>
        <w:t>Intellectual Property and Technology License Agreement – Master Transaction Agreement</w:t>
      </w:r>
      <w:r>
        <w:rPr>
          <w:rFonts w:ascii="Arial;Helvetica;sans-serif" w:hAnsi="Arial;Helvetica;sans-serif"/>
          <w:spacing w:val="-2"/>
          <w:sz w:val="20"/>
        </w:rPr>
        <w:t>.  Effective September 10, 2019, we and EchoStar entered into an IPTLA (the “MTA IPTLA”), pursuant to which we and EchoStar license to each other certain intellectual property and technology.  The MTA IPTLA will continue in perpetuity, unless mutually terminated by the parties.  Pursuant to the MTA IPTLA, EchoStar granted to us a license to its intellectual property and technology for use by us, among other things, in connection with our continued operation of the BSS Business acquired pursuant to the Master Transaction Agreement, including a limited license to use the “ESS” and “ECHOSTAR SATELLITE SERVICES” trademarks during a transition period.  EchoStar retains full ownership of the “ESS” and “ECHOSTAR SATELLITE SERVICES” trademarks. </w:t>
      </w:r>
      <w:r>
        <w:rPr>
          <w:rFonts w:ascii="Times New Roman;Times;serif" w:hAnsi="Times New Roman;Times;serif"/>
          <w:spacing w:val="-2"/>
          <w:sz w:val="18"/>
        </w:rPr>
        <w:t xml:space="preserve"> </w:t>
      </w:r>
      <w:r>
        <w:rPr>
          <w:rFonts w:ascii="Arial;Helvetica;sans-serif" w:hAnsi="Arial;Helvetica;sans-serif"/>
          <w:spacing w:val="-2"/>
          <w:sz w:val="20"/>
        </w:rPr>
        <w:t xml:space="preserve">In addition, we granted a license back to EchoStar, among other things, for the continued use of all intellectual property and technology transferred to us pursuant to the Master Transaction Agreement that is used in EchoStar’s retained businesses.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left"/>
        <w:rPr>
          <w:spacing w:val="-2"/>
        </w:rPr>
      </w:pPr>
      <w:bookmarkStart w:id="1836" w:name="Tc_cKo-Jg5k-0q8bjPYXijtqA_14_5"/>
      <w:bookmarkStart w:id="1837" w:name="Tc_3sxogwoIIU-sT9GnvrKqiw_14_2"/>
      <w:bookmarkStart w:id="1838" w:name="Tc_NDIYTmA2MkqwmKXJGuJoUw_14_0"/>
      <w:bookmarkStart w:id="1839" w:name="Tc_14TmH5zl30qYkbKx3g7DJg_13_5"/>
      <w:bookmarkStart w:id="1840" w:name="Tc_YnIXAvWWKUa_Q6o-26oQjA_13_2"/>
      <w:bookmarkStart w:id="1841" w:name="Tc_LAqHcQVEmEu2oNlv_anIgA_13_0"/>
      <w:bookmarkStart w:id="1842" w:name="Tc_b6htESyRy0CtAq33JBIkSA_12_0"/>
      <w:bookmarkStart w:id="1843" w:name="Tc_FxTKpZCDK0uH8HzebYjuqw_11_2"/>
      <w:bookmarkStart w:id="1844" w:name="Tc_-yJRmq317Uy13XYkUJenqA_10_5"/>
      <w:bookmarkStart w:id="1845" w:name="Tc_80REGaG5B0SFdRKGnhZH8g_10_2"/>
      <w:bookmarkStart w:id="1846" w:name="Tc_jhzZNmoGS0yKnEPTKqqykw_9_5"/>
      <w:bookmarkStart w:id="1847" w:name="Tc_XRBXK4jHl0qNI3yieTv6RQ_9_2"/>
      <w:bookmarkStart w:id="1848" w:name="Tc_u7IiEK4gQUKNZR2K6wa-Bw_8_2"/>
      <w:bookmarkStart w:id="1849" w:name="Tc_Z6cefpzaC0mMsykCkmOZFg_6_11"/>
      <w:bookmarkStart w:id="1850" w:name="Tc_5Diuh2lpLEKdJS7Mk0VRbg_6_8"/>
      <w:bookmarkStart w:id="1851" w:name="Tc_M05ZhNFMYkC30kmxO8EEKA_6_5"/>
      <w:bookmarkStart w:id="1852" w:name="Tc_np4UxRXgd0CMVlf3XUAUdQ_6_2"/>
      <w:bookmarkStart w:id="1853" w:name="Tc_09IbakT2HU2fA2maIymW0g_6_0"/>
      <w:bookmarkStart w:id="1854" w:name="Tc_hT4_y4xkd0mq1wqbtlAf6g_5_0"/>
      <w:bookmarkStart w:id="1855" w:name="Tc_uS3B2TpvdEmoyEEetTFovQ_4_2"/>
      <w:bookmarkStart w:id="1856" w:name="Tc_9E1uYXxFb0SyG43Wzk0Qvg_3_11"/>
      <w:bookmarkStart w:id="1857" w:name="Tc_FEVOCvLChk6Lojo3vddfYw_3_8"/>
      <w:bookmarkStart w:id="1858" w:name="Tc_dOJxAKeW6kiKIJ9FrjjzVg_3_5"/>
      <w:bookmarkStart w:id="1859" w:name="Tc_D1tmIxfgMkOP4Q7oG4X6rw_3_2"/>
      <w:bookmarkStart w:id="1860" w:name="Tc_OCpqYdNtH0mihHrk48OEpw_2_8"/>
      <w:bookmarkStart w:id="1861" w:name="Tc_PrE2RyAdmkGCQa-XZ-xW2w_2_2"/>
      <w:bookmarkStart w:id="1862" w:name="Tc_D1Qa41StSUuwcQdrd-aaCQ_1_8"/>
      <w:bookmarkStart w:id="1863" w:name="Tc_FsfgDftnDEOczI1lMim4HA_1_2"/>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Related Party Transactions with CONX Corp.</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20"/>
        </w:rPr>
      </w:pPr>
      <w:r>
        <w:rPr>
          <w:rFonts w:ascii="Arial;Helvetica;sans-serif" w:hAnsi="Arial;Helvetica;sans-serif"/>
          <w:spacing w:val="-2"/>
          <w:sz w:val="20"/>
        </w:rPr>
        <w:t>CONX Corp. (“CONX”) is an entity partially owned by Charles W. Ergen, our Chairman. On May 1, 2024, we entered into an agreement to lease a commercial real estate property in Littleton, Colorado, comprising the corporate headquarters of DISH Wireless, from CONX for an initial 10 year</w:t>
      </w:r>
      <w:r>
        <w:rPr>
          <w:rFonts w:ascii="Times New Roman;Times;serif" w:hAnsi="Times New Roman;Times;serif"/>
          <w:spacing w:val="-2"/>
          <w:sz w:val="20"/>
        </w:rPr>
        <w:t xml:space="preserve"> </w:t>
      </w:r>
      <w:r>
        <w:rPr>
          <w:rFonts w:ascii="Arial;Helvetica;sans-serif" w:hAnsi="Arial;Helvetica;sans-serif"/>
          <w:spacing w:val="-2"/>
          <w:sz w:val="20"/>
        </w:rPr>
        <w:t>term. During the three months ended September 30, 2025 and 2024, we recorded less than $1</w:t>
      </w:r>
      <w:r>
        <w:rPr>
          <w:rFonts w:ascii="Times New Roman;Times;serif" w:hAnsi="Times New Roman;Times;serif"/>
          <w:spacing w:val="-2"/>
          <w:sz w:val="20"/>
        </w:rPr>
        <w:t xml:space="preserve"> </w:t>
      </w:r>
      <w:r>
        <w:rPr>
          <w:rFonts w:ascii="Arial;Helvetica;sans-serif" w:hAnsi="Arial;Helvetica;sans-serif"/>
          <w:spacing w:val="-2"/>
          <w:sz w:val="20"/>
        </w:rPr>
        <w:t>million and $1</w:t>
      </w:r>
      <w:r>
        <w:rPr>
          <w:rFonts w:ascii="Times New Roman;Times;serif" w:hAnsi="Times New Roman;Times;serif"/>
          <w:spacing w:val="-2"/>
          <w:sz w:val="20"/>
        </w:rPr>
        <w:t xml:space="preserve"> </w:t>
      </w:r>
      <w:r>
        <w:rPr>
          <w:rFonts w:ascii="Arial;Helvetica;sans-serif" w:hAnsi="Arial;Helvetica;sans-serif"/>
          <w:spacing w:val="-2"/>
          <w:sz w:val="20"/>
        </w:rPr>
        <w:t>million, respectively, for this lease in “Selling, general and administrative expenses” on our Condensed Consolidated Statements of Operations and Comprehensive Income (Loss). During the nine months ended September 30, 2025 and 2024, we recorded $2</w:t>
      </w:r>
      <w:r>
        <w:rPr>
          <w:rFonts w:ascii="Times New Roman;Times;serif" w:hAnsi="Times New Roman;Times;serif"/>
          <w:spacing w:val="-2"/>
          <w:sz w:val="20"/>
        </w:rPr>
        <w:t xml:space="preserve"> </w:t>
      </w:r>
      <w:r>
        <w:rPr>
          <w:rFonts w:ascii="Arial;Helvetica;sans-serif" w:hAnsi="Arial;Helvetica;sans-serif"/>
          <w:spacing w:val="-2"/>
          <w:sz w:val="20"/>
        </w:rPr>
        <w:t>million and $1</w:t>
      </w:r>
      <w:r>
        <w:rPr>
          <w:rFonts w:ascii="Times New Roman;Times;serif" w:hAnsi="Times New Roman;Times;serif"/>
          <w:spacing w:val="-2"/>
          <w:sz w:val="20"/>
        </w:rPr>
        <w:t xml:space="preserve"> </w:t>
      </w:r>
      <w:r>
        <w:rPr>
          <w:rFonts w:ascii="Arial;Helvetica;sans-serif" w:hAnsi="Arial;Helvetica;sans-serif"/>
          <w:spacing w:val="-2"/>
          <w:sz w:val="20"/>
        </w:rPr>
        <w:t>million, respectively, for this lease in “Selling, general and administrative expenses” on our Condensed Consolidated Statements of Operations and Comprehensive Income (Loss).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Related Party Transactions with NagraStar L.L.C.</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own a 50%</w:t>
      </w:r>
      <w:r>
        <w:rPr>
          <w:rFonts w:ascii="Times New Roman;Times;serif" w:hAnsi="Times New Roman;Times;serif"/>
          <w:spacing w:val="-2"/>
          <w:sz w:val="18"/>
        </w:rPr>
        <w:t xml:space="preserve"> </w:t>
      </w:r>
      <w:r>
        <w:rPr>
          <w:rFonts w:ascii="Arial;Helvetica;sans-serif" w:hAnsi="Arial;Helvetica;sans-serif"/>
          <w:spacing w:val="-2"/>
          <w:sz w:val="20"/>
        </w:rPr>
        <w:t>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table below summarizes our transactions with NagraStar:</w:t>
      </w:r>
    </w:p>
    <w:p>
      <w:pPr>
        <w:pStyle w:val="TextBody"/>
        <w:bidi w:val="0"/>
        <w:spacing w:before="0" w:after="0"/>
        <w:ind w:left="0" w:right="0" w:hanging="0"/>
        <w:jc w:val="both"/>
        <w:rPr>
          <w:spacing w:val="-2"/>
        </w:rPr>
      </w:pPr>
      <w:r>
        <w:rPr>
          <w:spacing w:val="-2"/>
        </w:rPr>
        <w:t>​</w:t>
      </w:r>
    </w:p>
    <w:tbl>
      <w:tblPr>
        <w:tblW w:w="9247" w:type="dxa"/>
        <w:jc w:val="left"/>
        <w:tblInd w:w="0" w:type="dxa"/>
        <w:tblLayout w:type="fixed"/>
        <w:tblCellMar>
          <w:top w:w="0" w:type="dxa"/>
          <w:left w:w="0" w:type="dxa"/>
          <w:bottom w:w="0" w:type="dxa"/>
          <w:right w:w="0" w:type="dxa"/>
        </w:tblCellMar>
      </w:tblPr>
      <w:tblGrid>
        <w:gridCol w:w="3316"/>
        <w:gridCol w:w="146"/>
        <w:gridCol w:w="376"/>
        <w:gridCol w:w="1019"/>
        <w:gridCol w:w="440"/>
        <w:gridCol w:w="364"/>
        <w:gridCol w:w="986"/>
        <w:gridCol w:w="109"/>
        <w:gridCol w:w="245"/>
        <w:gridCol w:w="785"/>
        <w:gridCol w:w="378"/>
        <w:gridCol w:w="245"/>
        <w:gridCol w:w="838"/>
      </w:tblGrid>
      <w:tr>
        <w:trPr/>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05660" cy="175260"/>
                      <wp:effectExtent l="0" t="0" r="0" b="0"/>
                      <wp:wrapNone/>
                      <wp:docPr id="374" name="Frame374"/>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92710" cy="175260"/>
                      <wp:effectExtent l="0" t="0" r="0" b="0"/>
                      <wp:wrapNone/>
                      <wp:docPr id="375" name="Frame37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38760" cy="175260"/>
                      <wp:effectExtent l="0" t="0" r="0" b="0"/>
                      <wp:wrapNone/>
                      <wp:docPr id="376" name="Frame376"/>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7065" cy="175260"/>
                      <wp:effectExtent l="0" t="0" r="0" b="0"/>
                      <wp:wrapNone/>
                      <wp:docPr id="377" name="Frame377"/>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79400" cy="175260"/>
                      <wp:effectExtent l="0" t="0" r="0" b="0"/>
                      <wp:wrapNone/>
                      <wp:docPr id="378" name="Frame378"/>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1140" cy="175260"/>
                      <wp:effectExtent l="0" t="0" r="0" b="0"/>
                      <wp:wrapNone/>
                      <wp:docPr id="379" name="Frame37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26110" cy="175260"/>
                      <wp:effectExtent l="0" t="0" r="0" b="0"/>
                      <wp:wrapNone/>
                      <wp:docPr id="380" name="Frame380"/>
                      <a:graphic xmlns:a="http://schemas.openxmlformats.org/drawingml/2006/main">
                        <a:graphicData uri="http://schemas.microsoft.com/office/word/2010/wordprocessingShape">
                          <wps:wsp>
                            <wps:cNvSpPr txBox="1"/>
                            <wps:spPr>
                              <a:xfrm>
                                <a:off x="0" y="0"/>
                                <a:ext cx="62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9215" cy="175260"/>
                      <wp:effectExtent l="0" t="0" r="0" b="0"/>
                      <wp:wrapNone/>
                      <wp:docPr id="381" name="Frame3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55575" cy="175260"/>
                      <wp:effectExtent l="0" t="0" r="0" b="0"/>
                      <wp:wrapNone/>
                      <wp:docPr id="382" name="Frame382"/>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8475" cy="175260"/>
                      <wp:effectExtent l="0" t="0" r="0" b="0"/>
                      <wp:wrapNone/>
                      <wp:docPr id="383" name="Frame383"/>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40030" cy="175260"/>
                      <wp:effectExtent l="0" t="0" r="0" b="0"/>
                      <wp:wrapNone/>
                      <wp:docPr id="384" name="Frame384"/>
                      <a:graphic xmlns:a="http://schemas.openxmlformats.org/drawingml/2006/main">
                        <a:graphicData uri="http://schemas.microsoft.com/office/word/2010/wordprocessingShape">
                          <wps:wsp>
                            <wps:cNvSpPr txBox="1"/>
                            <wps:spPr>
                              <a:xfrm>
                                <a:off x="0" y="0"/>
                                <a:ext cx="240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55575" cy="175260"/>
                      <wp:effectExtent l="0" t="0" r="0" b="0"/>
                      <wp:wrapNone/>
                      <wp:docPr id="385" name="Frame385"/>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532130" cy="175260"/>
                      <wp:effectExtent l="0" t="0" r="0" b="0"/>
                      <wp:wrapNone/>
                      <wp:docPr id="386" name="Frame386"/>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18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109" w:type="dxa"/>
            <w:tcBorders/>
            <w:vAlign w:val="center"/>
          </w:tcPr>
          <w:p>
            <w:pPr>
              <w:pStyle w:val="TableContents"/>
              <w:bidi w:val="0"/>
              <w:spacing w:before="0" w:after="0"/>
              <w:ind w:left="0" w:right="0" w:hanging="0"/>
              <w:jc w:val="center"/>
              <w:rPr/>
            </w:pPr>
            <w:r>
              <w:rPr/>
              <w:t>​</w:t>
            </w:r>
          </w:p>
        </w:tc>
        <w:tc>
          <w:tcPr>
            <w:tcW w:w="2491"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18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center"/>
              <w:rPr/>
            </w:pPr>
            <w:r>
              <w:rPr/>
              <w:t>​</w:t>
            </w:r>
          </w:p>
        </w:tc>
        <w:tc>
          <w:tcPr>
            <w:tcW w:w="249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40"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center"/>
              <w:rPr/>
            </w:pPr>
            <w:r>
              <w:rPr/>
              <w:t>​</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78" w:type="dxa"/>
            <w:tcBorders/>
            <w:vAlign w:val="center"/>
          </w:tcPr>
          <w:p>
            <w:pPr>
              <w:pStyle w:val="TableContents"/>
              <w:bidi w:val="0"/>
              <w:spacing w:before="0" w:after="0"/>
              <w:ind w:left="0" w:right="0" w:hanging="0"/>
              <w:jc w:val="center"/>
              <w:rPr/>
            </w:pPr>
            <w:r>
              <w:rPr/>
              <w:t>    </w:t>
            </w:r>
          </w:p>
        </w:tc>
        <w:tc>
          <w:tcPr>
            <w:tcW w:w="10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r>
      <w:tr>
        <w:trPr/>
        <w:tc>
          <w:tcPr>
            <w:tcW w:w="924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5785" w:type="dxa"/>
            <w:gridSpan w:val="11"/>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Purchases (including fees):</w:t>
            </w:r>
          </w:p>
        </w:tc>
        <w:tc>
          <w:tcPr>
            <w:tcW w:w="1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right"/>
              <w:rPr/>
            </w:pPr>
            <w:r>
              <w:rPr/>
              <w:t>​</w:t>
            </w:r>
          </w:p>
        </w:tc>
        <w:tc>
          <w:tcPr>
            <w:tcW w:w="785" w:type="dxa"/>
            <w:tcBorders/>
            <w:shd w:fill="CCEEFF" w:val="clear"/>
            <w:vAlign w:val="center"/>
          </w:tcPr>
          <w:p>
            <w:pPr>
              <w:pStyle w:val="TableContents"/>
              <w:bidi w:val="0"/>
              <w:spacing w:before="0" w:after="0"/>
              <w:ind w:left="0" w:right="0" w:hanging="0"/>
              <w:jc w:val="righ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right"/>
              <w:rPr/>
            </w:pPr>
            <w:r>
              <w:rPr/>
              <w:t>​</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from NagraStar</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7,216</w:t>
            </w:r>
          </w:p>
        </w:tc>
        <w:tc>
          <w:tcPr>
            <w:tcW w:w="440"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7,596</w:t>
            </w:r>
          </w:p>
        </w:tc>
        <w:tc>
          <w:tcPr>
            <w:tcW w:w="109" w:type="dxa"/>
            <w:tcBorders/>
            <w:vAlign w:val="center"/>
          </w:tcPr>
          <w:p>
            <w:pPr>
              <w:pStyle w:val="TableContents"/>
              <w:bidi w:val="0"/>
              <w:spacing w:before="0" w:after="0"/>
              <w:ind w:left="0" w:right="0" w:hanging="0"/>
              <w:jc w:val="righ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5"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21,494</w:t>
            </w:r>
          </w:p>
        </w:tc>
        <w:tc>
          <w:tcPr>
            <w:tcW w:w="378" w:type="dxa"/>
            <w:tcBorders/>
            <w:vAlign w:val="center"/>
          </w:tcPr>
          <w:p>
            <w:pPr>
              <w:pStyle w:val="TableContents"/>
              <w:bidi w:val="0"/>
              <w:spacing w:before="0" w:after="0"/>
              <w:ind w:left="0" w:right="0" w:hanging="0"/>
              <w:jc w:val="left"/>
              <w:rPr/>
            </w:pPr>
            <w:r>
              <w:rPr/>
              <w:t> </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24,723</w: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7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left"/>
              <w:rPr/>
            </w:pPr>
            <w:r>
              <w:rPr/>
              <w:t>​</w:t>
            </w:r>
          </w:p>
        </w:tc>
        <w:tc>
          <w:tcPr>
            <w:tcW w:w="440"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18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 of</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440" w:type="dxa"/>
            <w:tcBorders/>
            <w:vAlign w:val="center"/>
          </w:tcPr>
          <w:p>
            <w:pPr>
              <w:pStyle w:val="TableContents"/>
              <w:bidi w:val="0"/>
              <w:spacing w:before="0" w:after="0"/>
              <w:ind w:left="0" w:right="0" w:hanging="0"/>
              <w:jc w:val="center"/>
              <w:rPr/>
            </w:pPr>
            <w:r>
              <w:rPr/>
              <w:t>​</w:t>
            </w:r>
          </w:p>
        </w:tc>
        <w:tc>
          <w:tcPr>
            <w:tcW w:w="1350" w:type="dxa"/>
            <w:gridSpan w:val="2"/>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December 31, </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3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440" w:type="dxa"/>
            <w:tcBorders/>
            <w:vAlign w:val="center"/>
          </w:tcPr>
          <w:p>
            <w:pPr>
              <w:pStyle w:val="TableContents"/>
              <w:bidi w:val="0"/>
              <w:spacing w:before="0" w:after="0"/>
              <w:ind w:left="0" w:right="0" w:hanging="0"/>
              <w:jc w:val="center"/>
              <w:rPr/>
            </w:pPr>
            <w:r>
              <w:rPr/>
              <w:t>    </w:t>
            </w:r>
          </w:p>
        </w:tc>
        <w:tc>
          <w:tcPr>
            <w:tcW w:w="13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9247"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3185" w:type="dxa"/>
            <w:gridSpan w:val="5"/>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Amounts Payable and Commitments:</w:t>
            </w:r>
          </w:p>
        </w:tc>
        <w:tc>
          <w:tcPr>
            <w:tcW w:w="146" w:type="dxa"/>
            <w:tcBorders/>
            <w:shd w:fill="CCEEFF" w:val="clear"/>
            <w:vAlign w:val="center"/>
          </w:tcPr>
          <w:p>
            <w:pPr>
              <w:pStyle w:val="TableContents"/>
              <w:bidi w:val="0"/>
              <w:spacing w:before="0" w:after="0"/>
              <w:ind w:left="0" w:right="0" w:hanging="0"/>
              <w:jc w:val="left"/>
              <w:rPr/>
            </w:pPr>
            <w:r>
              <w:rPr/>
              <w:t>​</w:t>
            </w:r>
          </w:p>
        </w:tc>
        <w:tc>
          <w:tcPr>
            <w:tcW w:w="376" w:type="dxa"/>
            <w:tcBorders/>
            <w:shd w:fill="CCEEFF" w:val="clear"/>
            <w:vAlign w:val="center"/>
          </w:tcPr>
          <w:p>
            <w:pPr>
              <w:pStyle w:val="TableContents"/>
              <w:bidi w:val="0"/>
              <w:spacing w:before="0" w:after="0"/>
              <w:ind w:left="0" w:right="0" w:hanging="0"/>
              <w:jc w:val="righ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right"/>
              <w:rPr/>
            </w:pPr>
            <w:r>
              <w:rPr/>
              <w:t>​</w:t>
            </w:r>
          </w:p>
        </w:tc>
        <w:tc>
          <w:tcPr>
            <w:tcW w:w="9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r>
      <w:tr>
        <w:trPr/>
        <w:tc>
          <w:tcPr>
            <w:tcW w:w="331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Amounts payable to NagraStar</w:t>
            </w:r>
          </w:p>
        </w:tc>
        <w:tc>
          <w:tcPr>
            <w:tcW w:w="146" w:type="dxa"/>
            <w:tcBorders/>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4,377</w:t>
            </w:r>
          </w:p>
        </w:tc>
        <w:tc>
          <w:tcPr>
            <w:tcW w:w="440"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5,569</w:t>
            </w:r>
          </w:p>
        </w:tc>
        <w:tc>
          <w:tcPr>
            <w:tcW w:w="109"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785" w:type="dxa"/>
            <w:tcBorders/>
            <w:vAlign w:val="center"/>
          </w:tcPr>
          <w:p>
            <w:pPr>
              <w:pStyle w:val="TableContents"/>
              <w:bidi w:val="0"/>
              <w:spacing w:before="0" w:after="0"/>
              <w:ind w:left="0" w:right="0" w:hanging="0"/>
              <w:jc w:val="left"/>
              <w:rPr/>
            </w:pPr>
            <w:r>
              <w:rPr/>
              <w:t>​</w:t>
            </w:r>
          </w:p>
        </w:tc>
        <w:tc>
          <w:tcPr>
            <w:tcW w:w="378"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38" w:type="dxa"/>
            <w:tcBorders/>
            <w:vAlign w:val="center"/>
          </w:tcPr>
          <w:p>
            <w:pPr>
              <w:pStyle w:val="TableContents"/>
              <w:bidi w:val="0"/>
              <w:spacing w:before="0" w:after="0"/>
              <w:ind w:left="0" w:right="0" w:hanging="0"/>
              <w:jc w:val="left"/>
              <w:rPr/>
            </w:pPr>
            <w:r>
              <w:rPr/>
              <w:t>​</w:t>
            </w:r>
          </w:p>
        </w:tc>
      </w:tr>
      <w:tr>
        <w:trPr/>
        <w:tc>
          <w:tcPr>
            <w:tcW w:w="331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Commitments to NagraStar</w:t>
            </w:r>
          </w:p>
        </w:tc>
        <w:tc>
          <w:tcPr>
            <w:tcW w:w="146" w:type="dxa"/>
            <w:tcBorders/>
            <w:shd w:fill="CCEEFF" w:val="clear"/>
            <w:vAlign w:val="center"/>
          </w:tcPr>
          <w:p>
            <w:pPr>
              <w:pStyle w:val="TableContents"/>
              <w:bidi w:val="0"/>
              <w:spacing w:before="0" w:after="0"/>
              <w:ind w:left="0" w:right="0" w:hanging="0"/>
              <w:jc w:val="left"/>
              <w:rPr/>
            </w:pPr>
            <w:r>
              <w:rPr/>
              <w:t> </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481</w:t>
            </w:r>
          </w:p>
        </w:tc>
        <w:tc>
          <w:tcPr>
            <w:tcW w:w="440" w:type="dxa"/>
            <w:tcBorders/>
            <w:shd w:fill="CCEEFF" w:val="clear"/>
            <w:vAlign w:val="center"/>
          </w:tcPr>
          <w:p>
            <w:pPr>
              <w:pStyle w:val="TableContents"/>
              <w:bidi w:val="0"/>
              <w:spacing w:before="0" w:after="0"/>
              <w:ind w:left="0" w:right="0" w:hanging="0"/>
              <w:jc w:val="left"/>
              <w:rPr/>
            </w:pPr>
            <w:r>
              <w:rPr/>
              <w:t> </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883</w:t>
            </w:r>
          </w:p>
        </w:tc>
        <w:tc>
          <w:tcPr>
            <w:tcW w:w="109"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785" w:type="dxa"/>
            <w:tcBorders/>
            <w:shd w:fill="CCEEFF" w:val="clear"/>
            <w:vAlign w:val="center"/>
          </w:tcPr>
          <w:p>
            <w:pPr>
              <w:pStyle w:val="TableContents"/>
              <w:bidi w:val="0"/>
              <w:spacing w:before="0" w:after="0"/>
              <w:ind w:left="0" w:right="0" w:hanging="0"/>
              <w:jc w:val="left"/>
              <w:rPr/>
            </w:pPr>
            <w:r>
              <w:rPr/>
              <w:t>​</w:t>
            </w:r>
          </w:p>
        </w:tc>
        <w:tc>
          <w:tcPr>
            <w:tcW w:w="378"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38"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DISH NETWORK CORPORATION</w:t>
      </w:r>
    </w:p>
    <w:p>
      <w:pPr>
        <w:pStyle w:val="TextBody"/>
        <w:bidi w:val="0"/>
        <w:spacing w:before="0" w:after="0"/>
        <w:ind w:left="0" w:right="0" w:hanging="0"/>
        <w:jc w:val="center"/>
        <w:rPr>
          <w:rFonts w:ascii="Times New Roman;Times;serif" w:hAnsi="Times New Roman;Times;serif"/>
          <w:sz w:val="20"/>
        </w:rPr>
      </w:pPr>
      <w:r>
        <w:rPr>
          <w:rFonts w:ascii="Arial;Helvetica;sans-serif" w:hAnsi="Arial;Helvetica;sans-serif"/>
          <w:b/>
          <w:sz w:val="20"/>
        </w:rPr>
        <w:t xml:space="preserve">NOTES TO CONDENSED CONSOLIDATED FINANCIAL STATEMENTS </w:t>
      </w:r>
      <w:r>
        <w:rPr>
          <w:rFonts w:ascii="Times New Roman;Times;serif" w:hAnsi="Times New Roman;Times;serif"/>
          <w:sz w:val="20"/>
        </w:rPr>
        <w:t xml:space="preserve">– </w:t>
      </w:r>
      <w:r>
        <w:rPr>
          <w:rFonts w:ascii="Arial;Helvetica;sans-serif" w:hAnsi="Arial;Helvetica;sans-serif"/>
          <w:b/>
          <w:sz w:val="20"/>
        </w:rPr>
        <w:t>Continued</w:t>
      </w:r>
    </w:p>
    <w:p>
      <w:pPr>
        <w:pStyle w:val="TextBody"/>
        <w:bidi w:val="0"/>
        <w:spacing w:before="0" w:after="240"/>
        <w:ind w:left="0" w:right="0" w:hanging="0"/>
        <w:jc w:val="center"/>
        <w:rPr>
          <w:rFonts w:ascii="Arial;Helvetica;sans-serif" w:hAnsi="Arial;Helvetica;sans-serif"/>
          <w:sz w:val="20"/>
        </w:rPr>
      </w:pPr>
      <w:r>
        <w:rPr>
          <w:rFonts w:ascii="Arial;Helvetica;sans-serif" w:hAnsi="Arial;Helvetica;sans-serif"/>
          <w:sz w:val="20"/>
        </w:rPr>
        <w:t>(Unaudited)</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rFonts w:ascii="Arial;Helvetica;sans-serif" w:hAnsi="Arial;Helvetica;sans-serif"/>
          <w:b/>
          <w:spacing w:val="0"/>
          <w:sz w:val="20"/>
        </w:rPr>
      </w:pPr>
      <w:r>
        <w:rPr>
          <w:rFonts w:ascii="Arial;Helvetica;sans-serif" w:hAnsi="Arial;Helvetica;sans-serif"/>
          <w:b/>
          <w:spacing w:val="0"/>
          <w:sz w:val="20"/>
        </w:rPr>
        <w:t xml:space="preserve">13. Subsequent Events </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Amended and Restated License Purchase Agreement</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November 5, 2025, we, EchoStar, SpaceX and Trust, entered into an Amended and Restated License Purchase Agreement (the “Amended and Restated SpaceX License Purchase Agreement,” and the transactions contemplated thereby, the “Amended SpaceX Transactions”). The Amended and Restated License Purchase Agreement amends and restates in its entirety the SpaceX License Purchase Agreement, dated as of September 7, 2025, by and among EchoStar, SpaceX and Trust.</w:t>
      </w:r>
    </w:p>
    <w:p>
      <w:pPr>
        <w:pStyle w:val="TextBody"/>
        <w:bidi w:val="0"/>
        <w:spacing w:before="100" w:after="100"/>
        <w:ind w:left="0" w:right="0" w:hanging="0"/>
        <w:jc w:val="both"/>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Pursuant to the Amended and Restated SpaceX License Purchase Agreement, we, EchoStar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w:t>
      </w:r>
      <w:r>
        <w:rPr>
          <w:rFonts w:ascii="Times New Roman;Times;serif" w:hAnsi="Times New Roman;Times;serif"/>
          <w:sz w:val="20"/>
        </w:rPr>
        <w:t xml:space="preserve"> </w:t>
      </w:r>
      <w:r>
        <w:rPr>
          <w:rFonts w:ascii="Arial;Helvetica;sans-serif" w:hAnsi="Arial;Helvetica;sans-serif"/>
          <w:sz w:val="20"/>
        </w:rPr>
        <w:t>billion, all of which will be paid in SpaceX’s Class A Common Stock, valued at $212</w:t>
      </w:r>
      <w:r>
        <w:rPr>
          <w:rFonts w:ascii="Times New Roman;Times;serif" w:hAnsi="Times New Roman;Times;serif"/>
          <w:sz w:val="20"/>
        </w:rPr>
        <w:t xml:space="preserve"> </w:t>
      </w:r>
      <w:r>
        <w:rPr>
          <w:rFonts w:ascii="Arial;Helvetica;sans-serif" w:hAnsi="Arial;Helvetica;sans-serif"/>
          <w:sz w:val="20"/>
        </w:rPr>
        <w:t>per share. As a result of this change, the total consideration for the SpaceX Transactions has increased from $17</w:t>
      </w:r>
      <w:r>
        <w:rPr>
          <w:rFonts w:ascii="Times New Roman;Times;serif" w:hAnsi="Times New Roman;Times;serif"/>
          <w:sz w:val="20"/>
        </w:rPr>
        <w:t xml:space="preserve"> </w:t>
      </w:r>
      <w:r>
        <w:rPr>
          <w:rFonts w:ascii="Arial;Helvetica;sans-serif" w:hAnsi="Arial;Helvetica;sans-serif"/>
          <w:sz w:val="20"/>
        </w:rPr>
        <w:t>billion to approximately $20</w:t>
      </w:r>
      <w:r>
        <w:rPr>
          <w:rFonts w:ascii="Times New Roman;Times;serif" w:hAnsi="Times New Roman;Times;serif"/>
          <w:sz w:val="20"/>
        </w:rPr>
        <w:t xml:space="preserve"> </w:t>
      </w:r>
      <w:r>
        <w:rPr>
          <w:rFonts w:ascii="Arial;Helvetica;sans-serif" w:hAnsi="Arial;Helvetica;sans-serif"/>
          <w:sz w:val="20"/>
        </w:rPr>
        <w:t>billion, with up to $11</w:t>
      </w:r>
      <w:r>
        <w:rPr>
          <w:rFonts w:ascii="Times New Roman;Times;serif" w:hAnsi="Times New Roman;Times;serif"/>
          <w:sz w:val="20"/>
        </w:rPr>
        <w:t xml:space="preserve"> </w:t>
      </w:r>
      <w:r>
        <w:rPr>
          <w:rFonts w:ascii="Arial;Helvetica;sans-serif" w:hAnsi="Arial;Helvetica;sans-serif"/>
          <w:sz w:val="20"/>
        </w:rPr>
        <w:t>billion to be paid in SpaceX’s Class A Common Stock, valued at $212</w:t>
      </w:r>
      <w:r>
        <w:rPr>
          <w:rFonts w:ascii="Times New Roman;Times;serif" w:hAnsi="Times New Roman;Times;serif"/>
          <w:sz w:val="20"/>
        </w:rPr>
        <w:t xml:space="preserve"> </w:t>
      </w:r>
      <w:r>
        <w:rPr>
          <w:rFonts w:ascii="Arial;Helvetica;sans-serif" w:hAnsi="Arial;Helvetica;sans-serif"/>
          <w:sz w:val="20"/>
        </w:rPr>
        <w:t>per share.</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Except as set forth above, the material terms of the Amended and Restated SpaceX License Purchase Agreement are substantially the same as the terms of the SpaceX License Purchase Agreement. The SpaceX License Purchase Agreement was filed as an exhibit to EchoStar’s Quarterly Report on Form 10-Q for the quarter ended September 30, 2025.</w:t>
      </w:r>
    </w:p>
    <w:p>
      <w:pPr>
        <w:pStyle w:val="TextBody"/>
        <w:bidi w:val="0"/>
        <w:spacing w:before="100" w:after="100"/>
        <w:ind w:left="0" w:right="0" w:hanging="0"/>
        <w:jc w:val="both"/>
        <w:rPr/>
      </w:pPr>
      <w:r>
        <w:rPr/>
        <w:t>​</w:t>
      </w:r>
    </w:p>
    <w:p>
      <w:pPr>
        <w:pStyle w:val="TextBody"/>
        <w:shd w:fill="FFFFFF" w:val="clear"/>
        <w:bidi w:val="0"/>
        <w:spacing w:before="0" w:after="0"/>
        <w:ind w:left="0" w:right="0" w:hanging="0"/>
        <w:jc w:val="left"/>
        <w:rPr>
          <w:rFonts w:ascii="Arial;Helvetica;sans-serif" w:hAnsi="Arial;Helvetica;sans-serif"/>
          <w:sz w:val="20"/>
        </w:rPr>
      </w:pPr>
      <w:r>
        <w:rPr>
          <w:rFonts w:ascii="Arial;Helvetica;sans-serif" w:hAnsi="Arial;Helvetica;sans-serif"/>
          <w:sz w:val="20"/>
        </w:rPr>
        <w:t>The foregoing description of the Amended and Restated SpaceX License Purchase Agreement does not purport to be complete and is qualified in its entirety by reference to the Amended and Restated SpaceX License Purchase Agreement, which will be filed as an exhibit to EchoStar’s next Annual Report on Form 10-K.</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0"/>
        </w:rPr>
      </w:pPr>
      <w:r>
        <w:rPr>
          <w:spacing w:val="0"/>
        </w:rPr>
        <w:t>​</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bookmarkStart w:id="1864" w:name="Item2MANAGEMENTSNARRATIVEANALYSISOFRESUL"/>
      <w:bookmarkStart w:id="1865" w:name="_a470e788_80e5_4d14_82af_82b4cc315fa7"/>
      <w:bookmarkEnd w:id="1864"/>
      <w:bookmarkEnd w:id="1865"/>
      <w:r>
        <w:rPr>
          <w:rFonts w:ascii="Arial;Helvetica;sans-serif" w:hAnsi="Arial;Helvetica;sans-serif"/>
          <w:b/>
          <w:i w:val="false"/>
          <w:caps w:val="false"/>
          <w:smallCaps w:val="false"/>
          <w:spacing w:val="-2"/>
          <w:sz w:val="20"/>
        </w:rPr>
        <w:t>Item 2.</w:t>
      </w:r>
      <w:r>
        <w:rPr>
          <w:rFonts w:ascii="Arial;Helvetica;sans-serif" w:hAnsi="Arial;Helvetica;sans-serif"/>
          <w:b/>
          <w:spacing w:val="-2"/>
          <w:sz w:val="20"/>
        </w:rPr>
        <w:t>MANAGEMENT’S NARRATIVE ANALYSIS OF RESULTS OF OPERATIONS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You should read the following Management’s Narrative Analysis of our Results of Operations together with the condensed consolidated financial statements and notes to our financial statements included elsewhere in this Quarterly Report on Form 10-Q. This management’s narrative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2024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Overview</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9"/>
        <w:jc w:val="left"/>
        <w:rPr>
          <w:rFonts w:ascii="Arial;Helvetica;sans-serif" w:hAnsi="Arial;Helvetica;sans-serif"/>
          <w:b/>
          <w:i/>
          <w:spacing w:val="-2"/>
          <w:sz w:val="20"/>
        </w:rPr>
      </w:pPr>
      <w:r>
        <w:rPr>
          <w:rFonts w:ascii="Arial;Helvetica;sans-serif" w:hAnsi="Arial;Helvetica;sans-serif"/>
          <w:b/>
          <w:i/>
          <w:spacing w:val="-2"/>
          <w:sz w:val="20"/>
        </w:rPr>
        <w:t>Recent Developments</w:t>
      </w:r>
    </w:p>
    <w:p>
      <w:pPr>
        <w:pStyle w:val="TextBody"/>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FCC Review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In the third quarter of 2025, we and EchoStar resolved the previously disclosed review by the Federal Communications Commission (the “FCC”) into EchoStar’s and our compliance with the build-out milestones and other obligations regarding EchoStar’s and our federal spectrum licenses. EchoStar had previously received a letter from the FCC on May 9, 2025, indicating that the FCC was beginning a review of </w:t>
      </w:r>
      <w:r>
        <w:rPr>
          <w:rFonts w:ascii="Arial;Helvetica;sans-serif" w:hAnsi="Arial;Helvetica;sans-serif"/>
          <w:color w:val="222222"/>
          <w:sz w:val="20"/>
        </w:rPr>
        <w:t xml:space="preserve">EchoStar’s and our </w:t>
      </w:r>
      <w:r>
        <w:rPr>
          <w:rFonts w:ascii="Arial;Helvetica;sans-serif" w:hAnsi="Arial;Helvetica;sans-serif"/>
          <w:sz w:val="20"/>
        </w:rPr>
        <w:t xml:space="preserve">compliance with certain obligations to provide 5G broadband service and raising certain questions regarding the September 2024 build-out extension granted by the FCC and mobile-satellite service (“MSS”) utilization in the 2 GHz band (the “May 9 Letter”). We collectively responded to the FCC’s subsequent public notices with filings on May 27, 2025 and June 6, 2025.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second quarter and the beginning of the third quarter of 2025, the potential ramifications of the FCC review to our business required us to, among other things, reevaluate the deployment of our resources and as a result, we elected not to make interest payments on a certain portion of our long-term senior notes on their respective scheduled due dates. We subsequently made such payments, including interest on the defaulted interest, within the applicable 30-day grace periods. See Note 8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FCC review introduced the possibility of reversing prior FCC grants of authority to us and EchoStar. The FCC made it clear that it viewed EchoStar’s and our spectrum as being underutilized and deemed EchoStar’s and our continued ownership of such spectrum licenses inconsistent with the public interest, and that we and EchoStar must sell a material amount of spectrum licenses or face a wide-ranging license revocation. Accordingly, as a result of these unforeseeable actions by the FCC that were outside of EchoStar’s and our control, we and EchoStar entered into the AT&amp;T Transactions and SpaceX Transactions, as defined below, whereby we agreed to sell a material amount of EchoStar’s and our spectrum licenses. In August 2025, following these transactions, we began the abandonment and decommission process for certain portions of our 5G Network that will not be utilized in our Hybrid MNO business, as defined in “</w:t>
      </w:r>
      <w:r>
        <w:rPr>
          <w:rFonts w:ascii="Arial;Helvetica;sans-serif" w:hAnsi="Arial;Helvetica;sans-serif"/>
          <w:i/>
          <w:sz w:val="20"/>
        </w:rPr>
        <w:t>Segments-Wireless</w:t>
      </w:r>
      <w:r>
        <w:rPr>
          <w:rFonts w:ascii="Times New Roman;Times;serif" w:hAnsi="Times New Roman;Times;serif"/>
          <w:sz w:val="20"/>
        </w:rPr>
        <w:t xml:space="preserve">” </w:t>
      </w:r>
      <w:r>
        <w:rPr>
          <w:rFonts w:ascii="Arial;Helvetica;sans-serif" w:hAnsi="Arial;Helvetica;sans-serif"/>
          <w:sz w:val="20"/>
        </w:rPr>
        <w:t>below. Furthermore, we and EchoStar believe the FCC’s actions and the resulting AT&amp;T Transactions and SpaceX Transactions constitute one or more force majeure events under certain of EchoStar’s and our 5G Network-related contracts.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8, 2025, EchoStar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 (2) 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AT&amp;T License Purchase Agreement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On August 25, 2025, we and EchoStar</w:t>
      </w:r>
      <w:r>
        <w:rPr>
          <w:rFonts w:ascii="Times New Roman;Times;serif" w:hAnsi="Times New Roman;Times;serif"/>
          <w:sz w:val="20"/>
        </w:rPr>
        <w:t xml:space="preserve"> </w:t>
      </w:r>
      <w:r>
        <w:rPr>
          <w:rFonts w:ascii="Arial;Helvetica;sans-serif" w:hAnsi="Arial;Helvetica;sans-serif"/>
          <w:sz w:val="20"/>
        </w:rPr>
        <w:t>and AT&amp;T Mobility II LLC, a Delaware limited liability company, and subsidiary of AT&amp;T Inc. (“AT&amp;T”) entered into a License Purchase Agreement (the “AT&amp;T License Purchase Agreement,” and the transactions contemplated thereby, the “AT&amp;T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Pursuant to the terms and subject to the conditions set forth in the AT&amp;T License Purchase Agreement, we and EchoStar</w:t>
      </w:r>
      <w:r>
        <w:rPr>
          <w:rFonts w:ascii="Times New Roman;Times;serif" w:hAnsi="Times New Roman;Times;serif"/>
          <w:sz w:val="20"/>
        </w:rPr>
        <w:t xml:space="preserve"> </w:t>
      </w:r>
      <w:r>
        <w:rPr>
          <w:rFonts w:ascii="Arial;Helvetica;sans-serif" w:hAnsi="Arial;Helvetica;sans-serif"/>
          <w:sz w:val="20"/>
        </w:rPr>
        <w:t>have agreed to sell all 3.45–3.55 GHz and 600 MHz spectrum licenses (collectively, the “3.45 GHz and 600 MHz Licenses”), and to a 99-year extension of existing leases for AT&amp;T’s exclusive use of certain wireless spectrum licenses in Hawaii for an aggregate purchase price of $22.650 billion in cash, subject to certain potential adjustments (the “Closing Purchase Price”). The AT&amp;T License Purchase Agreement also extends to AT&amp;T the right to lease certain 3.45 GHz licenses from us and EchoStar, which AT&amp;T exercised, subject to a short-term spectrum manager lease, at the end of the third quarter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Closing Purchase Price is subject to downward adjustment in the event certain 3.45 GHz and 600 MHz Licenses are ultimately excluded by either us or EchoStar, or AT&amp;T, under certain circumstances. We and EchoStar are not obligated to consummate the AT&amp;T Transactions if the Closing Purchase Price, after giving effect to the aggregate amount of any such adjustments, is less than $18.6 billion (the “Minimum Purchase Price”). However, if the aggregate amount of such reductions would otherwise reduce the Closing Purchase Price below the Minimum Purchase Price, AT&amp;T may elect to pay the Minimum Purchase Price at closing, in which case this condition will be deemed satisfied.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AT&amp;T License Purchase Agreement provides that, at the closing of the AT&amp;T Transactions, any amounts outstanding under that certain Loan and Security Agreement, dated November 26, 2021, between DISH DBS as lender and DISH Network will be repaid in full using proceeds from the AT&amp;T Transactions to the respective holders of the DISH 2021 Intercompany Loan (the “DISH 2021 Intercompany Loan Payoff”). The DISH 2021 Intercompany Loan Payoff includes $2.844 billion due to DISH DBS as of September 30, 2025 for the DISH 2021 Intercompany Loan 2028 Tranche.</w:t>
      </w:r>
      <w:r>
        <w:rPr>
          <w:rFonts w:ascii="Times New Roman;Times;serif" w:hAnsi="Times New Roman;Times;serif"/>
          <w:sz w:val="20"/>
        </w:rPr>
        <w:t xml:space="preserve"> </w:t>
      </w:r>
      <w:r>
        <w:rPr>
          <w:rFonts w:ascii="Arial;Helvetica;sans-serif" w:hAnsi="Arial;Helvetica;sans-serif"/>
          <w:sz w:val="20"/>
        </w:rPr>
        <w:t>The DISH 2021 Intercompany Loan is secured by the 3.45 GHz Licenses and certain other wireless spectrum licenses. See Note 8</w:t>
      </w:r>
      <w:r>
        <w:rPr>
          <w:rFonts w:ascii="Times New Roman;Times;serif" w:hAnsi="Times New Roman;Times;serif"/>
          <w:color w:val="0A0A0A"/>
          <w:sz w:val="20"/>
        </w:rPr>
        <w:t xml:space="preserve"> </w:t>
      </w:r>
      <w:r>
        <w:rPr>
          <w:rFonts w:ascii="Arial;Helvetica;sans-serif" w:hAnsi="Arial;Helvetica;sans-serif"/>
          <w:sz w:val="20"/>
        </w:rPr>
        <w:t>in the Notes to our Condensed Consolidated Financial Statements</w:t>
      </w:r>
      <w:r>
        <w:rPr>
          <w:rFonts w:ascii="Times New Roman;Times;serif" w:hAnsi="Times New Roman;Times;serif"/>
          <w:color w:val="0A0A0A"/>
          <w:sz w:val="20"/>
        </w:rPr>
        <w:t xml:space="preserve"> </w:t>
      </w:r>
      <w:r>
        <w:rPr>
          <w:rFonts w:ascii="Arial;Helvetica;sans-serif" w:hAnsi="Arial;Helvetica;sans-serif"/>
          <w:color w:val="0A0A0A"/>
          <w:sz w:val="20"/>
        </w:rPr>
        <w:t>for definitions and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all outstanding 11 3/4% 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September 30, 2025, the aggregate principal amount outstanding of our 11 3/4% Senior Secured Notes due November 15, 2027 was $3.5 billion and is secured by the 600 MHz Licenses.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AT&amp;T Transactions are subject to a number of terms and conditions set forth in the AT&amp;T License Purchase Agreement. The completion of the AT&amp;T Transactions are subject to the satisfaction or waiver of customary closing conditions, including, but not limited to, certain government approvals, including, among other things, receipt of certain consents and approvals from the FCC and the United States Department of Justice (the “DOJ”). The AT&amp;T License Purchase Agreement also provides for specified termination rights by each party in certain circumstances. The closing is expected to occur in the first half of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description of the AT&amp;T License Purchase Agreement is not complete and is qualified in its entirety by reference to the License Purchase Agreement filed as an exhibit </w:t>
      </w:r>
      <w:r>
        <w:rPr>
          <w:rFonts w:ascii="Arial;Helvetica;sans-serif" w:hAnsi="Arial;Helvetica;sans-serif"/>
          <w:sz w:val="20"/>
          <w:shd w:fill="FFFFFF" w:val="clear"/>
        </w:rPr>
        <w:t xml:space="preserve">to EchoStar’s </w:t>
      </w:r>
      <w:r>
        <w:rPr>
          <w:rFonts w:ascii="Arial;Helvetica;sans-serif" w:hAnsi="Arial;Helvetica;sans-serif"/>
          <w:sz w:val="20"/>
        </w:rPr>
        <w:t>Quarterly Report on Form 10-Q for the quarter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Amendments to the Network Services Agreement</w:t>
      </w:r>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Simultaneously with the execution of the AT&amp;T License Purchase Agreement, DISH Wireless L.L.C., our subsidiary and AT&amp;T Mobility LLC, a subsidiary of AT&amp;T, entered into the Fifth Amendment (the “Fifth Amendment”) and the Sixth Amendment (the “Sixth Amendment”) to the Network Services Agreement dated as of July 14, 2021 by and among DISH Wireless L.L.C. and AT&amp;T Mobility LLC (as amended, the “NSA”). The term of the Fifth Amendment is scheduled to begin on January 1, 2026 and extends certain terms and conditions under the NSA that were previously available only through the end of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Sixth Amendment sets forth new terms including reduced rates if we meet certain minimum data thresholds while transitioning to a Hybrid MNO. Under a Hybrid MNO we operate certain portions of the network infrastructure such as the network core and billing and provisioning software, while our network partner, AT&amp;T, provides certain elements including base stations, radios, radio access network (RAN) software and spectrum frequencies. We plan to transition to a Hybrid MNO and trigger the Sixth Amendment rates as early as the fourth quarter of 2025 and AT&amp;T has agreed to provide these services to us through December 31, 2031. We are not obligated to transition to a Hybrid MNO or meet the specified data thresholds, but will not be entitled to the terms of the Sixth Amendment unless we have met such thresholds. In the fourth quarter of 2025, we gave notice to AT&amp;T that we expect to meet such thresholds and intend to trigger the Sixth Amendment and as such, we have commenced the transition to a Hybrid MNO.</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During the term of the Sixth Amendment, we have the option to extend the Sixth Amendment up to two times for additional extension terms of 2-years each, until either December 31, 2033 or December 31, 2035 (each an “Extension Term”). The Fifth and Sixth amendments, in addition to any Extension Term we exercise, also contain certain minimum purchase commitments.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SpaceX License Purchase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On September 7, 2025, our parent, EchoStar, Space Exploration Technologies Corp., a Texas corporation (“SpaceX”), and Spectrum Business Trust 2025-1, a Nevada Business Trust (“Trust”), entered into a License Purchase Agreement (the “SpaceX License Purchase Agreement,” and the transactions contemplated thereby, the “SpaceX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Pursuant to the terms and subject to the conditions set forth in the SpaceX License Purchase Agreement, EchoStar agreed to sell to SpaceX its rights and licenses related to an aggregate of 50 MHz of spectrum in frequency ranges 2000–2020, 2180–2200, 1915–1920 and 1995– 2000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 xml:space="preserve">Licenses” and such spectrum, “the Spectrum”) granted by the FCC, together with certain international authorizations, filings, concessions, licenses, rights and priorities related to that spectrum and certain assets associated therewith (collectively, the “Foreign Assets”).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transfer of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 xml:space="preserve">Licenses will occur in two steps: first,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 xml:space="preserve">Licenses will be transferred by EchoStar to the Trust (the “Spectrum Transfer Closing”), and second, the </w:t>
      </w:r>
      <w:r>
        <w:rPr>
          <w:rFonts w:ascii="Arial;Helvetica;sans-serif" w:hAnsi="Arial;Helvetica;sans-serif"/>
          <w:color w:val="222222"/>
          <w:sz w:val="20"/>
        </w:rPr>
        <w:t>AWS-4 and H-Block</w:t>
      </w:r>
      <w:r>
        <w:rPr>
          <w:rFonts w:ascii="Times New Roman;Times;serif" w:hAnsi="Times New Roman;Times;serif"/>
          <w:sz w:val="20"/>
        </w:rPr>
        <w:t xml:space="preserve"> </w:t>
      </w:r>
      <w:r>
        <w:rPr>
          <w:rFonts w:ascii="Arial;Helvetica;sans-serif" w:hAnsi="Arial;Helvetica;sans-serif"/>
          <w:sz w:val="20"/>
        </w:rPr>
        <w:t>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consideration for the SpaceX Transactions payable at the Spectrum Acquisition Closing to EchoStar is $17 billion (the “Total Consideration Amount”). A portion of the Total Consideration Amount (such amount, the “Total Payoff Consideration Amount”) will be used to: (i) fully pay off all outstanding amounts owed on the EchoStar 10 3/4% Senior Secured Notes due 2029 (the “10 3/4% Secured Notes”) and the EchoStar 6 3/4% Senior Secured due 2030 (the “6 3/4% Secured Notes”) and (ii) settle the anticipated redemption and conversions of the EchoStar 3 7/8% Convertible Secured Notes due 2030 (the “Convertible Notes due 2030” and, together with the 10 3/4% Secured Notes and the 6 3/4% Secured Notes, the “EchoStar Seller Notes”). The remaining amount after paying off the EchoStar Seller Notes (the “Purchase Price”) will be paid by SpaceX to EchoStar as follows: (i) up to $8.5 billion will be paid in SpaceX’s Class A Common Stock, valued at $212 per share (the “Equity Amount”); and (ii) any amount of the Purchase Price exceeding $8.5 billion will be paid in cash. If the Total Payoff Consideration Amount exceeds $8.5 billion, EchoStar may elect to pay the excess in cash, its Class A Common Stock (with respect to the Convertible Notes due 2030), or both, to maintain its receipt of the full Equity Amount. However, if EchoStar elects not to pay such excess amount, the Equity Amount will be reduced dollar-for-dollar to ensure that the combined Equity Amount and Total Payoff Consideration Amount do not exceed the Total Consideration Amount. As of September 30, 2025, the aggregate principal amount outstanding of the EchoStar Seller Notes</w:t>
      </w:r>
      <w:r>
        <w:rPr>
          <w:rFonts w:ascii="Times New Roman;Times;serif" w:hAnsi="Times New Roman;Times;serif"/>
          <w:sz w:val="20"/>
        </w:rPr>
        <w:t xml:space="preserve"> </w:t>
      </w:r>
      <w:r>
        <w:rPr>
          <w:rFonts w:ascii="Arial;Helvetica;sans-serif" w:hAnsi="Arial;Helvetica;sans-serif"/>
          <w:sz w:val="20"/>
        </w:rPr>
        <w:t xml:space="preserve">was $9.826 billion and is secured by the </w:t>
      </w:r>
      <w:r>
        <w:rPr>
          <w:rFonts w:ascii="Arial;Helvetica;sans-serif" w:hAnsi="Arial;Helvetica;sans-serif"/>
          <w:color w:val="222222"/>
          <w:sz w:val="20"/>
        </w:rPr>
        <w:t>AWS-4 and AWS-3</w:t>
      </w:r>
      <w:r>
        <w:rPr>
          <w:rFonts w:ascii="Times New Roman;Times;serif" w:hAnsi="Times New Roman;Times;serif"/>
          <w:sz w:val="20"/>
        </w:rPr>
        <w:t xml:space="preserve"> </w:t>
      </w:r>
      <w:r>
        <w:rPr>
          <w:rFonts w:ascii="Arial;Helvetica;sans-serif" w:hAnsi="Arial;Helvetica;sans-serif"/>
          <w:sz w:val="20"/>
        </w:rPr>
        <w:t xml:space="preserve">Licenses.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Spectrum Acquisition Closing is expected to occur on or about November 30, 2027, following the expiration of the make-whole period for the EchoStar</w:t>
      </w:r>
      <w:r>
        <w:rPr>
          <w:rFonts w:ascii="Times New Roman;Times;serif" w:hAnsi="Times New Roman;Times;serif"/>
          <w:sz w:val="20"/>
        </w:rPr>
        <w:t xml:space="preserve"> </w:t>
      </w:r>
      <w:r>
        <w:rPr>
          <w:rFonts w:ascii="Arial;Helvetica;sans-serif" w:hAnsi="Arial;Helvetica;sans-serif"/>
          <w:sz w:val="20"/>
        </w:rPr>
        <w:t>Seller Notes and the date on which the Convertible Notes due 2030 become eligible for redemption. If SpaceX elects to proceed with the Spectrum Acquisition Closing prior to November 30, 2027, SpaceX will be responsible for any additional amounts required to satisfy the EchoStar</w:t>
      </w:r>
      <w:r>
        <w:rPr>
          <w:rFonts w:ascii="Times New Roman;Times;serif" w:hAnsi="Times New Roman;Times;serif"/>
          <w:sz w:val="20"/>
        </w:rPr>
        <w:t xml:space="preserve"> </w:t>
      </w:r>
      <w:r>
        <w:rPr>
          <w:rFonts w:ascii="Arial;Helvetica;sans-serif" w:hAnsi="Arial;Helvetica;sans-serif"/>
          <w:sz w:val="20"/>
        </w:rPr>
        <w:t>Seller Notes, other than additional amounts payable as a result of a default under the EchoStar</w:t>
      </w:r>
      <w:r>
        <w:rPr>
          <w:rFonts w:ascii="Times New Roman;Times;serif" w:hAnsi="Times New Roman;Times;serif"/>
          <w:sz w:val="20"/>
        </w:rPr>
        <w:t xml:space="preserve"> </w:t>
      </w:r>
      <w:r>
        <w:rPr>
          <w:rFonts w:ascii="Arial;Helvetica;sans-serif" w:hAnsi="Arial;Helvetica;sans-serif"/>
          <w:sz w:val="20"/>
        </w:rPr>
        <w:t>Seller Notes.</w:t>
      </w:r>
    </w:p>
    <w:p>
      <w:pPr>
        <w:pStyle w:val="TextBody"/>
        <w:bidi w:val="0"/>
        <w:spacing w:lineRule="atLeast" w:line="180"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Additionally, in connection with the SpaceX License Purchase Agreement and the SpaceX Transactions, on September 7, 2025, SpaceX and the Trust entered into a Credit Agreement, pursuant to which SpaceX has agreed upon the Spectrum Transfer Closing to loan to the Trust (via automatically cancellable loans) amounts sufficient to make debt service payments on the EchoStar Seller Notes through at least November 30, 2027 (the “Interim Debt Service”), which will be secured on a junior lien basis by the AWS-4 and H-Block Licenses. The aggregate amount of payments for the Interim Debt Service through November 30, 2027 will equal approximately $2 billion and will be settled via a loan between EchoStar and SpaceX that automatically cancels upon the completion of the Spectrum Acquisition Closing. The Credit Agreement is generally on standard commercial terms and conditions and, as a beneficiary of the Credit Agreement, EchoStar has the ability to enforce the parties obligations under the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SpaceX Transactions are subject to a number of terms and conditions set forth in the SpaceX License Purchase Agreement. The completion of the SpaceX Transactions are subject to the satisfaction or waiver of customary closing conditions, including, among others, receipt of certain consents and approvals from the FCC and DOJ. The SpaceX License Purchase Agreement also provides for specified termination rights.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SpaceX License Purchase Agreement also provides for future long-term commercial agreements that will enable EchoStar to offer our Wireless subscribers access to SpaceX’s next-generation Starlink Direct to Cell text and voice and broadband services utilizing certain rights and licenses related to the Spectrum that are to be conveyed by EchoStar to SpaceX at the Spectrum Acquisition Closing. The commercial agreements will also provide for a fee-based referral program that lets EchoStar refer existing HughesNet customers and new Starlink customers to SpaceX.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The description of the SpaceX License Purchase Agreement is not complete and is qualified in its entirety by reference to the License Purchase Agreement filed as an exhibit </w:t>
      </w:r>
      <w:r>
        <w:rPr>
          <w:rFonts w:ascii="Arial;Helvetica;sans-serif" w:hAnsi="Arial;Helvetica;sans-serif"/>
          <w:sz w:val="20"/>
          <w:shd w:fill="FFFFFF" w:val="clear"/>
        </w:rPr>
        <w:t xml:space="preserve">to EchoStar’s </w:t>
      </w:r>
      <w:r>
        <w:rPr>
          <w:rFonts w:ascii="Arial;Helvetica;sans-serif" w:hAnsi="Arial;Helvetica;sans-serif"/>
          <w:sz w:val="20"/>
        </w:rPr>
        <w:t>Quarterly Report on Form 10-Q for the quarter ended September 30,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See Note 13 in the Notes to our Condensed Consolidated Financial Statements</w:t>
      </w:r>
      <w:r>
        <w:rPr>
          <w:rFonts w:ascii="Times New Roman;Times;serif" w:hAnsi="Times New Roman;Times;serif"/>
          <w:color w:val="0A0A0A"/>
          <w:sz w:val="20"/>
        </w:rPr>
        <w:t xml:space="preserve"> </w:t>
      </w:r>
      <w:r>
        <w:rPr>
          <w:rFonts w:ascii="Arial;Helvetica;sans-serif" w:hAnsi="Arial;Helvetica;sans-serif"/>
          <w:color w:val="0A0A0A"/>
          <w:sz w:val="20"/>
        </w:rPr>
        <w:t xml:space="preserve">for further information regarding amendments to the </w:t>
      </w:r>
      <w:r>
        <w:rPr>
          <w:rFonts w:ascii="Arial;Helvetica;sans-serif" w:hAnsi="Arial;Helvetica;sans-serif"/>
          <w:sz w:val="20"/>
        </w:rPr>
        <w:t>SpaceX License Purchase Agreement subsequent to September 30, 2025</w:t>
      </w:r>
      <w:r>
        <w:rPr>
          <w:rFonts w:ascii="Arial;Helvetica;sans-serif" w:hAnsi="Arial;Helvetica;sans-serif"/>
          <w:color w:val="0A0A0A"/>
          <w:sz w:val="20"/>
        </w:rPr>
        <w:t xml:space="preserve">. </w:t>
      </w:r>
    </w:p>
    <w:p>
      <w:pPr>
        <w:pStyle w:val="TextBody"/>
        <w:bidi w:val="0"/>
        <w:spacing w:before="0" w:after="0"/>
        <w:ind w:left="0" w:right="0" w:hanging="9"/>
        <w:jc w:val="left"/>
        <w:rPr>
          <w:spacing w:val="-2"/>
        </w:rPr>
      </w:pPr>
      <w:r>
        <w:rPr>
          <w:spacing w:val="-2"/>
        </w:rPr>
        <w:t>​</w:t>
      </w:r>
    </w:p>
    <w:p>
      <w:pPr>
        <w:pStyle w:val="TextBody"/>
        <w:bidi w:val="0"/>
        <w:spacing w:before="40" w:after="0"/>
        <w:ind w:left="0" w:right="0" w:hanging="0"/>
        <w:jc w:val="left"/>
        <w:rPr>
          <w:rFonts w:ascii="Arial;Helvetica;sans-serif" w:hAnsi="Arial;Helvetica;sans-serif"/>
          <w:b/>
          <w:color w:val="000000"/>
          <w:spacing w:val="-2"/>
          <w:sz w:val="20"/>
        </w:rPr>
      </w:pPr>
      <w:r>
        <w:rPr>
          <w:rFonts w:ascii="Arial;Helvetica;sans-serif" w:hAnsi="Arial;Helvetica;sans-serif"/>
          <w:b/>
          <w:color w:val="000000"/>
          <w:spacing w:val="-2"/>
          <w:sz w:val="20"/>
        </w:rPr>
        <w:t>Future Capital Requirements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pStyle w:val="TextBody"/>
        <w:bidi w:val="0"/>
        <w:spacing w:before="0" w:after="0"/>
        <w:ind w:left="0" w:right="0" w:hanging="9"/>
        <w:jc w:val="left"/>
        <w:rPr>
          <w:spacing w:val="-2"/>
        </w:rPr>
      </w:pPr>
      <w:r>
        <w:rPr>
          <w:spacing w:val="-2"/>
        </w:rPr>
        <w:t>​</w:t>
      </w:r>
    </w:p>
    <w:p>
      <w:pPr>
        <w:pStyle w:val="TextBody"/>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Our cash and cash equivalents and marketable investment securities totaled $1.119 billion as of September 30, 2025 (“Cash on Hand”). As reflected in the condensed consolidated financial statements as of September 30, 2025, we have $2.0 billion of debt maturing in July 2026. In addition, the re-auction of certain AWS-3 licenses previously awarded to Northstar Wireless and SNR Wireless has been designated as Auction 113 and the FCC is required to initiate Auction 113 by June 23, 2026. We cannot predict with any degree of certainty the outcome of Auction 113, however, we may be required to make a maximum payment up to approximately $2.921 billion for the Northstar Re-Auction Payment and SNR Re-Auction Payment. See Note 9</w:t>
      </w:r>
      <w:r>
        <w:rPr>
          <w:rFonts w:ascii="Times New Roman;Times;serif" w:hAnsi="Times New Roman;Times;serif"/>
          <w:color w:val="0A0A0A"/>
          <w:spacing w:val="-2"/>
          <w:sz w:val="18"/>
        </w:rPr>
        <w:t xml:space="preserve"> </w:t>
      </w:r>
      <w:r>
        <w:rPr>
          <w:rFonts w:ascii="Arial;Helvetica;sans-serif" w:hAnsi="Arial;Helvetica;sans-serif"/>
          <w:spacing w:val="-2"/>
          <w:sz w:val="20"/>
        </w:rPr>
        <w:t>in the Notes to our Condensed Consolidated Financial Statements</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for definitions and further information.</w:t>
      </w:r>
      <w:r>
        <w:rPr>
          <w:rFonts w:ascii="Times New Roman;Times;serif" w:hAnsi="Times New Roman;Times;serif"/>
          <w:spacing w:val="-2"/>
          <w:sz w:val="18"/>
        </w:rPr>
        <w:t xml:space="preserve"> </w:t>
      </w:r>
    </w:p>
    <w:p>
      <w:pPr>
        <w:pStyle w:val="TextBody"/>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As detailed above, upon the closing of the AT&amp;T Transactions, subject to certain conditions and adjustments, we and our parent, EchoStar, will receive $22.650 billion in cash. The AT&amp;T Transactions also contemplate the repayment of certain of our debt as described above in “</w:t>
      </w:r>
      <w:r>
        <w:rPr>
          <w:rFonts w:ascii="Arial;Helvetica;sans-serif" w:hAnsi="Arial;Helvetica;sans-serif"/>
          <w:i/>
          <w:sz w:val="20"/>
        </w:rPr>
        <w:t>AT&amp;T Transactions</w:t>
      </w:r>
      <w:r>
        <w:rPr>
          <w:rFonts w:ascii="Arial;Helvetica;sans-serif" w:hAnsi="Arial;Helvetica;sans-serif"/>
          <w:sz w:val="20"/>
        </w:rPr>
        <w:t>.” However, until the closing of the AT&amp;T Transactions, which are subject to receipt of government approvals and other customary conditions, funding is not deemed committed and 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and EchoStar cannot provide assurances that the AT&amp;T Transactions will be approved and consummated on the predicted timeline or at all.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condensed consolidated financial statements do not include any adjustments to the amount and classification of assets and liabilities that may be necessary should we not continue as a going concern.</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color w:val="222222"/>
          <w:spacing w:val="-2"/>
          <w:shd w:fill="FFFFFF" w:val="clear"/>
        </w:rPr>
      </w:pPr>
      <w:r>
        <w:rPr>
          <w:color w:val="222222"/>
          <w:spacing w:val="-2"/>
          <w:shd w:fill="FFFFFF" w:val="clea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Impairments and Other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During the third quarter of 2025, as a result of the AT&amp;T Transactions and SpaceX Transactions, we began the abandonment and decommission process for certain portions of our 5G Network that will not be utilized in our Hybrid MNO business model, as defined below, resulting in a significant adverse change in the intended use of such assets. These developments were considered triggering events and resulted in the performance of an impairment assessment. During the three and nine months ended September 30, 2025, we recorded a $16.036 billion charge for non-cash asset impairments and other expenses related to the termination of our 5G Network deployment in “Impairments and other” on our Condensed Consolidated Statements of Operations and Comprehensive Income (Loss) in our Wireless Segment. See Note 1 in the Notes to our Condensed Consolidated Financial Statements</w:t>
      </w:r>
      <w:r>
        <w:rPr>
          <w:rFonts w:ascii="Times New Roman;Times;serif" w:hAnsi="Times New Roman;Times;serif"/>
          <w:color w:val="0A0A0A"/>
          <w:sz w:val="20"/>
        </w:rPr>
        <w:t xml:space="preserve"> </w:t>
      </w:r>
      <w:r>
        <w:rPr>
          <w:rFonts w:ascii="Arial;Helvetica;sans-serif" w:hAnsi="Arial;Helvetica;sans-serif"/>
          <w:color w:val="0A0A0A"/>
          <w:sz w:val="20"/>
        </w:rPr>
        <w:t>for further information.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currently operate two primary business segments: (1) Pay-TV and (2) Wireless.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Our Pay-TV segment business strategy is to be the best provider of video services in the United States by providing products with the best technology, outstanding customer service and great value. We offer pay-TV services under the DISH® brand and the SLING®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w:t>
      </w:r>
      <w:r>
        <w:rPr>
          <w:rFonts w:ascii="Times New Roman;Times;serif" w:hAnsi="Times New Roman;Times;serif"/>
          <w:sz w:val="20"/>
        </w:rPr>
        <w:t xml:space="preserve"> </w:t>
      </w:r>
      <w:r>
        <w:rPr>
          <w:rFonts w:ascii="Arial;Helvetica;sans-serif" w:hAnsi="Arial;Helvetica;sans-serif"/>
          <w:sz w:val="20"/>
        </w:rPr>
        <w:t xml:space="preserve">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Our Wireless segment provides wireless communication services (“Wireless” services) and products. We offer nationwide Wireless services to subscribers primarily under our Boost Mobile® and Gen Mobile® brands. We offer customers value by providing choice and flexibility in our Wireless services. We offer competitive consumer plans with no annual service contracts and device financing arrangements for certain qualified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Our Wireless segment business strategy is to expand our current target segments and profitably grow our Wireless subscriber base. We intend to grow our Wireless subscriber base by acquiring and retaining high quality subscribers with competitive offers, choice and outstanding customer service that better meet those subscribers’ needs and budget.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We have terminated our deployment of the nation’s first cloud-native, Open Radio Access Network (“O-RAN”) based 5G VoNR and broadband network</w:t>
      </w:r>
      <w:r>
        <w:rPr>
          <w:rFonts w:ascii="Times New Roman;Times;serif" w:hAnsi="Times New Roman;Times;serif"/>
          <w:sz w:val="20"/>
        </w:rPr>
        <w:t xml:space="preserve"> </w:t>
      </w:r>
      <w:r>
        <w:rPr>
          <w:rFonts w:ascii="Arial;Helvetica;sans-serif" w:hAnsi="Arial;Helvetica;sans-serif"/>
          <w:sz w:val="20"/>
        </w:rPr>
        <w:t>(our “5G Network”), after meeting certain interim and final build-out requirements established by the FCC. We had commenced our transition to a mobile network operator (“MNO”)</w:t>
      </w:r>
      <w:r>
        <w:rPr>
          <w:rFonts w:ascii="Times New Roman;Times;serif" w:hAnsi="Times New Roman;Times;serif"/>
          <w:sz w:val="20"/>
        </w:rPr>
        <w:t xml:space="preserve"> </w:t>
      </w:r>
      <w:r>
        <w:rPr>
          <w:rFonts w:ascii="Arial;Helvetica;sans-serif" w:hAnsi="Arial;Helvetica;sans-serif"/>
          <w:sz w:val="20"/>
        </w:rPr>
        <w:t>as our 5G Network became commercially available and we grew our customer base on our 5G Network.</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August 2025, we began the abandonment and decommission process for certain portions of our 5G Network that will not be utilized in our Hybrid MNO business model, as defined below. We are currently operating primarily as a mobile virtual network operator (“MVNO”). Within our MVNO operations, today we depend in part on either T-Mobile or AT&amp;T to provide us with network services under the amended Master Network Services Agreement (as amended, the “MNSA”) and Network Services Agreement (as amended, the “NSA”), respectively. In light of the AT&amp;T Transactions, we are transitioning to a hybrid MNO business model under which we will continue to operate our 5G Network core and utilize AT&amp;T’s network services (“Hybrid MNO”). We are actively migrating customer traffic from our 5G Network to AT&amp;T’s network as we transition to a Hybrid MNO.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 xml:space="preserve">Our Wireless spectrum licenses are subject to certain interim and final build-out requirements, as well as certain renewal requirements. </w:t>
      </w:r>
      <w:r>
        <w:rPr>
          <w:rFonts w:ascii="Arial;Helvetica;sans-serif" w:hAnsi="Arial;Helvetica;sans-serif"/>
          <w:color w:val="0A0A0A"/>
          <w:spacing w:val="-2"/>
          <w:sz w:val="20"/>
        </w:rPr>
        <w:t xml:space="preserve">In September 2024, the FCC conditionally granted our requests to extend the 5G deployment deadlines for certain of our </w:t>
      </w:r>
      <w:r>
        <w:rPr>
          <w:rFonts w:ascii="Arial;Helvetica;sans-serif" w:hAnsi="Arial;Helvetica;sans-serif"/>
          <w:spacing w:val="-2"/>
          <w:sz w:val="20"/>
        </w:rPr>
        <w:t>Wireless spectrum licenses</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 xml:space="preserve">based on several commitments and </w:t>
      </w:r>
      <w:r>
        <w:rPr>
          <w:rFonts w:ascii="Arial;Helvetica;sans-serif" w:hAnsi="Arial;Helvetica;sans-serif"/>
          <w:color w:val="222222"/>
          <w:spacing w:val="-2"/>
          <w:sz w:val="20"/>
        </w:rPr>
        <w:t>in a January 10, 2025 filing to the FCC</w:t>
      </w:r>
      <w:r>
        <w:rPr>
          <w:rFonts w:ascii="Arial;Helvetica;sans-serif" w:hAnsi="Arial;Helvetica;sans-serif"/>
          <w:color w:val="0A0A0A"/>
          <w:spacing w:val="-2"/>
          <w:sz w:val="20"/>
        </w:rPr>
        <w:t xml:space="preserve">, </w:t>
      </w:r>
      <w:r>
        <w:rPr>
          <w:rFonts w:ascii="Arial;Helvetica;sans-serif" w:hAnsi="Arial;Helvetica;sans-serif"/>
          <w:color w:val="222222"/>
          <w:spacing w:val="-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pacing w:val="-2"/>
          <w:sz w:val="20"/>
        </w:rPr>
        <w:t xml:space="preserve">due by December 31, 2024. Thus, pursuant to the Extension Request, the final deployment deadlines for the licenses subject to the Extension Request (listed in Appendix G) shall be extended to December 14, 2026.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shd w:fill="FFFFFF" w:val="clear"/>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w:t>
      </w:r>
      <w:r>
        <w:rPr>
          <w:rFonts w:ascii="Arial;Helvetica;sans-serif" w:hAnsi="Arial;Helvetica;sans-serif"/>
          <w:spacing w:val="-2"/>
          <w:sz w:val="20"/>
        </w:rPr>
        <w:t>See Note 9 in the Notes to our Condensed Consolidated Financial Statements</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 xml:space="preserve">for definitions and further information. Also </w:t>
      </w:r>
      <w:r>
        <w:rPr>
          <w:rFonts w:ascii="Arial;Helvetica;sans-serif" w:hAnsi="Arial;Helvetica;sans-serif"/>
          <w:spacing w:val="-2"/>
          <w:sz w:val="20"/>
        </w:rPr>
        <w:t>see Note 1 “</w:t>
      </w:r>
      <w:r>
        <w:rPr>
          <w:rFonts w:ascii="Arial;Helvetica;sans-serif" w:hAnsi="Arial;Helvetica;sans-serif"/>
          <w:i/>
          <w:spacing w:val="-2"/>
          <w:sz w:val="20"/>
        </w:rPr>
        <w:t>Recent Developments</w:t>
      </w:r>
      <w:r>
        <w:rPr>
          <w:rFonts w:ascii="Times New Roman;Times;serif" w:hAnsi="Times New Roman;Times;serif"/>
          <w:spacing w:val="-2"/>
          <w:sz w:val="18"/>
        </w:rPr>
        <w:t xml:space="preserve">” </w:t>
      </w:r>
      <w:r>
        <w:rPr>
          <w:rFonts w:ascii="Arial;Helvetica;sans-serif" w:hAnsi="Arial;Helvetica;sans-serif"/>
          <w:spacing w:val="-2"/>
          <w:sz w:val="20"/>
        </w:rPr>
        <w:t>in the Notes to our Condensed Consolidated Financial Statements for further information on the FCC’s recently completed review of our compliance with our obligations regarding our federal spectrum licenses.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 xml:space="preserve">Economic Environment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 xml:space="preserve">During 2024 and the first nine months of 2025, we experienced inflationary pressures in our commodity and labor costs resulting from the macroeconomic environment in the United States, which has impacted our overall operating results. In addition, </w:t>
      </w:r>
      <w:r>
        <w:rPr>
          <w:rFonts w:ascii="Arial;Helvetica;sans-serif" w:hAnsi="Arial;Helvetica;sans-serif"/>
          <w:color w:val="222222"/>
          <w:spacing w:val="-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color w:val="222222"/>
          <w:spacing w:val="-2"/>
        </w:rPr>
      </w:pPr>
      <w:r>
        <w:rPr>
          <w:color w:val="222222"/>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Operational Liquidity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We make general investments in property such as, among others, satellites, wireless devices, set-top boxes, information technology and facilities that support our Pay-TV and Wireless segments.  For some of these investments, </w:t>
      </w:r>
      <w:r>
        <w:rPr>
          <w:rFonts w:ascii="Arial;Helvetica;sans-serif" w:hAnsi="Arial;Helvetica;sans-serif"/>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Since we are primarily a subscriber-based company, we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pStyle w:val="TextBody"/>
        <w:pBdr/>
        <w:bidi w:val="0"/>
        <w:spacing w:before="0" w:after="0"/>
        <w:ind w:left="0" w:right="0" w:hanging="8"/>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transition Wireless subscribers to our Hybrid MNO Network. The third factor is the rate at which we acquire new Pay-TV and Wireless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  </w:t>
      </w:r>
    </w:p>
    <w:p>
      <w:pPr>
        <w:pStyle w:val="TextBody"/>
        <w:bidi w:val="0"/>
        <w:spacing w:before="0" w:after="0"/>
        <w:ind w:left="0" w:right="0" w:hanging="0"/>
        <w:jc w:val="left"/>
        <w:rPr/>
      </w:pPr>
      <w:r>
        <w:rPr/>
        <w:t>​</w:t>
      </w:r>
    </w:p>
    <w:p>
      <w:pPr>
        <w:pStyle w:val="TextBody"/>
        <w:pBdr/>
        <w:bidi w:val="0"/>
        <w:spacing w:before="0" w:after="0"/>
        <w:ind w:left="0" w:right="0" w:hanging="8"/>
        <w:jc w:val="left"/>
        <w:rPr>
          <w:rFonts w:ascii="Arial;Helvetica;sans-serif" w:hAnsi="Arial;Helvetica;sans-serif"/>
          <w:spacing w:val="-2"/>
          <w:sz w:val="20"/>
        </w:rPr>
      </w:pPr>
      <w:r>
        <w:rPr>
          <w:rFonts w:ascii="Arial;Helvetica;sans-serif" w:hAnsi="Arial;Helvetica;sans-serif"/>
          <w:spacing w:val="-2"/>
          <w:sz w:val="20"/>
        </w:rPr>
        <w:t>Finally, our future cash flow is impacted by, among other things, the rate at which we incur litigation expense, make cash interest payments, participate in FCC wireless spectrum auctions and any cash flow from financing activities. We anticipate operating expenditures for our 5G Network to decrease as we have completed our 5G Network and as we transition to our Hybrid MNO network under which we will continue to operate our 5G Network core and utilize AT&amp;T’s network services. We expect our capital expenditures (including capitalized interest) to decrease during the fourth quarter of 2025. As a result, our historical cash flow is not necessarily indicative of our future cash flows. As of September 30, 2025, we experienced negative “Net cash flows from operating activities” less: (i) “Purchases of property and equipment” net of “Refunds and other receipts of purchases of property and equipment,” and (ii) “Capitalized interest related to regulatory authorizations.” We expect that this trend will continue in 2025 and in future periods until we receive the cash inflows from the AT&amp;T Transactions. In addition, declines in our subscriber base and any decrease in subscriber-related margins negatively impact our cash flow, and there can be no assurance that our subscriber declines for some if not all of our segments will not continue.</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Future Capital Requirements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from the AT&amp;T Transactions, as detailed in Note 1 in the Notes to our Condensed Consolidated Financial Statements and contributions or intercompany loans from our parent, EchoStar.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The amount of capital required to fund our future working capital, capital expenditure and other investment needs varies, depending on, among other things, the potential purchase of additional wireless spectrum licenses, including any potential Northstar Re-Auction Payment and SNR Re-Auction Payment for the AWS-3 licenses retained by the FCC,</w:t>
      </w:r>
      <w:r>
        <w:rPr>
          <w:rFonts w:ascii="Times New Roman;Times;serif" w:hAnsi="Times New Roman;Times;serif"/>
          <w:sz w:val="20"/>
        </w:rPr>
        <w:t xml:space="preserve"> </w:t>
      </w:r>
      <w:r>
        <w:rPr>
          <w:rFonts w:ascii="Arial;Helvetica;sans-serif" w:hAnsi="Arial;Helvetica;sans-serif"/>
          <w:sz w:val="20"/>
        </w:rPr>
        <w:t>and the rate at which we acquire new subscribers</w:t>
      </w:r>
      <w:r>
        <w:rPr>
          <w:rFonts w:ascii="Times New Roman;Times;serif" w:hAnsi="Times New Roman;Times;serif"/>
          <w:sz w:val="20"/>
        </w:rPr>
        <w:t xml:space="preserve"> </w:t>
      </w:r>
      <w:r>
        <w:rPr>
          <w:rFonts w:ascii="Arial;Helvetica;sans-serif" w:hAnsi="Arial;Helvetica;sans-serif"/>
          <w:sz w:val="20"/>
        </w:rPr>
        <w:t>and the cost of subscriber acquisition and retention. Certain of our capital expenditures for 2025 are expected to be driven by costs associated with our Hybrid MNO network</w:t>
      </w:r>
      <w:r>
        <w:rPr>
          <w:rFonts w:ascii="Times New Roman;Times;serif" w:hAnsi="Times New Roman;Times;serif"/>
          <w:sz w:val="20"/>
        </w:rPr>
        <w:t xml:space="preserve"> </w:t>
      </w:r>
      <w:r>
        <w:rPr>
          <w:rFonts w:ascii="Arial;Helvetica;sans-serif" w:hAnsi="Arial;Helvetica;sans-serif"/>
          <w:sz w:val="20"/>
        </w:rPr>
        <w:t>and subscriber premises equipment. These expenditures are necessary for our Hybrid MNO network</w:t>
      </w:r>
      <w:r>
        <w:rPr>
          <w:rFonts w:ascii="Times New Roman;Times;serif" w:hAnsi="Times New Roman;Times;serif"/>
          <w:sz w:val="20"/>
        </w:rPr>
        <w:t xml:space="preserve"> </w:t>
      </w:r>
      <w:r>
        <w:rPr>
          <w:rFonts w:ascii="Arial;Helvetica;sans-serif" w:hAnsi="Arial;Helvetica;sans-serif"/>
          <w:sz w:val="20"/>
        </w:rPr>
        <w:t xml:space="preserve">as well as to operate and maintain our DISH TV services. Consequently, we consider certain of them to be non-discretionary. </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Arial;Helvetica;sans-serif" w:hAnsi="Arial;Helvetica;sans-serif"/>
          <w:sz w:val="20"/>
        </w:rPr>
      </w:pPr>
      <w:r>
        <w:rPr>
          <w:rFonts w:ascii="Arial;Helvetica;sans-serif" w:hAnsi="Arial;Helvetica;sans-serif"/>
          <w:sz w:val="20"/>
        </w:rPr>
        <w:t xml:space="preserve">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 </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pStyle w:val="TextBody"/>
        <w:pBdr/>
        <w:bidi w:val="0"/>
        <w:spacing w:before="0" w:after="0"/>
        <w:ind w:left="0" w:right="0" w:hanging="8"/>
        <w:jc w:val="both"/>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Availability of Credit and Effect on Liquidity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pStyle w:val="TextBody"/>
        <w:bidi w:val="0"/>
        <w:spacing w:before="0" w:after="0"/>
        <w:ind w:left="0" w:right="0" w:hanging="0"/>
        <w:jc w:val="left"/>
        <w:rPr>
          <w:spacing w:val="-2"/>
          <w:shd w:fill="FFFFFF" w:val="clear"/>
        </w:rPr>
      </w:pPr>
      <w:r>
        <w:rPr>
          <w:spacing w:val="-2"/>
          <w:shd w:fill="FFFFFF" w:val="clear"/>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Debt Issuances and Maturity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EchoStar 2024 Intercompany Loan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During the three and nine months ended September 30, 2025, we borrowed an additional principal amount of $645 million and $2.202 billion, respectively, under the EchoStar 2024 Intercompany Loan. In addition, during the three and nine months ended September 30, 2025, we made interest payments in kind of $87 million and $182 million, respectively. The EchoStar 2024 Intercompany Loan matures on November 30, 2030. Interest accrues at an annual rate of 11.50% and is payable monthly.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z w:val="20"/>
        </w:rPr>
      </w:pPr>
      <w:r>
        <w:rPr>
          <w:rFonts w:ascii="Arial;Helvetica;sans-serif" w:hAnsi="Arial;Helvetica;sans-serif"/>
          <w:i/>
          <w:sz w:val="20"/>
        </w:rPr>
        <w:t>Term Loan Due 2025</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Our Term Loan Due 2025</w:t>
      </w:r>
      <w:r>
        <w:rPr>
          <w:rFonts w:ascii="Times New Roman;Times;serif" w:hAnsi="Times New Roman;Times;serif"/>
          <w:sz w:val="20"/>
        </w:rPr>
        <w:t xml:space="preserve"> </w:t>
      </w:r>
      <w:r>
        <w:rPr>
          <w:rFonts w:ascii="Arial;Helvetica;sans-serif" w:hAnsi="Arial;Helvetica;sans-serif"/>
          <w:sz w:val="20"/>
        </w:rPr>
        <w:t>with an aggregate principal balance of $500 million was redeemed as of</w:t>
      </w:r>
      <w:r>
        <w:rPr>
          <w:rFonts w:ascii="Times New Roman;Times;serif" w:hAnsi="Times New Roman;Times;serif"/>
          <w:sz w:val="20"/>
        </w:rPr>
        <w:t xml:space="preserve"> </w:t>
      </w:r>
      <w:r>
        <w:rPr>
          <w:rFonts w:ascii="Arial;Helvetica;sans-serif" w:hAnsi="Arial;Helvetica;sans-serif"/>
          <w:sz w:val="20"/>
        </w:rPr>
        <w:t>September 30, 2025.</w:t>
      </w:r>
      <w:r>
        <w:rPr>
          <w:rFonts w:ascii="Times New Roman;Times;serif" w:hAnsi="Times New Roman;Times;serif"/>
          <w:sz w:val="20"/>
        </w:rPr>
        <w:t xml:space="preserve">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Covenants and Restrictions Related to our Long-Term Debt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are subject to the covenants and restrictions set forth in the indentures related to our long-term debt. 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senior secured notes contain restrictive covenants that, among other things, impose limitations on our ability and certain of our subsidiaries</w:t>
      </w:r>
      <w:r>
        <w:rPr>
          <w:rFonts w:ascii="Times New Roman;Times;serif" w:hAnsi="Times New Roman;Times;serif"/>
          <w:spacing w:val="-2"/>
          <w:sz w:val="18"/>
        </w:rPr>
        <w:t xml:space="preserve"> </w:t>
      </w:r>
      <w:r>
        <w:rPr>
          <w:rFonts w:ascii="Arial;Helvetica;sans-serif" w:hAnsi="Arial;Helvetica;sans-serif"/>
          <w:spacing w:val="-2"/>
          <w:sz w:val="20"/>
        </w:rPr>
        <w:t xml:space="preserve">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As of the date of filing of this Quarterly Report on Form 10-Q, we and DISH DBS were in compliance with the covenants and restrictions related to our respective long-term debt.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New Accounting Pronouncements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See Note 2 in the Notes to our Condensed Consolidated Financial Statements for further information.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EXPLANATION OF KEY METRICS AND OTHER ITEMS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Service revenue” consists principally of Pay-TV and Wireless subscriber revenue. Certain of the amounts included in “Service revenue” are not recurring on a monthly basis.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Equipment sales and other revenue</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 xml:space="preserve">Equipment sales and other revenue” principally includes the sale of wireless devices, the non-subsidized sales of Pay-TV equipment and the licensing of certain intellectual property.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Cost of services” principally includes Pay-TV programming expenses and other operating costs related to our Pay-TV segment and costs of Wireless services (including costs incurred under the MNSA and NSA). Beginning on January 1, 2024, “Cost of services” includes certain direct costs related to our 5G Network deployment, including lease expense on communication towers, transport, cloud services and other costs as a significant portion of our 5G Network was placed into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sales - equipment and other.</w:t>
      </w:r>
      <w:r>
        <w:rPr>
          <w:rFonts w:ascii="Times New Roman;Times;serif" w:hAnsi="Times New Roman;Times;serif"/>
          <w:sz w:val="20"/>
        </w:rPr>
        <w:t xml:space="preserve"> “</w:t>
      </w:r>
      <w:r>
        <w:rPr>
          <w:rFonts w:ascii="Arial;Helvetica;sans-serif" w:hAnsi="Arial;Helvetica;sans-serif"/>
          <w:sz w:val="20"/>
        </w:rPr>
        <w:t>Cost of sales – equipment and other” principally includes the cost of wireless devices and other related items,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Selling, general and administrative expenses</w:t>
      </w:r>
      <w:r>
        <w:rPr>
          <w:rFonts w:ascii="Arial;Helvetica;sans-serif" w:hAnsi="Arial;Helvetica;sans-serif"/>
          <w:b/>
          <w:sz w:val="20"/>
        </w:rPr>
        <w:t>.</w:t>
      </w:r>
      <w:r>
        <w:rPr>
          <w:rFonts w:ascii="Times New Roman;Times;serif" w:hAnsi="Times New Roman;Times;serif"/>
          <w:sz w:val="20"/>
        </w:rPr>
        <w:t xml:space="preserve"> “</w:t>
      </w:r>
      <w:r>
        <w:rPr>
          <w:rFonts w:ascii="Arial;Helvetica;sans-serif" w:hAnsi="Arial;Helvetica;sans-serif"/>
          <w:sz w:val="20"/>
        </w:rPr>
        <w:t xml:space="preserve">Selling, general and administrative expenses” consists 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Impairments and other</w:t>
      </w:r>
      <w:r>
        <w:rPr>
          <w:rFonts w:ascii="Arial;Helvetica;sans-serif" w:hAnsi="Arial;Helvetica;sans-serif"/>
          <w:spacing w:val="-2"/>
          <w:sz w:val="20"/>
        </w:rPr>
        <w:t xml:space="preserve">. </w:t>
      </w:r>
      <w:r>
        <w:rPr>
          <w:rFonts w:ascii="'Times New Roman','Times','serif'" w:hAnsi="'Times New Roman','Times','serif'"/>
          <w:spacing w:val="-2"/>
          <w:sz w:val="18"/>
        </w:rPr>
        <w:t>“</w:t>
      </w:r>
      <w:r>
        <w:rPr>
          <w:rFonts w:ascii="Arial;Helvetica;sans-serif" w:hAnsi="Arial;Helvetica;sans-serif"/>
          <w:spacing w:val="-2"/>
          <w:sz w:val="20"/>
        </w:rPr>
        <w:t>Impairments and other” may include, among other things, non-cash impairment and other losses related to our prepaids, inventory, property and equipment, regulatory authorizations, operating lease assets, goodwill and other intangible assets, as well as estimated exit and disposal costs.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Interest expense, net of amounts capitalized.</w:t>
      </w:r>
      <w:r>
        <w:rPr>
          <w:rFonts w:ascii="Times New Roman;Times;serif" w:hAnsi="Times New Roman;Times;serif"/>
          <w:sz w:val="20"/>
        </w:rPr>
        <w:t xml:space="preserve"> “</w:t>
      </w:r>
      <w:r>
        <w:rPr>
          <w:rFonts w:ascii="Arial;Helvetica;sans-serif" w:hAnsi="Arial;Helvetica;sans-serif"/>
          <w:sz w:val="20"/>
        </w:rPr>
        <w:t xml:space="preserve">Interest expense, net of amounts capitalized” primarily includes interest expense associated with our long-term debt (net of capitalized interest), prepayment premiums, amortization of debt discounts and debt issuance costs associated with our long-term debt, and interest expense associated with our finance lease obligations.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pacing w:val="-2"/>
          <w:sz w:val="18"/>
        </w:rPr>
      </w:pPr>
      <w:r>
        <w:rPr>
          <w:rFonts w:ascii="Arial;Helvetica;sans-serif" w:hAnsi="Arial;Helvetica;sans-serif"/>
          <w:b/>
          <w:i/>
          <w:spacing w:val="-2"/>
          <w:sz w:val="20"/>
        </w:rPr>
        <w:t xml:space="preserve">Other, net. </w:t>
      </w:r>
      <w:r>
        <w:rPr>
          <w:rFonts w:ascii="Arial;Helvetica;sans-serif" w:hAnsi="Arial;Helvetica;sans-serif"/>
          <w:spacing w:val="-2"/>
          <w:sz w:val="20"/>
        </w:rPr>
        <w:t>The main components of “Other, net” are gains and losses realized on the sale and/or conversion of 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the sale of businesses or business assets gains and losses, foreign currency transaction gains and losses, debt extinguishment gains and losses, and equity in earnings and losses of our affiliates.</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 xml:space="preserve">Operating income before depreciation and amortization (“OIBDA”).  </w:t>
      </w:r>
      <w:r>
        <w:rPr>
          <w:rFonts w:ascii="Arial;Helvetica;sans-serif" w:hAnsi="Arial;Helvetica;sans-serif"/>
          <w:sz w:val="20"/>
        </w:rPr>
        <w:t>OIBDA is defined as “Operating income (loss)” plus “Depreciation and amortization.”  This non-GAAP measure is reconciled to “Operating income (loss)” in our discussion of “Results of Operations” below.</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Operating income before depreciation and amortization, and impairments and other (“Adjusted OIBDA”).</w:t>
      </w:r>
      <w:r>
        <w:rPr>
          <w:rFonts w:ascii="Times New Roman;Times;serif" w:hAnsi="Times New Roman;Times;serif"/>
          <w:spacing w:val="-2"/>
          <w:sz w:val="18"/>
        </w:rPr>
        <w:t xml:space="preserve"> </w:t>
      </w:r>
      <w:r>
        <w:rPr>
          <w:rFonts w:ascii="Arial;Helvetica;sans-serif" w:hAnsi="Arial;Helvetica;sans-serif"/>
          <w:spacing w:val="-2"/>
          <w:sz w:val="20"/>
        </w:rPr>
        <w:t>Adjusted OIBDA is defined as “Operating income (loss)” plus “Depreciation and amortization” and “Impairments and other.”  This non-GAAP measure is reconciled to “Operating income (loss)” in our discussion of “Results of Operations” below.</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subscribers.</w:t>
      </w:r>
      <w:r>
        <w:rPr>
          <w:rFonts w:ascii="Times New Roman;Times;serif" w:hAnsi="Times New Roman;Times;serif"/>
          <w:sz w:val="20"/>
        </w:rPr>
        <w:t xml:space="preserve"> </w:t>
      </w:r>
      <w:r>
        <w:rPr>
          <w:rFonts w:ascii="Arial;Helvetica;sans-serif" w:hAnsi="Arial;Helvetica;sans-serif"/>
          <w:sz w:val="20"/>
        </w:rPr>
        <w:t xml:space="preserve">We include customers obtained through direct sales, independent third-party retailers 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 </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hd w:fill="FFFF00" w:val="clear"/>
        </w:rPr>
      </w:pPr>
      <w:r>
        <w:rPr>
          <w:shd w:fill="FFFF00" w:val="clea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0"/>
          <w:sz w:val="20"/>
        </w:rPr>
        <w:t>SLING TV subscribers.</w:t>
      </w:r>
      <w:r>
        <w:rPr>
          <w:rFonts w:ascii="Times New Roman;Times;serif" w:hAnsi="Times New Roman;Times;serif"/>
          <w:spacing w:val="-2"/>
          <w:sz w:val="18"/>
        </w:rPr>
        <w:t xml:space="preserve"> </w:t>
      </w:r>
      <w:r>
        <w:rPr>
          <w:rFonts w:ascii="Arial;Helvetica;sans-serif" w:hAnsi="Arial;Helvetica;sans-serif"/>
          <w:spacing w:val="-2"/>
          <w:sz w:val="20"/>
        </w:rPr>
        <w:t xml:space="preserve">We include customers obtained through direct sales and third-party marketing agreements in our SLING TV subscriber count. SLING TV subscriber additions are recorded net of disconnects. For customers who subscribe to multiple SLING TV packages, each customer is only counted as one SLING TV subscriber. Prior to August 2025, SLING TV customers receiving SLING TV Freestream service, non-recurring video services, or service for no charge, under certain new subscriber promotions, were excluded from our SLING TV subscriber count. </w:t>
      </w:r>
      <w:r>
        <w:rPr>
          <w:rFonts w:ascii="Arial;Helvetica;sans-serif" w:hAnsi="Arial;Helvetica;sans-serif"/>
          <w:color w:val="222222"/>
          <w:spacing w:val="-2"/>
          <w:sz w:val="20"/>
          <w:shd w:fill="FFFFFF" w:val="clear"/>
        </w:rPr>
        <w:t xml:space="preserve">Beginning in August 2025, for certain SLING TV Freestream, Day Pass, Weekend </w:t>
      </w:r>
      <w:r>
        <w:rPr>
          <w:rFonts w:ascii="Arial;Helvetica;sans-serif" w:hAnsi="Arial;Helvetica;sans-serif"/>
          <w:spacing w:val="-2"/>
          <w:sz w:val="20"/>
        </w:rPr>
        <w:t>Pass and Week Pass subscribers, and other non-recurring video service accounts where we receive non-recurring user and ad insertion revenue (“SLING TV Flexible Offerings”), we divide our total SLING TV Flexible Offerings revenue related to these services by the price of our lowest tier programming package under which a new subscriber can activate, and include the resulting number, which is substantially smaller than the actual number of SLING TV customers receiving SLING TV Flexible Offerings,</w:t>
      </w:r>
      <w:r>
        <w:rPr>
          <w:rFonts w:ascii="Times New Roman;Times;serif" w:hAnsi="Times New Roman;Times;serif"/>
          <w:color w:val="222222"/>
          <w:spacing w:val="-2"/>
          <w:sz w:val="18"/>
          <w:shd w:fill="FFFFFF" w:val="clear"/>
        </w:rPr>
        <w:t xml:space="preserve"> </w:t>
      </w:r>
      <w:r>
        <w:rPr>
          <w:rFonts w:ascii="Arial;Helvetica;sans-serif" w:hAnsi="Arial;Helvetica;sans-serif"/>
          <w:color w:val="222222"/>
          <w:spacing w:val="-2"/>
          <w:sz w:val="20"/>
          <w:shd w:fill="FFFFFF" w:val="clear"/>
        </w:rPr>
        <w:t>in the SLING TV subscriber count. </w:t>
      </w:r>
      <w:r>
        <w:rPr>
          <w:rFonts w:ascii="Times New Roman;Times;serif" w:hAnsi="Times New Roman;Times;serif"/>
          <w:spacing w:val="-2"/>
          <w:sz w:val="18"/>
        </w:rPr>
        <w:t xml:space="preserve"> </w:t>
      </w:r>
      <w:r>
        <w:rPr>
          <w:rFonts w:ascii="Arial;Helvetica;sans-serif" w:hAnsi="Arial;Helvetica;sans-serif"/>
          <w:spacing w:val="-2"/>
          <w:sz w:val="20"/>
        </w:rPr>
        <w:t>The impact of this change was an increase to our third quarter of 2025 subscriber count</w:t>
      </w:r>
      <w:r>
        <w:rPr>
          <w:rFonts w:ascii="Times New Roman;Times;serif" w:hAnsi="Times New Roman;Times;serif"/>
          <w:spacing w:val="-2"/>
          <w:sz w:val="18"/>
        </w:rPr>
        <w:t xml:space="preserve"> </w:t>
      </w:r>
      <w:r>
        <w:rPr>
          <w:rFonts w:ascii="Arial;Helvetica;sans-serif" w:hAnsi="Arial;Helvetica;sans-serif"/>
          <w:spacing w:val="-2"/>
          <w:sz w:val="20"/>
        </w:rPr>
        <w:t>of approximately 51,000 subscribers, representing the opening impact of the new calculation to our existing SLING TV subscriber base. All new SLING TV Flexible Offerings subscriber activations after this adjustment are included in net SLING TV subscriber additions for the period, based on the calculation above.</w:t>
      </w:r>
    </w:p>
    <w:p>
      <w:pPr>
        <w:pStyle w:val="TextBody"/>
        <w:bidi w:val="0"/>
        <w:spacing w:lineRule="atLeast" w:line="220"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Pay-TV subscribers.</w:t>
      </w:r>
      <w:r>
        <w:rPr>
          <w:rFonts w:ascii="Times New Roman;Times;serif" w:hAnsi="Times New Roman;Times;serif"/>
          <w:sz w:val="20"/>
        </w:rPr>
        <w:t xml:space="preserve"> </w:t>
      </w:r>
      <w:r>
        <w:rPr>
          <w:rFonts w:ascii="Arial;Helvetica;sans-serif" w:hAnsi="Arial;Helvetica;sans-serif"/>
          <w:sz w:val="20"/>
        </w:rPr>
        <w:t>Our Pay-TV subscriber count includes all DISH TV and SLING TV subscribers discussed above. For customers who subscribe to both our DISH TV services and our SLING TV services, each subscription is counted as a separate Pay-TV subscriber.</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Pay-TV average monthly revenue per subscriber (“Pay-TV ARPU”).</w:t>
      </w:r>
      <w:r>
        <w:rPr>
          <w:rFonts w:ascii="Times New Roman;Times;serif" w:hAnsi="Times New Roman;Times;serif"/>
          <w:sz w:val="20"/>
        </w:rPr>
        <w:t xml:space="preserve"> </w:t>
      </w:r>
      <w:r>
        <w:rPr>
          <w:rFonts w:ascii="Arial;Helvetica;sans-serif" w:hAnsi="Arial;Helvetica;sans-serif"/>
          <w:sz w:val="20"/>
        </w:rPr>
        <w:t>We are not aware of any uniform 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pStyle w:val="TextBody"/>
        <w:bidi w:val="0"/>
        <w:spacing w:lineRule="atLeast" w:line="22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DISH TV average monthly subscriber churn rate (“DISH TV churn rate”).</w:t>
      </w:r>
      <w:r>
        <w:rPr>
          <w:rFonts w:ascii="Times New Roman;Times;serif" w:hAnsi="Times New Roman;Times;serif"/>
          <w:sz w:val="20"/>
        </w:rPr>
        <w:t xml:space="preserve"> </w:t>
      </w:r>
      <w:r>
        <w:rPr>
          <w:rFonts w:ascii="Arial;Helvetica;sans-serif" w:hAnsi="Arial;Helvetica;sans-serif"/>
          <w:sz w:val="20"/>
        </w:rPr>
        <w:t>We are not aware of any uniform 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pStyle w:val="TextBody"/>
        <w:bidi w:val="0"/>
        <w:spacing w:before="0" w:after="0"/>
        <w:ind w:left="0" w:right="0" w:hanging="0"/>
        <w:jc w:val="left"/>
        <w:rPr/>
      </w:pPr>
      <w:r>
        <w:rPr/>
        <w:t>​</w:t>
      </w:r>
    </w:p>
    <w:p>
      <w:pPr>
        <w:pStyle w:val="TextBody"/>
        <w:bidi w:val="0"/>
        <w:spacing w:lineRule="atLeast" w:line="220" w:before="0" w:after="0"/>
        <w:ind w:left="0" w:right="0" w:hanging="0"/>
        <w:jc w:val="left"/>
        <w:rPr>
          <w:rFonts w:ascii="Times New Roman;Times;serif" w:hAnsi="Times New Roman;Times;serif"/>
          <w:sz w:val="20"/>
        </w:rPr>
      </w:pPr>
      <w:r>
        <w:rPr>
          <w:rFonts w:ascii="Arial;Helvetica;sans-serif" w:hAnsi="Arial;Helvetica;sans-serif"/>
          <w:b/>
          <w:i/>
          <w:sz w:val="20"/>
        </w:rPr>
        <w:t>DISH TV SAC.</w:t>
      </w:r>
      <w:r>
        <w:rPr>
          <w:rFonts w:ascii="Times New Roman;Times;serif" w:hAnsi="Times New Roman;Times;serif"/>
          <w:sz w:val="20"/>
        </w:rPr>
        <w:t xml:space="preserve"> </w:t>
      </w:r>
      <w:r>
        <w:rPr>
          <w:rFonts w:ascii="Arial;Helvetica;sans-serif" w:hAnsi="Arial;Helvetica;sans-serif"/>
          <w:sz w:val="20"/>
        </w:rPr>
        <w:t xml:space="preserve">Subscriber acquisition cost measures are commonly used by those evaluating traditional 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 xml:space="preserve">Wireless subscribers. </w:t>
      </w:r>
      <w:r>
        <w:rPr>
          <w:rFonts w:ascii="Arial;Helvetica;sans-serif" w:hAnsi="Arial;Helvetica;sans-serif"/>
          <w:spacing w:val="-2"/>
          <w:sz w:val="20"/>
        </w:rPr>
        <w:t>We include customers obtained through direct sales, independent third-party 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pStyle w:val="TextBody"/>
        <w:pBdr/>
        <w:bidi w:val="0"/>
        <w:spacing w:before="0" w:after="0"/>
        <w:ind w:left="0" w:right="0" w:hanging="14"/>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Government subsidized wireless subscribers and other wireless subscribers (“Government subsidized subscribers”).</w:t>
      </w:r>
      <w:r>
        <w:rPr>
          <w:rFonts w:ascii="Times New Roman;Times;serif" w:hAnsi="Times New Roman;Times;serif"/>
          <w:spacing w:val="-2"/>
          <w:sz w:val="18"/>
        </w:rPr>
        <w:t xml:space="preserve"> </w:t>
      </w:r>
      <w:r>
        <w:rPr>
          <w:rFonts w:ascii="Arial;Helvetica;sans-serif" w:hAnsi="Arial;Helvetica;sans-serif"/>
          <w:spacing w:val="-2"/>
          <w:sz w:val="20"/>
        </w:rPr>
        <w:t xml:space="preserve">Our Government subsidized subscribers have different subscriber economics than our core 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ACP program and Lifeline program, defined below, and other subscribers acquired under the Gen Mobile brand. The Affordable Connectivity Program (“ACP”) was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 xml:space="preserve">Wireless average monthly revenue per subscriber (“Wireless ARPU”). </w:t>
      </w:r>
      <w:r>
        <w:rPr>
          <w:rFonts w:ascii="Arial;Helvetica;sans-serif" w:hAnsi="Arial;Helvetica;sans-serif"/>
          <w:spacing w:val="-2"/>
          <w:sz w:val="20"/>
        </w:rPr>
        <w:t>We are not aware of any uniform 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pStyle w:val="TextBody"/>
        <w:bidi w:val="0"/>
        <w:spacing w:before="0" w:after="0"/>
        <w:ind w:left="0" w:right="0" w:hanging="0"/>
        <w:jc w:val="both"/>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 xml:space="preserve">Wireless average monthly subscriber churn rate (“Wireless churn rate”). </w:t>
      </w:r>
      <w:r>
        <w:rPr>
          <w:rFonts w:ascii="Arial;Helvetica;sans-serif" w:hAnsi="Arial;Helvetica;sans-serif"/>
          <w:spacing w:val="-2"/>
          <w:sz w:val="20"/>
        </w:rPr>
        <w:t xml:space="preserve">We are not aware of any uniform 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spacing w:val="-2"/>
          <w:sz w:val="20"/>
        </w:rPr>
      </w:pPr>
      <w:r>
        <w:rPr>
          <w:rFonts w:ascii="Arial;Helvetica;sans-serif" w:hAnsi="Arial;Helvetica;sans-serif"/>
          <w:b/>
          <w:spacing w:val="-2"/>
          <w:sz w:val="20"/>
        </w:rPr>
        <w:t>RESULTS OF OPERATIONS – Segments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spacing w:val="-2"/>
          <w:sz w:val="20"/>
        </w:rPr>
      </w:pPr>
      <w:r>
        <w:rPr>
          <w:rFonts w:ascii="Arial;Helvetica;sans-serif" w:hAnsi="Arial;Helvetica;sans-serif"/>
          <w:b/>
          <w:spacing w:val="-2"/>
          <w:sz w:val="20"/>
        </w:rPr>
        <w:t>Business Segments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currently operate two primary business segments: (1) Pay-TV and (2) Wireless. Revenue and operating income (loss) by segment are shown in the table below:</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Three Months Ended September 30, 2025 Compared to the Three Months Ended September 30, 2024.</w:t>
      </w:r>
    </w:p>
    <w:p>
      <w:pPr>
        <w:pStyle w:val="TextBody"/>
        <w:bidi w:val="0"/>
        <w:spacing w:before="0" w:after="0"/>
        <w:ind w:left="0" w:right="0" w:hanging="0"/>
        <w:jc w:val="both"/>
        <w:rPr>
          <w:spacing w:val="-2"/>
        </w:rPr>
      </w:pPr>
      <w:r>
        <w:rPr>
          <w:spacing w:val="-2"/>
        </w:rPr>
        <w:t>​</w:t>
      </w:r>
    </w:p>
    <w:tbl>
      <w:tblPr>
        <w:tblW w:w="7973" w:type="dxa"/>
        <w:jc w:val="left"/>
        <w:tblInd w:w="0" w:type="dxa"/>
        <w:tblLayout w:type="fixed"/>
        <w:tblCellMar>
          <w:top w:w="0" w:type="dxa"/>
          <w:left w:w="0" w:type="dxa"/>
          <w:bottom w:w="0" w:type="dxa"/>
          <w:right w:w="0" w:type="dxa"/>
        </w:tblCellMar>
      </w:tblPr>
      <w:tblGrid>
        <w:gridCol w:w="2596"/>
        <w:gridCol w:w="109"/>
        <w:gridCol w:w="211"/>
        <w:gridCol w:w="1156"/>
        <w:gridCol w:w="326"/>
        <w:gridCol w:w="211"/>
        <w:gridCol w:w="931"/>
        <w:gridCol w:w="326"/>
        <w:gridCol w:w="211"/>
        <w:gridCol w:w="1156"/>
        <w:gridCol w:w="109"/>
        <w:gridCol w:w="63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648460" cy="175260"/>
                      <wp:effectExtent l="0" t="0" r="0" b="0"/>
                      <wp:wrapNone/>
                      <wp:docPr id="387" name="Frame38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9215" cy="175260"/>
                      <wp:effectExtent l="0" t="0" r="0" b="0"/>
                      <wp:wrapNone/>
                      <wp:docPr id="388" name="Frame3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34060" cy="175260"/>
                      <wp:effectExtent l="0" t="0" r="0" b="0"/>
                      <wp:wrapNone/>
                      <wp:docPr id="390" name="Frame39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91185" cy="175260"/>
                      <wp:effectExtent l="0" t="0" r="0" b="0"/>
                      <wp:wrapNone/>
                      <wp:docPr id="393" name="Frame39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34060" cy="175260"/>
                      <wp:effectExtent l="0" t="0" r="0" b="0"/>
                      <wp:wrapNone/>
                      <wp:docPr id="396" name="Frame39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00685" cy="175260"/>
                      <wp:effectExtent l="0" t="0" r="0" b="0"/>
                      <wp:wrapNone/>
                      <wp:docPr id="398" name="Frame39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83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107"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109"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7973"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52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2,341,183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2,618,031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(276,848)</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938,799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898,003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40,796</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Eliminations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1,629</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3,280,894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3,515,317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(234,423)</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25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588,501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(39,113)</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(16,715,718)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(712,814)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(16,002,904)</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Eliminations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operating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(16,166,330)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(124,500)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(16,041,830)</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 xml:space="preserve">*Percentage is not meaningful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 xml:space="preserve">Total revenue. </w:t>
      </w:r>
      <w:r>
        <w:rPr>
          <w:rFonts w:ascii="Arial;Helvetica;sans-serif" w:hAnsi="Arial;Helvetica;sans-serif"/>
          <w:spacing w:val="-2"/>
          <w:sz w:val="20"/>
        </w:rPr>
        <w:t>Our consolidated revenue totaled $3.281 billion for the three months ended September 30, 2025, a decrease of $234 million or 6.7% compared to the same period in 2024. The net decrease primarily resulted from the decrease in revenue from our Pay-TV segment, partially offset by the increase in revenue from our Wireless segment.</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 xml:space="preserve">Total operating income (loss). </w:t>
      </w:r>
      <w:r>
        <w:rPr>
          <w:rFonts w:ascii="Arial;Helvetica;sans-serif" w:hAnsi="Arial;Helvetica;sans-serif"/>
          <w:spacing w:val="-2"/>
          <w:sz w:val="20"/>
        </w:rPr>
        <w:t>Our consolidated operating loss totaled $16.166 billion for the three months ended September 30, 2025, an increase in operating loss of $16.042 billion compared to the same period in 2024. This change primarily resulted from an increase in operating loss from our Wireless segment and a decrease in operating income from our Pay-TV segment. The three months ended September 30, 2025 was adversely impacted by “Impairments and other” of $16.036 billion from our Wireless segment. See Note 1 in the Notes to our Condensed Consolidated Financial Statements for further information.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Nine Months Ended September 30, 2025 Compared to the Nine Months Ended September 30, 2024.</w:t>
      </w:r>
    </w:p>
    <w:p>
      <w:pPr>
        <w:pStyle w:val="TextBody"/>
        <w:bidi w:val="0"/>
        <w:spacing w:before="0" w:after="0"/>
        <w:ind w:left="0" w:right="0" w:hanging="0"/>
        <w:jc w:val="left"/>
        <w:rPr>
          <w:spacing w:val="-2"/>
        </w:rPr>
      </w:pPr>
      <w:r>
        <w:rPr>
          <w:spacing w:val="-2"/>
        </w:rPr>
        <w:t>​</w:t>
      </w:r>
    </w:p>
    <w:tbl>
      <w:tblPr>
        <w:tblW w:w="7876" w:type="dxa"/>
        <w:jc w:val="left"/>
        <w:tblInd w:w="0" w:type="dxa"/>
        <w:tblLayout w:type="fixed"/>
        <w:tblCellMar>
          <w:top w:w="0" w:type="dxa"/>
          <w:left w:w="0" w:type="dxa"/>
          <w:bottom w:w="0" w:type="dxa"/>
          <w:right w:w="0" w:type="dxa"/>
        </w:tblCellMar>
      </w:tblPr>
      <w:tblGrid>
        <w:gridCol w:w="2596"/>
        <w:gridCol w:w="109"/>
        <w:gridCol w:w="211"/>
        <w:gridCol w:w="1156"/>
        <w:gridCol w:w="326"/>
        <w:gridCol w:w="211"/>
        <w:gridCol w:w="1051"/>
        <w:gridCol w:w="109"/>
        <w:gridCol w:w="211"/>
        <w:gridCol w:w="1156"/>
        <w:gridCol w:w="109"/>
        <w:gridCol w:w="63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648460" cy="175260"/>
                      <wp:effectExtent l="0" t="0" r="0" b="0"/>
                      <wp:wrapNone/>
                      <wp:docPr id="399" name="Frame39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9215" cy="175260"/>
                      <wp:effectExtent l="0" t="0" r="0" b="0"/>
                      <wp:wrapNone/>
                      <wp:docPr id="400" name="Frame4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734060" cy="175260"/>
                      <wp:effectExtent l="0" t="0" r="0" b="0"/>
                      <wp:wrapNone/>
                      <wp:docPr id="402" name="Frame40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67385" cy="175260"/>
                      <wp:effectExtent l="0" t="0" r="0" b="0"/>
                      <wp:wrapNone/>
                      <wp:docPr id="405" name="Frame40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9215" cy="175260"/>
                      <wp:effectExtent l="0" t="0" r="0" b="0"/>
                      <wp:wrapNone/>
                      <wp:docPr id="406"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33985" cy="175260"/>
                      <wp:effectExtent l="0" t="0" r="0" b="0"/>
                      <wp:wrapNone/>
                      <wp:docPr id="407" name="Frame4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34060" cy="175260"/>
                      <wp:effectExtent l="0" t="0" r="0" b="0"/>
                      <wp:wrapNone/>
                      <wp:docPr id="408" name="Frame40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9215" cy="175260"/>
                      <wp:effectExtent l="0" t="0" r="0" b="0"/>
                      <wp:wrapNone/>
                      <wp:docPr id="409" name="Frame4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00685" cy="175260"/>
                      <wp:effectExtent l="0" t="0" r="0" b="0"/>
                      <wp:wrapNone/>
                      <wp:docPr id="410" name="Frame41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5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109" w:type="dxa"/>
            <w:tcBorders/>
            <w:vAlign w:val="center"/>
          </w:tcPr>
          <w:p>
            <w:pPr>
              <w:pStyle w:val="TableContents"/>
              <w:bidi w:val="0"/>
              <w:spacing w:before="0" w:after="0"/>
              <w:ind w:left="0" w:right="0" w:hanging="0"/>
              <w:jc w:val="center"/>
              <w:rPr/>
            </w:pPr>
            <w:r>
              <w:rPr/>
              <w:t>​</w:t>
            </w:r>
          </w:p>
        </w:tc>
        <w:tc>
          <w:tcPr>
            <w:tcW w:w="2107"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left"/>
              <w:rPr/>
            </w:pPr>
            <w:r>
              <w:rPr/>
              <w:t>    </w:t>
            </w:r>
          </w:p>
        </w:tc>
        <w:tc>
          <w:tcPr>
            <w:tcW w:w="12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109"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109" w:type="dxa"/>
            <w:tcBorders/>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7876"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431"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7,342,159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8,020,893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(678,734)</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2,845,899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2,703,539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142,360</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Eliminations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(306)</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(32.0)</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10,186,796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10,723,476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(536,680)</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r>
      <w:tr>
        <w:trPr/>
        <w:tc>
          <w:tcPr>
            <w:tcW w:w="259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1,798,370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1,926,541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(128,171)</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(18,203,053)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(2,056,833)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(16,146,220)</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259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Eliminations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259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Total operating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(16,404,683)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(130,292)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(16,274,391)</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w:t>
      </w:r>
    </w:p>
    <w:tbl>
      <w:tblPr>
        <w:tblW w:w="2840" w:type="dxa"/>
        <w:jc w:val="left"/>
        <w:tblInd w:w="0" w:type="dxa"/>
        <w:tblLayout w:type="fixed"/>
        <w:tblCellMar>
          <w:top w:w="0" w:type="dxa"/>
          <w:left w:w="0" w:type="dxa"/>
          <w:bottom w:w="0" w:type="dxa"/>
          <w:right w:w="0" w:type="dxa"/>
        </w:tblCellMar>
      </w:tblPr>
      <w:tblGrid>
        <w:gridCol w:w="196"/>
        <w:gridCol w:w="2644"/>
      </w:tblGrid>
      <w:tr>
        <w:trPr/>
        <w:tc>
          <w:tcPr>
            <w:tcW w:w="196" w:type="dxa"/>
            <w:tcBorders/>
            <w:vAlign w:val="center"/>
          </w:tcPr>
          <w:p>
            <w:pPr>
              <w:pStyle w:val="TableContents"/>
              <w:bidi w:val="0"/>
              <w:spacing w:before="0" w:after="0"/>
              <w:jc w:val="left"/>
              <w:rPr>
                <w:rFonts w:ascii="Arial;Helvetica;sans-serif" w:hAnsi="Arial;Helvetica;sans-serif"/>
                <w:spacing w:val="-2"/>
                <w:sz w:val="18"/>
              </w:rPr>
            </w:pPr>
            <w:r>
              <w:rPr>
                <w:rFonts w:ascii="Arial;Helvetica;sans-serif" w:hAnsi="Arial;Helvetica;sans-serif"/>
                <w:spacing w:val="-2"/>
                <w:sz w:val="18"/>
              </w:rPr>
              <w:t>*</w:t>
            </w:r>
          </w:p>
        </w:tc>
        <w:tc>
          <w:tcPr>
            <w:tcW w:w="2644"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Percentage is not meaningful</w:t>
            </w:r>
          </w:p>
        </w:tc>
      </w:tr>
    </w:tbl>
    <w:p>
      <w:pPr>
        <w:pStyle w:val="TextBody"/>
        <w:pBdr/>
        <w:bidi w:val="0"/>
        <w:spacing w:before="0" w:after="0"/>
        <w:ind w:left="0" w:right="0" w:hanging="36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Total revenue. </w:t>
      </w:r>
      <w:r>
        <w:rPr>
          <w:rFonts w:ascii="Arial;Helvetica;sans-serif" w:hAnsi="Arial;Helvetica;sans-serif"/>
          <w:spacing w:val="-2"/>
          <w:sz w:val="20"/>
        </w:rPr>
        <w:t>Our consolidated revenue totaled $10.187 billion for the nine months ended September 30, 2025, a decrease of $537 million or 5.0% compared to the same period in 2024. The net decrease primarily resulted from the decrease in revenue from our Pay-TV segment, partially offset by the increase in revenue from our Wireless segment.</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 xml:space="preserve">Total operating income (loss). </w:t>
      </w:r>
      <w:r>
        <w:rPr>
          <w:rFonts w:ascii="Arial;Helvetica;sans-serif" w:hAnsi="Arial;Helvetica;sans-serif"/>
          <w:spacing w:val="-2"/>
          <w:sz w:val="20"/>
        </w:rPr>
        <w:t>Our consolidated operating loss totaled $16.405 billion for the nine months ended September 30, 2025, an increase in operating loss of $16.274 billion compared to the same period in 2024. This change primarily resulted from an increase in operating loss from our Wireless segment and a decrease in operating income from our Pay-TV segment. The nine months ended September 30, 2025 was adversely impacted by “Impairments and other” of $16.036 billion from our Wireless segment. See Note 1 in the Notes to our Condensed Consolidated Financial Statements for further information.</w:t>
      </w:r>
    </w:p>
    <w:p>
      <w:pPr>
        <w:pStyle w:val="TextBody"/>
        <w:pBdr/>
        <w:bidi w:val="0"/>
        <w:spacing w:before="0" w:after="0"/>
        <w:ind w:left="0" w:right="0" w:hanging="14"/>
        <w:jc w:val="left"/>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Pay-TV Segment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We offer Pay-TV services under the DISH</w:t>
      </w:r>
      <w:r>
        <w:rPr>
          <w:rFonts w:ascii="Times New Roman;Times;serif" w:hAnsi="Times New Roman;Times;serif"/>
          <w:spacing w:val="-2"/>
          <w:sz w:val="18"/>
        </w:rPr>
        <w:t xml:space="preserve"> </w:t>
      </w:r>
      <w:r>
        <w:rPr>
          <w:rFonts w:ascii="Arial;Helvetica;sans-serif" w:hAnsi="Arial;Helvetica;sans-serif"/>
          <w:spacing w:val="-2"/>
          <w:sz w:val="20"/>
        </w:rPr>
        <w:t>brand and the SLING</w:t>
      </w:r>
      <w:r>
        <w:rPr>
          <w:rFonts w:ascii="Times New Roman;Times;serif" w:hAnsi="Times New Roman;Times;serif"/>
          <w:spacing w:val="-2"/>
          <w:sz w:val="18"/>
        </w:rPr>
        <w:t xml:space="preserve"> </w:t>
      </w:r>
      <w:r>
        <w:rPr>
          <w:rFonts w:ascii="Arial;Helvetica;sans-serif" w:hAnsi="Arial;Helvetica;sans-serif"/>
          <w:spacing w:val="-2"/>
          <w:sz w:val="20"/>
        </w:rPr>
        <w:t xml:space="preserve">brand. As of September 30, 2025, we had 7.166 million Pay-TV subscribers in the United States, including 5.171 million DISH TV subscribers and 1.995 million SLING TV subscribers. </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Trends in our Pay-TV Segment</w:t>
      </w:r>
    </w:p>
    <w:p>
      <w:pPr>
        <w:pStyle w:val="TextBody"/>
        <w:bidi w:val="0"/>
        <w:spacing w:before="0" w:after="0"/>
        <w:ind w:left="0" w:right="0" w:hanging="0"/>
        <w:jc w:val="left"/>
        <w:rPr>
          <w:spacing w:val="-2"/>
        </w:rPr>
      </w:pPr>
      <w:r>
        <w:rPr>
          <w:spacing w:val="-2"/>
        </w:rPr>
        <w:t>​</w:t>
      </w:r>
    </w:p>
    <w:p>
      <w:pPr>
        <w:pStyle w:val="TextBody"/>
        <w:bidi w:val="0"/>
        <w:spacing w:before="40" w:after="0"/>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Competition</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14"/>
        <w:jc w:val="left"/>
        <w:rPr>
          <w:rFonts w:ascii="Arial;Helvetica;sans-serif" w:hAnsi="Arial;Helvetica;sans-serif"/>
          <w:spacing w:val="-2"/>
          <w:sz w:val="20"/>
        </w:rPr>
      </w:pPr>
      <w:r>
        <w:rPr>
          <w:rFonts w:ascii="Arial;Helvetica;sans-serif" w:hAnsi="Arial;Helvetica;sans-serif"/>
          <w:spacing w:val="-2"/>
          <w:sz w:val="20"/>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pStyle w:val="TextBody"/>
        <w:pBdr/>
        <w:bidi w:val="0"/>
        <w:spacing w:before="0" w:after="0"/>
        <w:ind w:left="0" w:right="0" w:hanging="14"/>
        <w:jc w:val="left"/>
        <w:rPr>
          <w:spacing w:val="-2"/>
        </w:rPr>
      </w:pPr>
      <w:r>
        <w:rPr>
          <w:spacing w:val="-2"/>
        </w:rPr>
        <w:t>​</w:t>
      </w:r>
    </w:p>
    <w:p>
      <w:pPr>
        <w:pStyle w:val="TextBody"/>
        <w:pBdr/>
        <w:bidi w:val="0"/>
        <w:spacing w:before="0" w:after="0"/>
        <w:ind w:left="0" w:right="0" w:hanging="14"/>
        <w:jc w:val="left"/>
        <w:rPr>
          <w:rFonts w:ascii="Arial;Helvetica;sans-serif" w:hAnsi="Arial;Helvetica;sans-serif"/>
          <w:spacing w:val="-2"/>
          <w:sz w:val="20"/>
        </w:rPr>
      </w:pPr>
      <w:r>
        <w:rPr>
          <w:rFonts w:ascii="Arial;Helvetica;sans-serif" w:hAnsi="Arial;Helvetica;sans-serif"/>
          <w:spacing w:val="-2"/>
          <w:sz w:val="20"/>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ESPN Unlimited, FOX One, Peacock, Fubo, Philo and Tubi and certain bundles of these offerings.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2024 and elsewhere in our public filings. These transactions may affect us adversely by, among other things, making it more difficult for us to obtain access to certain programming networks on nondiscriminatory and fair terms, or at all.</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pStyle w:val="TextBody"/>
        <w:pBdr/>
        <w:bidi w:val="0"/>
        <w:spacing w:before="0" w:after="0"/>
        <w:ind w:left="0" w:right="0" w:hanging="9"/>
        <w:jc w:val="left"/>
        <w:rPr>
          <w:spacing w:val="-2"/>
        </w:rPr>
      </w:pPr>
      <w:r>
        <w:rPr>
          <w:spacing w:val="-2"/>
        </w:rPr>
        <w:t>​</w:t>
      </w:r>
    </w:p>
    <w:p>
      <w:pPr>
        <w:pStyle w:val="TextBody"/>
        <w:bidi w:val="0"/>
        <w:spacing w:before="40" w:after="0"/>
        <w:ind w:left="0" w:right="0" w:hanging="0"/>
        <w:jc w:val="left"/>
        <w:rPr>
          <w:rFonts w:ascii="Arial;Helvetica;sans-serif" w:hAnsi="Arial;Helvetica;sans-serif"/>
          <w:b/>
          <w:i/>
          <w:color w:val="000000"/>
          <w:sz w:val="20"/>
        </w:rPr>
      </w:pPr>
      <w:r>
        <w:rPr>
          <w:rFonts w:ascii="Arial;Helvetica;sans-serif" w:hAnsi="Arial;Helvetica;sans-serif"/>
          <w:b/>
          <w:i/>
          <w:color w:val="000000"/>
          <w:sz w:val="20"/>
        </w:rPr>
        <w:t>Programming</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Arial;Helvetica;sans-serif" w:hAnsi="Arial;Helvetica;sans-serif"/>
          <w:spacing w:val="-2"/>
          <w:sz w:val="20"/>
        </w:rPr>
      </w:pPr>
      <w:r>
        <w:rPr>
          <w:rFonts w:ascii="Arial;Helvetica;sans-serif" w:hAnsi="Arial;Helvetica;sans-serif"/>
          <w:spacing w:val="-2"/>
          <w:sz w:val="20"/>
        </w:rPr>
        <w:t>Furthermore, our net Pay-TV subscriber additions, gross new DISH TV subscriber activations, and DISH TV churn rate may be negatively impacted if we are unable to renew our long-term programming carriage contracts on acceptable terms or at all.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RESULTS OF OPERATIONS – Pay-TV Segment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Three Months Ended September 30, 2025 Compared to the Three Months Ended September 30, 2024.</w:t>
      </w:r>
    </w:p>
    <w:p>
      <w:pPr>
        <w:pStyle w:val="TextBody"/>
        <w:bidi w:val="0"/>
        <w:spacing w:before="0" w:after="0"/>
        <w:ind w:left="0" w:right="0" w:hanging="0"/>
        <w:jc w:val="both"/>
        <w:rPr>
          <w:spacing w:val="-2"/>
        </w:rPr>
      </w:pPr>
      <w:r>
        <w:rPr>
          <w:spacing w:val="-2"/>
        </w:rPr>
        <w:t>​</w:t>
      </w:r>
    </w:p>
    <w:tbl>
      <w:tblPr>
        <w:tblW w:w="9982" w:type="dxa"/>
        <w:jc w:val="left"/>
        <w:tblInd w:w="0" w:type="dxa"/>
        <w:tblLayout w:type="fixed"/>
        <w:tblCellMar>
          <w:top w:w="0" w:type="dxa"/>
          <w:left w:w="0" w:type="dxa"/>
          <w:bottom w:w="0" w:type="dxa"/>
          <w:right w:w="0" w:type="dxa"/>
        </w:tblCellMar>
      </w:tblPr>
      <w:tblGrid>
        <w:gridCol w:w="4651"/>
        <w:gridCol w:w="326"/>
        <w:gridCol w:w="211"/>
        <w:gridCol w:w="931"/>
        <w:gridCol w:w="326"/>
        <w:gridCol w:w="211"/>
        <w:gridCol w:w="931"/>
        <w:gridCol w:w="326"/>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953385" cy="175260"/>
                      <wp:effectExtent l="0" t="0" r="0" b="0"/>
                      <wp:wrapNone/>
                      <wp:docPr id="411" name="Frame411"/>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1185" cy="175260"/>
                      <wp:effectExtent l="0" t="0" r="0" b="0"/>
                      <wp:wrapNone/>
                      <wp:docPr id="414" name="Frame41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4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91185" cy="175260"/>
                      <wp:effectExtent l="0" t="0" r="0" b="0"/>
                      <wp:wrapNone/>
                      <wp:docPr id="417" name="Frame4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72135" cy="175260"/>
                      <wp:effectExtent l="0" t="0" r="0" b="0"/>
                      <wp:wrapNone/>
                      <wp:docPr id="420" name="Frame420"/>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7010" cy="175260"/>
                      <wp:effectExtent l="0" t="0" r="0" b="0"/>
                      <wp:wrapNone/>
                      <wp:docPr id="421"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00685" cy="175260"/>
                      <wp:effectExtent l="0" t="0" r="0" b="0"/>
                      <wp:wrapNone/>
                      <wp:docPr id="422" name="Frame4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4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2,328,705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2,602,176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(273,471)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(3,377)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(21.3)</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2,341,183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2,618,031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(276,848)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1,465,094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1,639,005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(173,911)</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62.9</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63.0</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(10,765)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257,174</w:t>
            </w:r>
          </w:p>
        </w:tc>
        <w:tc>
          <w:tcPr>
            <w:tcW w:w="537" w:type="dxa"/>
            <w:gridSpan w:val="2"/>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283,780</w:t>
            </w:r>
          </w:p>
        </w:tc>
        <w:tc>
          <w:tcPr>
            <w:tcW w:w="537" w:type="dxa"/>
            <w:gridSpan w:val="2"/>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(26,606)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11.0</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10.8</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87,502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(26,453)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(30.2)</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1,791,795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2,029,530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(237,735)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(11.7)</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588,501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(39,113)</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(0.865)</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(0.717)</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(0.148)</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0.050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DISH TV subscriber additions (losses), net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0.036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19.1</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0.014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1.09</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(0.018)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(24.0)</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1.47</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(9.5)</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349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35.4</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98,553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53,357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45,196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84.7</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610,437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676,003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(65,566)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(9.7)</w:t>
            </w:r>
          </w:p>
        </w:tc>
      </w:tr>
    </w:tbl>
    <w:tbl>
      <w:tblPr>
        <w:tblW w:w="2898" w:type="dxa"/>
        <w:jc w:val="left"/>
        <w:tblInd w:w="0" w:type="dxa"/>
        <w:tblLayout w:type="fixed"/>
        <w:tblCellMar>
          <w:top w:w="0" w:type="dxa"/>
          <w:left w:w="0" w:type="dxa"/>
          <w:bottom w:w="0" w:type="dxa"/>
          <w:right w:w="0" w:type="dxa"/>
        </w:tblCellMar>
      </w:tblPr>
      <w:tblGrid>
        <w:gridCol w:w="196"/>
        <w:gridCol w:w="2702"/>
      </w:tblGrid>
      <w:tr>
        <w:trPr/>
        <w:tc>
          <w:tcPr>
            <w:tcW w:w="196" w:type="dxa"/>
            <w:tcBorders/>
            <w:vAlign w:val="center"/>
          </w:tcPr>
          <w:p>
            <w:pPr>
              <w:pStyle w:val="TableContents"/>
              <w:bidi w:val="0"/>
              <w:spacing w:before="0" w:after="0"/>
              <w:jc w:val="both"/>
              <w:rPr>
                <w:rFonts w:ascii="Arial;Helvetica;sans-serif" w:hAnsi="Arial;Helvetica;sans-serif"/>
                <w:spacing w:val="-2"/>
                <w:sz w:val="20"/>
              </w:rPr>
            </w:pPr>
            <w:r>
              <w:rPr>
                <w:rFonts w:ascii="Arial;Helvetica;sans-serif" w:hAnsi="Arial;Helvetica;sans-serif"/>
                <w:spacing w:val="-2"/>
                <w:sz w:val="20"/>
              </w:rPr>
              <w:t>*</w:t>
            </w:r>
          </w:p>
        </w:tc>
        <w:tc>
          <w:tcPr>
            <w:tcW w:w="2702" w:type="dxa"/>
            <w:tcBorders/>
            <w:vAlign w:val="center"/>
          </w:tcPr>
          <w:p>
            <w:pPr>
              <w:pStyle w:val="TableContents"/>
              <w:bidi w:val="0"/>
              <w:spacing w:before="0" w:after="0"/>
              <w:jc w:val="both"/>
              <w:rPr>
                <w:rFonts w:ascii="Arial;Helvetica;sans-serif" w:hAnsi="Arial;Helvetica;sans-serif"/>
                <w:spacing w:val="-2"/>
                <w:sz w:val="20"/>
              </w:rPr>
            </w:pPr>
            <w:r>
              <w:rPr>
                <w:rFonts w:ascii="Arial;Helvetica;sans-serif" w:hAnsi="Arial;Helvetica;sans-serif"/>
                <w:spacing w:val="-2"/>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40"/>
              <w:jc w:val="both"/>
              <w:rPr>
                <w:rFonts w:ascii="Arial;Helvetica;sans-serif" w:hAnsi="Arial;Helvetica;sans-serif"/>
                <w:spacing w:val="-2"/>
                <w:sz w:val="20"/>
              </w:rPr>
            </w:pPr>
            <w:r>
              <w:rPr>
                <w:rFonts w:ascii="Arial;Helvetica;sans-serif" w:hAnsi="Arial;Helvetica;sans-serif"/>
                <w:spacing w:val="-2"/>
                <w:sz w:val="20"/>
              </w:rPr>
              <w:t>**</w:t>
            </w:r>
          </w:p>
        </w:tc>
        <w:tc>
          <w:tcPr>
            <w:tcW w:w="10000" w:type="dxa"/>
            <w:tcBorders/>
            <w:vAlign w:val="center"/>
          </w:tcPr>
          <w:p>
            <w:pPr>
              <w:pStyle w:val="TableContents"/>
              <w:bidi w:val="0"/>
              <w:spacing w:before="0" w:after="240"/>
              <w:jc w:val="both"/>
              <w:rPr>
                <w:rFonts w:ascii="Times New Roman;Times;serif" w:hAnsi="Times New Roman;Times;serif"/>
                <w:sz w:val="20"/>
              </w:rPr>
            </w:pPr>
            <w:r>
              <w:rPr>
                <w:rFonts w:ascii="Arial;Helvetica;sans-serif" w:hAnsi="Arial;Helvetica;sans-serif"/>
                <w:sz w:val="20"/>
              </w:rPr>
              <w:t>Beginning in August 2025, we changed our calculation of SLING TV subscribers. The impact of this change was an increase to our period end SLING TV subscriber count</w:t>
            </w:r>
            <w:r>
              <w:rPr>
                <w:rFonts w:ascii="Times New Roman;Times;serif" w:hAnsi="Times New Roman;Times;serif"/>
                <w:sz w:val="20"/>
              </w:rPr>
              <w:t xml:space="preserve"> </w:t>
            </w:r>
            <w:r>
              <w:rPr>
                <w:rFonts w:ascii="Arial;Helvetica;sans-serif" w:hAnsi="Arial;Helvetica;sans-serif"/>
                <w:sz w:val="20"/>
              </w:rPr>
              <w:t>of approximately 51,000 subscribers during the three months ended September 30, 2025, representing the opening impact of the new calculation to our existing SLING TV subscriber base. All new SLING TV Flexible Offerings subscriber activations after this adjustment are included in net SLING TV subscriber additions for the period. This change had no material impact on any other reported subscriber metrics, other than our period end SLING TV subscriber count. See “</w:t>
            </w:r>
            <w:r>
              <w:rPr>
                <w:rFonts w:ascii="Arial;Helvetica;sans-serif" w:hAnsi="Arial;Helvetica;sans-serif"/>
                <w:i/>
                <w:sz w:val="20"/>
              </w:rPr>
              <w:t>Explanation of Key Metrics and Other Items – SLING TV subscribers</w:t>
            </w:r>
            <w:r>
              <w:rPr>
                <w:rFonts w:ascii="Times New Roman;Times;serif" w:hAnsi="Times New Roman;Times;serif"/>
                <w:sz w:val="20"/>
              </w:rPr>
              <w:t xml:space="preserve">” </w:t>
            </w:r>
            <w:r>
              <w:rPr>
                <w:rFonts w:ascii="Arial;Helvetica;sans-serif" w:hAnsi="Arial;Helvetica;sans-serif"/>
                <w:sz w:val="20"/>
              </w:rPr>
              <w:t>for further information.</w:t>
            </w:r>
          </w:p>
        </w:tc>
      </w:tr>
    </w:tbl>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Pay-TV Subscribers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DISH TV subscribers</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We lost approximately 152,000 net DISH TV subscribers during the three months ended September 30, 2025 compared to the loss of approximately 188,000 net DISH TV subscribers during the same period in 2024. This decrease in net DISH TV subscriber losses primarily resulted from a lower DISH TV churn rate, partially offset by lower gross new DISH TV subscriber activations.</w:t>
      </w:r>
    </w:p>
    <w:p>
      <w:pPr>
        <w:pStyle w:val="TextBody"/>
        <w:pBdr/>
        <w:bidi w:val="0"/>
        <w:spacing w:before="0" w:after="0"/>
        <w:ind w:left="0" w:right="0" w:hanging="9"/>
        <w:jc w:val="left"/>
        <w:rPr>
          <w:spacing w:val="-2"/>
          <w:shd w:fill="FFFF00" w:val="clear"/>
        </w:rPr>
      </w:pPr>
      <w:r>
        <w:rPr>
          <w:spacing w:val="-2"/>
          <w:shd w:fill="FFFF00" w:val="clear"/>
        </w:rPr>
        <w:t>​</w:t>
      </w:r>
    </w:p>
    <w:p>
      <w:pPr>
        <w:pStyle w:val="TextBody"/>
        <w:pBdr/>
        <w:bidi w:val="0"/>
        <w:spacing w:before="0" w:after="0"/>
        <w:ind w:left="0" w:right="0" w:hanging="9"/>
        <w:jc w:val="left"/>
        <w:rPr>
          <w:spacing w:val="-2"/>
          <w:shd w:fill="FFFF00" w:val="clear"/>
        </w:rPr>
      </w:pPr>
      <w:r>
        <w:rPr>
          <w:spacing w:val="-2"/>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SLING TV subscribers</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We added approximately 159,000 net SLING TV subscribers during the three months ended September 30, 2025 compared to the addition of approximately 145,000 net SLING TV subscribers during the same period in 2024. The increase in net SLING TV subscriber additions was primarily related to higher SLING TV subscriber activations resulting from the launch of SLING TV Flexible Offerings and lower SLING TV subscriber disconnects in 2025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w:t>
      </w:r>
    </w:p>
    <w:p>
      <w:pPr>
        <w:pStyle w:val="TextBody"/>
        <w:pBdr/>
        <w:bidi w:val="0"/>
        <w:spacing w:before="0" w:after="0"/>
        <w:ind w:left="0" w:right="0" w:hanging="14"/>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DISH TV subscribers, gross</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During the three months ended September 30, 2025, we activated approximately 57,000 gross new DISH TV subscribers compared to approximately 75,000 gross new DISH TV subscribers during the same period in 2024, a decrease of 24.0%. This decrease in our gross new DISH TV subscriber activations was primarily related to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DISH TV churn rate</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Our DISH TV churn rate for the three months ended September 30, 2025 was 1.33% compared to 1.47% for the same period in 2024. Our DISH TV churn rates for the three months ended September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Service revenue.</w:t>
      </w:r>
      <w:r>
        <w:rPr>
          <w:rFonts w:ascii="Times New Roman;Times;serif" w:hAnsi="Times New Roman;Times;serif"/>
          <w:spacing w:val="-2"/>
          <w:sz w:val="18"/>
        </w:rPr>
        <w:t xml:space="preserve"> “</w:t>
      </w:r>
      <w:r>
        <w:rPr>
          <w:rFonts w:ascii="Arial;Helvetica;sans-serif" w:hAnsi="Arial;Helvetica;sans-serif"/>
          <w:spacing w:val="-2"/>
          <w:sz w:val="20"/>
        </w:rPr>
        <w:t>Service revenue” totaled $2.329 billion for the three months ended September 30, 2025, a decrease of $273 million or 10.5% compared to the same period in 2024. The decrease in “Service revenue” compared to the same period in 2024 was primarily related to lower average Pay-TV subscriber base, partially offset by an increase in Pay-TV ARPU, discussed below.</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Pay-TV ARPU.</w:t>
      </w:r>
      <w:r>
        <w:rPr>
          <w:rFonts w:ascii="Times New Roman;Times;serif" w:hAnsi="Times New Roman;Times;serif"/>
          <w:spacing w:val="-2"/>
          <w:sz w:val="18"/>
        </w:rPr>
        <w:t xml:space="preserve"> </w:t>
      </w:r>
      <w:r>
        <w:rPr>
          <w:rFonts w:ascii="Arial;Helvetica;sans-serif" w:hAnsi="Arial;Helvetica;sans-serif"/>
          <w:spacing w:val="-2"/>
          <w:sz w:val="20"/>
        </w:rPr>
        <w:t>Pay-TV ARPU was $109.97 during the three months ended September 30, 2025 versus $108.88 during the same period in 2024. The $1.09 or 1.0% increase in Pay-TV ARPU was primarily attributable to the DISH TV and SLING TV programming price increases, partially offset by lower ad sales revenue. The DISH TV and SLING TV programming package price increases were effective in the third and fourth quarter of 2024, respectively. The three months ended September 30, 2025 was immaterially impacted by the DISH TV programming package increase effective in September 2025.</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Cost of services.</w:t>
      </w:r>
      <w:r>
        <w:rPr>
          <w:rFonts w:ascii="Times New Roman;Times;serif" w:hAnsi="Times New Roman;Times;serif"/>
          <w:spacing w:val="-2"/>
          <w:sz w:val="18"/>
        </w:rPr>
        <w:t xml:space="preserve"> “</w:t>
      </w:r>
      <w:r>
        <w:rPr>
          <w:rFonts w:ascii="Arial;Helvetica;sans-serif" w:hAnsi="Arial;Helvetica;sans-serif"/>
          <w:spacing w:val="-2"/>
          <w:sz w:val="20"/>
        </w:rPr>
        <w:t xml:space="preserve">Cost of services” totaled $1.465 billion during the three months ended September 30, 2025, a decrease of $174 million or 10.6% compared to the same period in 2024. The decrease in “Cost of services” was primarily attributable to a lower average Pay-TV subscriber base, partially offset by higher programming costs per subscriber. Programming costs per subscriber increased during the three months ended September 30, 2025 due to rate increases in certain of our programming contracts, including the renewal of certain contracts at higher rates, particularly for local broadcast channels. “Cost of services” represented 62.9% and 63.0% of “Service revenue” during the three months ended September 30, 2025 and 2024, respectively.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Selling, general and administrative expenses.</w:t>
      </w:r>
      <w:r>
        <w:rPr>
          <w:rFonts w:ascii="Times New Roman;Times;serif" w:hAnsi="Times New Roman;Times;serif"/>
          <w:spacing w:val="-2"/>
          <w:sz w:val="18"/>
        </w:rPr>
        <w:t xml:space="preserve"> “</w:t>
      </w:r>
      <w:r>
        <w:rPr>
          <w:rFonts w:ascii="Arial;Helvetica;sans-serif" w:hAnsi="Arial;Helvetica;sans-serif"/>
          <w:spacing w:val="-2"/>
          <w:sz w:val="20"/>
        </w:rPr>
        <w:t>Selling, general and administrative expenses” totaled $257 million during the three months ended September 30, 2025, a $27 million or 9.4% decrease compared to the same period in 2024. This change was primarily driven by a decrease in professional fees and a decrease in subscriber acquisition costs resulting from lower gross new DISH TV subscriber activations. The three months ended September 30, 2024 was negatively impacted by merger related costs from the DIRECTV transaction.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 xml:space="preserve">Depreciation and amortization. </w:t>
      </w:r>
      <w:r>
        <w:rPr>
          <w:rFonts w:ascii="Times New Roman;Times;serif" w:hAnsi="Times New Roman;Times;serif"/>
          <w:spacing w:val="-2"/>
          <w:sz w:val="18"/>
        </w:rPr>
        <w:t>“</w:t>
      </w:r>
      <w:r>
        <w:rPr>
          <w:rFonts w:ascii="Arial;Helvetica;sans-serif" w:hAnsi="Arial;Helvetica;sans-serif"/>
          <w:spacing w:val="-2"/>
          <w:sz w:val="20"/>
        </w:rPr>
        <w:t xml:space="preserve">Depreciation and amortization” expense totaled $61 million during the three months ended September 30, 2025, a $26 million or 30.2%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w:t>
      </w:r>
      <w:r>
        <w:rPr>
          <w:rFonts w:ascii="Arial;Helvetica;sans-serif" w:hAnsi="Arial;Helvetica;sans-serif"/>
          <w:spacing w:val="-2"/>
          <w:sz w:val="20"/>
        </w:rPr>
        <w:t>the expiration of our Nimiq 5 finance lease in September 2024, and our EchoStar XIV and EchoStar XV satellites being fully depreciated in May 2025 and July 2025, respectively.</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DISH TV SAC.</w:t>
      </w:r>
      <w:r>
        <w:rPr>
          <w:rFonts w:ascii="Times New Roman;Times;serif" w:hAnsi="Times New Roman;Times;serif"/>
          <w:spacing w:val="-2"/>
          <w:sz w:val="18"/>
        </w:rPr>
        <w:t xml:space="preserve">  </w:t>
      </w:r>
      <w:r>
        <w:rPr>
          <w:rFonts w:ascii="Arial;Helvetica;sans-serif" w:hAnsi="Arial;Helvetica;sans-serif"/>
          <w:spacing w:val="-2"/>
          <w:sz w:val="20"/>
        </w:rPr>
        <w:t>DISH TV SAC was $1,334 during the three months ended September 30, 2025 compared to $985 during the same period in 2024, an increase of $349 or 35.4%.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three months ended September 30, 2025 and 2024, the amount of equipment capitalized under our lease program for new DISH TV subscribers totaled $8 million and $6 million, respectively. </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Our “DISH TV SAC” may materially increase in the future to the extent that we, among other things, transition to newer technologies, introduce more aggressive promotions, or provide greater equipment subsidies.</w:t>
      </w:r>
      <w:r>
        <w:rPr>
          <w:rFonts w:ascii="Times New Roman;Times;serif" w:hAnsi="Times New Roman;Times;serif"/>
          <w:spacing w:val="-2"/>
          <w:sz w:val="18"/>
        </w:rPr>
        <w:t xml:space="preserve"> </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40" w:after="0"/>
        <w:ind w:left="0" w:right="0" w:hanging="0"/>
        <w:jc w:val="left"/>
        <w:rPr>
          <w:rFonts w:ascii="Cambria" w:hAnsi="Cambria"/>
          <w:color w:val="376092"/>
          <w:sz w:val="20"/>
        </w:rPr>
      </w:pPr>
      <w:r>
        <w:rPr>
          <w:rFonts w:ascii="Arial;Helvetica;sans-serif" w:hAnsi="Arial;Helvetica;sans-serif"/>
          <w:i/>
          <w:color w:val="000000"/>
          <w:sz w:val="20"/>
        </w:rPr>
        <w:t>Nine Months Ended September 30, 2025</w:t>
      </w:r>
      <w:r>
        <w:rPr>
          <w:rFonts w:ascii="Cambria" w:hAnsi="Cambria"/>
          <w:color w:val="000000"/>
          <w:sz w:val="20"/>
        </w:rPr>
        <w:t xml:space="preserve"> </w:t>
      </w:r>
      <w:r>
        <w:rPr>
          <w:rFonts w:ascii="Arial;Helvetica;sans-serif" w:hAnsi="Arial;Helvetica;sans-serif"/>
          <w:i/>
          <w:color w:val="000000"/>
          <w:sz w:val="20"/>
        </w:rPr>
        <w:t>Compared to the Nine Months Ended September 30, 2024.</w:t>
      </w:r>
    </w:p>
    <w:p>
      <w:pPr>
        <w:pStyle w:val="TextBody"/>
        <w:bidi w:val="0"/>
        <w:spacing w:before="0" w:after="0"/>
        <w:ind w:left="0" w:right="0" w:hanging="0"/>
        <w:jc w:val="left"/>
        <w:rPr>
          <w:spacing w:val="-2"/>
        </w:rPr>
      </w:pPr>
      <w:r>
        <w:rPr>
          <w:spacing w:val="-2"/>
        </w:rPr>
        <w:t>​</w:t>
      </w:r>
    </w:p>
    <w:tbl>
      <w:tblPr>
        <w:tblW w:w="9982" w:type="dxa"/>
        <w:jc w:val="left"/>
        <w:tblInd w:w="0" w:type="dxa"/>
        <w:tblLayout w:type="fixed"/>
        <w:tblCellMar>
          <w:top w:w="0" w:type="dxa"/>
          <w:left w:w="0" w:type="dxa"/>
          <w:bottom w:w="0" w:type="dxa"/>
          <w:right w:w="0" w:type="dxa"/>
        </w:tblCellMar>
      </w:tblPr>
      <w:tblGrid>
        <w:gridCol w:w="4651"/>
        <w:gridCol w:w="326"/>
        <w:gridCol w:w="211"/>
        <w:gridCol w:w="931"/>
        <w:gridCol w:w="326"/>
        <w:gridCol w:w="211"/>
        <w:gridCol w:w="931"/>
        <w:gridCol w:w="326"/>
        <w:gridCol w:w="211"/>
        <w:gridCol w:w="901"/>
        <w:gridCol w:w="326"/>
        <w:gridCol w:w="63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953385" cy="175260"/>
                      <wp:effectExtent l="0" t="0" r="0" b="0"/>
                      <wp:wrapNone/>
                      <wp:docPr id="423" name="Frame423"/>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91185" cy="175260"/>
                      <wp:effectExtent l="0" t="0" r="0" b="0"/>
                      <wp:wrapNone/>
                      <wp:docPr id="426" name="Frame42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33985" cy="175260"/>
                      <wp:effectExtent l="0" t="0" r="0" b="0"/>
                      <wp:wrapNone/>
                      <wp:docPr id="428" name="Frame4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91185" cy="175260"/>
                      <wp:effectExtent l="0" t="0" r="0" b="0"/>
                      <wp:wrapNone/>
                      <wp:docPr id="429" name="Frame4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07010" cy="175260"/>
                      <wp:effectExtent l="0" t="0" r="0" b="0"/>
                      <wp:wrapNone/>
                      <wp:docPr id="430"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33985" cy="175260"/>
                      <wp:effectExtent l="0" t="0" r="0" b="0"/>
                      <wp:wrapNone/>
                      <wp:docPr id="431" name="Frame4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72135" cy="175260"/>
                      <wp:effectExtent l="0" t="0" r="0" b="0"/>
                      <wp:wrapNone/>
                      <wp:docPr id="432" name="Frame43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00685" cy="175260"/>
                      <wp:effectExtent l="0" t="0" r="0" b="0"/>
                      <wp:wrapNone/>
                      <wp:docPr id="434" name="Frame43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1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069"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65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9982"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4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7,299,901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7,961,736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(661,835)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42,258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59,157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(16,899)</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7,342,159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8,020,893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(678,734)</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4,570,701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4,942,133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(371,432)</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62.6</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62.1</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27,596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54,072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(26,476)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(49.0)</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740,175</w:t>
            </w:r>
          </w:p>
        </w:tc>
        <w:tc>
          <w:tcPr>
            <w:tcW w:w="537" w:type="dxa"/>
            <w:gridSpan w:val="2"/>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839,994</w:t>
            </w:r>
          </w:p>
        </w:tc>
        <w:tc>
          <w:tcPr>
            <w:tcW w:w="537" w:type="dxa"/>
            <w:gridSpan w:val="2"/>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(99,819)</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10.1</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10.5</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205,317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258,153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(52,836)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5,543,789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6,094,352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(550,563)</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1,798,370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1,926,541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(128,171)</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465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left"/>
              <w:rPr/>
            </w:pPr>
            <w:r>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(0.865)</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(0.717)</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subscribers, as of period end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Pay-TV subscriber additions (losses), net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(28.3)</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(losses), net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(0.487)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0.096</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SLING TV subscriber additions (losses), net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(0.236)</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Pay-TV ARPU</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subscriber additions, gross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(0.070)</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churn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1.46</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(0.13)</w:t>
            </w:r>
          </w:p>
        </w:tc>
        <w:tc>
          <w:tcPr>
            <w:tcW w:w="32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DISH TV SAC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222</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22.4</w:t>
            </w:r>
          </w:p>
        </w:tc>
      </w:tr>
      <w:tr>
        <w:trPr/>
        <w:tc>
          <w:tcPr>
            <w:tcW w:w="465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119,111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120,410</w:t>
            </w:r>
          </w:p>
        </w:tc>
        <w:tc>
          <w:tcPr>
            <w:tcW w:w="326"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2,003,687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2,184,694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0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(181,007)</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w:t>
            </w:r>
          </w:p>
        </w:tc>
      </w:tr>
    </w:tbl>
    <w:p>
      <w:pPr>
        <w:pStyle w:val="TextBody"/>
        <w:bidi w:val="0"/>
        <w:spacing w:before="0" w:after="0"/>
        <w:ind w:left="0" w:right="0" w:hanging="0"/>
        <w:jc w:val="left"/>
        <w:rPr>
          <w:spacing w:val="-2"/>
        </w:rPr>
      </w:pPr>
      <w:r>
        <w:rPr>
          <w:spacing w:val="-2"/>
        </w:rPr>
        <w:t>​</w:t>
      </w:r>
    </w:p>
    <w:tbl>
      <w:tblPr>
        <w:tblW w:w="2898" w:type="dxa"/>
        <w:jc w:val="left"/>
        <w:tblInd w:w="0" w:type="dxa"/>
        <w:tblLayout w:type="fixed"/>
        <w:tblCellMar>
          <w:top w:w="0" w:type="dxa"/>
          <w:left w:w="0" w:type="dxa"/>
          <w:bottom w:w="0" w:type="dxa"/>
          <w:right w:w="0" w:type="dxa"/>
        </w:tblCellMar>
      </w:tblPr>
      <w:tblGrid>
        <w:gridCol w:w="196"/>
        <w:gridCol w:w="2702"/>
      </w:tblGrid>
      <w:tr>
        <w:trPr/>
        <w:tc>
          <w:tcPr>
            <w:tcW w:w="19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2702"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9989"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During the second quarter of 2025, we removed approximately 28,000 subscribers from our period end DISH TV subscriber count representing DISH TV subscribers sold during the nine months ended September 30, 2025 as part of the sale of our Fiber business. This removal had no material impact on any other reported subscriber metrics, other than our period end DISH TV subscriber count.</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9989" w:type="dxa"/>
            <w:tcBorders/>
            <w:vAlign w:val="center"/>
          </w:tcPr>
          <w:p>
            <w:pPr>
              <w:pStyle w:val="TableContents"/>
              <w:bidi w:val="0"/>
              <w:spacing w:before="0" w:after="0"/>
              <w:jc w:val="left"/>
              <w:rPr>
                <w:rFonts w:ascii="Times New Roman;Times;serif" w:hAnsi="Times New Roman;Times;serif"/>
                <w:spacing w:val="-2"/>
                <w:sz w:val="18"/>
              </w:rPr>
            </w:pPr>
            <w:r>
              <w:rPr>
                <w:rFonts w:ascii="Arial;Helvetica;sans-serif" w:hAnsi="Arial;Helvetica;sans-serif"/>
                <w:spacing w:val="-2"/>
                <w:sz w:val="20"/>
              </w:rPr>
              <w:t>Beginning in August 2025, we changed our calculation of SLING TV subscribers. The impact of this change was an increase to our period end SLING TV subscriber count</w:t>
            </w:r>
            <w:r>
              <w:rPr>
                <w:rFonts w:ascii="Times New Roman;Times;serif" w:hAnsi="Times New Roman;Times;serif"/>
                <w:spacing w:val="-2"/>
                <w:sz w:val="18"/>
              </w:rPr>
              <w:t xml:space="preserve"> </w:t>
            </w:r>
            <w:r>
              <w:rPr>
                <w:rFonts w:ascii="Arial;Helvetica;sans-serif" w:hAnsi="Arial;Helvetica;sans-serif"/>
                <w:spacing w:val="-2"/>
                <w:sz w:val="20"/>
              </w:rPr>
              <w:t>of approximately 51,000 subscribers during the nine months ended September 30, 2025, representing the opening impact of the new calculation to our existing SLING TV subscriber base. All new SLING TV Flexible Offerings subscriber activations after this adjustment are included in net SLING TV subscriber additions for the period. This change had no material impact on any other reported subscriber metrics, other than our period end SLING TV subscriber count. See “</w:t>
            </w:r>
            <w:r>
              <w:rPr>
                <w:rFonts w:ascii="Arial;Helvetica;sans-serif" w:hAnsi="Arial;Helvetica;sans-serif"/>
                <w:i/>
                <w:spacing w:val="-2"/>
                <w:sz w:val="20"/>
              </w:rPr>
              <w:t>Explanation of Key Metrics and Other Items – SLING TV subscribers</w:t>
            </w:r>
            <w:r>
              <w:rPr>
                <w:rFonts w:ascii="Times New Roman;Times;serif" w:hAnsi="Times New Roman;Times;serif"/>
                <w:spacing w:val="-2"/>
                <w:sz w:val="18"/>
              </w:rPr>
              <w:t xml:space="preserve">” </w:t>
            </w:r>
            <w:r>
              <w:rPr>
                <w:rFonts w:ascii="Arial;Helvetica;sans-serif" w:hAnsi="Arial;Helvetica;sans-serif"/>
                <w:spacing w:val="-2"/>
                <w:sz w:val="20"/>
              </w:rPr>
              <w:t>for further information.</w:t>
            </w:r>
          </w:p>
        </w:tc>
      </w:tr>
    </w:tbl>
    <w:p>
      <w:pPr>
        <w:pStyle w:val="TextBody"/>
        <w:pBdr/>
        <w:bidi w:val="0"/>
        <w:spacing w:before="0" w:after="0"/>
        <w:ind w:left="0" w:right="0" w:hanging="360"/>
        <w:jc w:val="left"/>
        <w:rPr>
          <w:spacing w:val="-2"/>
        </w:rPr>
      </w:pPr>
      <w:r>
        <w:rPr>
          <w:spacing w:val="-2"/>
        </w:rPr>
        <w:t>​</w:t>
      </w:r>
    </w:p>
    <w:p>
      <w:pPr>
        <w:pStyle w:val="TextBody"/>
        <w:pBdr/>
        <w:bidi w:val="0"/>
        <w:spacing w:before="0" w:after="0"/>
        <w:ind w:left="0" w:right="0" w:hanging="360"/>
        <w:jc w:val="left"/>
        <w:rPr>
          <w:spacing w:val="-2"/>
        </w:rPr>
      </w:pPr>
      <w:r>
        <w:rPr>
          <w:spacing w:val="-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color w:val="000000"/>
          <w:sz w:val="20"/>
        </w:rPr>
      </w:pPr>
      <w:r>
        <w:rPr>
          <w:rFonts w:ascii="Arial;Helvetica;sans-serif" w:hAnsi="Arial;Helvetica;sans-serif"/>
          <w:b/>
          <w:color w:val="000000"/>
          <w:sz w:val="20"/>
        </w:rPr>
        <w:t>Pay-TV Subscribers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DISH TV subscribers</w:t>
      </w:r>
      <w:r>
        <w:rPr>
          <w:rFonts w:ascii="Arial;Helvetica;sans-serif" w:hAnsi="Arial;Helvetica;sans-serif"/>
          <w:i/>
          <w:spacing w:val="-2"/>
          <w:sz w:val="20"/>
        </w:rPr>
        <w:t xml:space="preserve">. </w:t>
      </w:r>
      <w:r>
        <w:rPr>
          <w:rFonts w:ascii="Arial;Helvetica;sans-serif" w:hAnsi="Arial;Helvetica;sans-serif"/>
          <w:spacing w:val="-2"/>
          <w:sz w:val="20"/>
        </w:rPr>
        <w:t>We lost approximately 487,000 net DISH TV subscribers during the nine months ended September 30, 2025 compared to the loss of approximately 583,000 net DISH TV subscribers during the same period in 2024. This decrease in net DISH TV subscriber losses primarily resulted from a lower DISH TV churn rate, partially offset by lower gross new DISH TV subscriber activations.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SLING TV subscribers</w:t>
      </w:r>
      <w:r>
        <w:rPr>
          <w:rFonts w:ascii="Arial;Helvetica;sans-serif" w:hAnsi="Arial;Helvetica;sans-serif"/>
          <w:i/>
          <w:spacing w:val="-2"/>
          <w:sz w:val="20"/>
        </w:rPr>
        <w:t xml:space="preserve">. </w:t>
      </w:r>
      <w:r>
        <w:rPr>
          <w:rFonts w:ascii="Arial;Helvetica;sans-serif" w:hAnsi="Arial;Helvetica;sans-serif"/>
          <w:spacing w:val="-2"/>
          <w:sz w:val="20"/>
        </w:rPr>
        <w:t>We lost approximately 148,000 net SLING TV subscribers during the nine months ended September 30, 2025 compared to the addition of approximately 88,000 net SLING TV subscribers during the same period in 2024. The change in net SLING TV subscribers was primarily related to lower SLING TV subscriber activations, partially offset by lower SLING TV subscriber disconnects in 2025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w:t>
      </w:r>
    </w:p>
    <w:p>
      <w:pPr>
        <w:pStyle w:val="TextBody"/>
        <w:pBdr/>
        <w:bidi w:val="0"/>
        <w:spacing w:before="0" w:after="0"/>
        <w:ind w:left="0" w:right="0" w:hanging="14"/>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DISH TV subscribers, gross</w:t>
      </w:r>
      <w:r>
        <w:rPr>
          <w:rFonts w:ascii="Arial;Helvetica;sans-serif" w:hAnsi="Arial;Helvetica;sans-serif"/>
          <w:i/>
          <w:spacing w:val="-2"/>
          <w:sz w:val="20"/>
        </w:rPr>
        <w:t xml:space="preserve">. </w:t>
      </w:r>
      <w:r>
        <w:rPr>
          <w:rFonts w:ascii="Arial;Helvetica;sans-serif" w:hAnsi="Arial;Helvetica;sans-serif"/>
          <w:spacing w:val="-2"/>
          <w:sz w:val="20"/>
        </w:rPr>
        <w:t>During the nine months ended September 30, 2025, we activated approximately 160,000 gross new DISH TV subscribers compared to approximately 230,000 gross new DISH TV subscribers during the same period in 2024, a decrease of 30.4%.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DISH TV churn rate</w:t>
      </w:r>
      <w:r>
        <w:rPr>
          <w:rFonts w:ascii="Arial;Helvetica;sans-serif" w:hAnsi="Arial;Helvetica;sans-serif"/>
          <w:i/>
          <w:spacing w:val="-2"/>
          <w:sz w:val="20"/>
        </w:rPr>
        <w:t xml:space="preserve">. </w:t>
      </w:r>
      <w:r>
        <w:rPr>
          <w:rFonts w:ascii="Arial;Helvetica;sans-serif" w:hAnsi="Arial;Helvetica;sans-serif"/>
          <w:spacing w:val="-2"/>
          <w:sz w:val="20"/>
        </w:rPr>
        <w:t>Our DISH TV churn rate for the nine months ended September 30, 2025 was 1.33% compared to 1.46% for the same period in 2024. Our DISH TV churn rates for the nine months ended September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Service revenue. </w:t>
      </w:r>
      <w:r>
        <w:rPr>
          <w:rFonts w:ascii="Times New Roman;Times;serif" w:hAnsi="Times New Roman;Times;serif"/>
          <w:spacing w:val="-2"/>
          <w:sz w:val="18"/>
        </w:rPr>
        <w:t>“</w:t>
      </w:r>
      <w:r>
        <w:rPr>
          <w:rFonts w:ascii="Arial;Helvetica;sans-serif" w:hAnsi="Arial;Helvetica;sans-serif"/>
          <w:spacing w:val="-2"/>
          <w:sz w:val="20"/>
        </w:rPr>
        <w:t>Service revenue” totaled $7.300 billion for the nine months ended September 30, 2025, a decrease of $662 million or 8.3% compared to the same period in 2024. The decrease in “Service revenue” compared to the same period in 2024 was primarily related to lower average Pay-TV subscriber base, partially offset by an increase in Pay-TV ARPU, discussed below.</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Pay-TV ARPU. </w:t>
      </w:r>
      <w:r>
        <w:rPr>
          <w:rFonts w:ascii="Arial;Helvetica;sans-serif" w:hAnsi="Arial;Helvetica;sans-serif"/>
          <w:spacing w:val="-2"/>
          <w:sz w:val="20"/>
        </w:rPr>
        <w:t>Pay-TV ARPU was $110.79 during the nine months ended September 30, 2025 versus $108.21 during the same period in 2024. The $2.58 or 2.4% increase in Pay-TV ARPU was primarily attributable to the DISH TV and SLING TV programming price increases, partially offset by lower ad sales revenue. The DISH TV and SLING TV programming package price increases were effective in the third and fourth quarter of 2024, respectively. The nine months ended September 30, 2025 was immaterially impacted by the DISH TV programming package increase effective in September 2025.</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Cost of services. </w:t>
      </w:r>
      <w:r>
        <w:rPr>
          <w:rFonts w:ascii="Times New Roman;Times;serif" w:hAnsi="Times New Roman;Times;serif"/>
          <w:spacing w:val="-2"/>
          <w:sz w:val="18"/>
        </w:rPr>
        <w:t>“</w:t>
      </w:r>
      <w:r>
        <w:rPr>
          <w:rFonts w:ascii="Arial;Helvetica;sans-serif" w:hAnsi="Arial;Helvetica;sans-serif"/>
          <w:spacing w:val="-2"/>
          <w:sz w:val="20"/>
        </w:rPr>
        <w:t>Cost of services” totaled $4.571 billion during the nine months ended September 30, 2025, a decrease of $371 million or 7.5% compared to the same period in 2024. The decrease in “Cost of services” was primarily attributable to a lower average Pay-TV subscriber base, partially offset by higher programming costs per subscriber. Programming costs per subscriber increased during the nine months ended September 30, 2025 due to rate increases in certain of our programming contracts, including the renewal of certain contracts at higher rates, particularly for local broadcast channels. “Cost of services” represented 62.6% and 62.1% of “Service revenue” during the nine months ended September 30, 2025 and 2024, respectively. This increase primarily related to higher programming costs per subscriber.</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Selling, general and administrative expenses. </w:t>
      </w:r>
      <w:r>
        <w:rPr>
          <w:rFonts w:ascii="Times New Roman;Times;serif" w:hAnsi="Times New Roman;Times;serif"/>
          <w:spacing w:val="-2"/>
          <w:sz w:val="18"/>
        </w:rPr>
        <w:t>“</w:t>
      </w:r>
      <w:r>
        <w:rPr>
          <w:rFonts w:ascii="Arial;Helvetica;sans-serif" w:hAnsi="Arial;Helvetica;sans-serif"/>
          <w:spacing w:val="-2"/>
          <w:sz w:val="20"/>
        </w:rPr>
        <w:t>Selling, general and administrative expenses” totaled $740 million during the nine months ended September 30, 2025, a $100 million or 11.9% decrease compared to the same period in 2024. This change was primarily driven by a decrease in subscriber acquisition costs resulting from lower gross new DISH TV subscriber activations, and a decrease in personnel costs and professional fees. The nine months ended September 30, 2024 was negatively impacted by merger related costs from the DIRECTV transaction.</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 xml:space="preserve">Depreciation and amortization. </w:t>
      </w:r>
      <w:r>
        <w:rPr>
          <w:rFonts w:ascii="Times New Roman;Times;serif" w:hAnsi="Times New Roman;Times;serif"/>
          <w:spacing w:val="-2"/>
          <w:sz w:val="18"/>
        </w:rPr>
        <w:t>“</w:t>
      </w:r>
      <w:r>
        <w:rPr>
          <w:rFonts w:ascii="Arial;Helvetica;sans-serif" w:hAnsi="Arial;Helvetica;sans-serif"/>
          <w:spacing w:val="-2"/>
          <w:sz w:val="20"/>
        </w:rPr>
        <w:t xml:space="preserve">Depreciation and amortization” expense totaled $205 million during the nine months ended September 30, 2025, a $53 million or 20.5% decrease compared to the same period in 2024. </w:t>
      </w:r>
      <w:r>
        <w:rPr>
          <w:rFonts w:ascii="Arial;Helvetica;sans-serif" w:hAnsi="Arial;Helvetica;sans-serif"/>
          <w:spacing w:val="-4"/>
          <w:sz w:val="20"/>
        </w:rPr>
        <w:t xml:space="preserve">This change was primarily driven by a decrease in depreciation expense from equipment leased to new and existing DISH TV subscribers, </w:t>
      </w:r>
      <w:r>
        <w:rPr>
          <w:rFonts w:ascii="Arial;Helvetica;sans-serif" w:hAnsi="Arial;Helvetica;sans-serif"/>
          <w:spacing w:val="-2"/>
          <w:sz w:val="20"/>
        </w:rPr>
        <w:t>the expiration of our Nimiq 5 finance lease in September 2024, and our EchoStar XIV and EchoStar XV satellites being fully depreciated in May 2025 and July 2025, respectively.</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DISH TV SAC.</w:t>
      </w:r>
      <w:r>
        <w:rPr>
          <w:rFonts w:ascii="Times New Roman;Times;serif" w:hAnsi="Times New Roman;Times;serif"/>
          <w:spacing w:val="-2"/>
          <w:sz w:val="18"/>
        </w:rPr>
        <w:t xml:space="preserve"> </w:t>
      </w:r>
      <w:r>
        <w:rPr>
          <w:rFonts w:ascii="Arial;Helvetica;sans-serif" w:hAnsi="Arial;Helvetica;sans-serif"/>
          <w:spacing w:val="-2"/>
          <w:sz w:val="20"/>
        </w:rPr>
        <w:t>DISH TV SAC was $1,215 during the nine months ended September 30, 2025 compared to $993 during the same period in 2024, an increase of $222 or 22.4%.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 While our marketing expenditures decreased during the nine months ended September 30, 2025 compared to the same period in 2024, our gross new DISH TV subscriber activations decreased at a higher rate, resulting in an increase in advertising costs per subscriber.</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During the nine months ended September 30, 2025 and 2024, the amount of equipment capitalized under our lease program for new DISH TV subscribers totaled $23 million and $19 million, respectively.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Wireless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Our Wireless segment business strategy is to expand our current target segments and profitably grow our Wireless subscriber base. We intend to grow our Wireless subscriber base by acquiring and retaining high quality subscribers with competitive offers, choice and outstanding customer service that better meet those subscribers’ needs and budget.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Our Wireless segment provides Wireless communication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September 30, 2025, we had 7.520 million Wireless subscribers. </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have terminated our deployment of our 5G Network, after meeting certain interim and final build-out requirements established by the FCC. We had commenced our transition to an MNO as our 5G Network became commercially available and we grew our customer base on our 5G Network.</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August 2025, we began the abandonment and decommission process for certain portions of our 5G Network that will not be utilized in our Hybrid MNO business model. We are currently operating primarily as a MVNO. Within our MVNO operations, today we depend in part on either T-Mobile or AT&amp;T to provide us with network services under the MNSA and the NSA, respectively. In light of the AT&amp;T Transactions, we are transitioning to a Hybrid MNO. We are actively migrating customer traffic from our 5G Network to AT&amp;T’s network as we transition to a Hybrid MNO.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i/>
          <w:sz w:val="20"/>
        </w:rPr>
        <w:t xml:space="preserve">ACP Subscribers. </w:t>
      </w:r>
      <w:r>
        <w:rPr>
          <w:rFonts w:ascii="Arial;Helvetica;sans-serif" w:hAnsi="Arial;Helvetica;sans-serif"/>
          <w:sz w:val="20"/>
        </w:rPr>
        <w:t xml:space="preserve">Historically, a portion of our Wireless subscriber base and revenue was comprised of subscribers who received benefits under the ACP program. The FCC began taking steps to wind down the ACP program and stopped accepting new applications and enrollments on February 7, 2024. Households enrolled in the ACP program continued to receive the benefit on their service through April 2024. In May 2024, households received a partial benefit and on June 1, 2024 the ACP program funding concluded and households no longer received their benefit. Although we implemented plans to retain and/or migrate these subscribers to lower priced service plans, these subscribers began deactivating in the second and third quarters of 2024. As of December 31, 2024, we had no Wireless ACP subscribers. Generally, ACP subscribers have lower Wireless ARPU than other Wireless subscribers and as a result, any loss of ACP subscribers had a nominal impact on pre-tax net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sz w:val="20"/>
        </w:rPr>
        <w:t xml:space="preserve">We initially invested a total of over $30 billion in Wireless spectrum licenses, and a portion of these licenses were included in </w:t>
      </w:r>
      <w:r>
        <w:rPr>
          <w:rFonts w:ascii="Arial;Helvetica;sans-serif" w:hAnsi="Arial;Helvetica;sans-serif"/>
          <w:spacing w:val="-2"/>
          <w:sz w:val="20"/>
        </w:rPr>
        <w:t>the Wireless Spectrum License Exchange and</w:t>
      </w:r>
      <w:r>
        <w:rPr>
          <w:rFonts w:ascii="Times New Roman;Times;serif" w:hAnsi="Times New Roman;Times;serif"/>
          <w:sz w:val="20"/>
        </w:rPr>
        <w:t xml:space="preserve"> </w:t>
      </w:r>
      <w:r>
        <w:rPr>
          <w:rFonts w:ascii="Arial;Helvetica;sans-serif" w:hAnsi="Arial;Helvetica;sans-serif"/>
          <w:sz w:val="20"/>
        </w:rPr>
        <w:t xml:space="preserve">the Sale and Transfer of Assets to EchoStar. </w:t>
      </w:r>
      <w:r>
        <w:rPr>
          <w:rFonts w:ascii="Arial;Helvetica;sans-serif" w:hAnsi="Arial;Helvetica;sans-serif"/>
          <w:spacing w:val="-2"/>
          <w:sz w:val="20"/>
        </w:rPr>
        <w:t xml:space="preserve">Prior to the impairments </w:t>
      </w:r>
      <w:r>
        <w:rPr>
          <w:rFonts w:ascii="Arial;Helvetica;sans-serif" w:hAnsi="Arial;Helvetica;sans-serif"/>
          <w:sz w:val="20"/>
        </w:rPr>
        <w:t>during the third quarter of 2025 as detailed in Note 1 in the Notes to our Condensed Consolidated Financial Statements</w:t>
      </w:r>
      <w:r>
        <w:rPr>
          <w:rFonts w:ascii="Arial;Helvetica;sans-serif" w:hAnsi="Arial;Helvetica;sans-serif"/>
          <w:spacing w:val="-2"/>
          <w:sz w:val="20"/>
        </w:rPr>
        <w:t>, we had</w:t>
      </w:r>
      <w:r>
        <w:rPr>
          <w:rFonts w:ascii="Times New Roman;Times;serif" w:hAnsi="Times New Roman;Times;serif"/>
          <w:sz w:val="20"/>
        </w:rPr>
        <w:t xml:space="preserve"> </w:t>
      </w:r>
      <w:r>
        <w:rPr>
          <w:rFonts w:ascii="Arial;Helvetica;sans-serif" w:hAnsi="Arial;Helvetica;sans-serif"/>
          <w:sz w:val="20"/>
        </w:rPr>
        <w:t>$24 billion of investments related to Wireless spectrum licenses, which does not include $7 billion of capitalized interest related to the carrying value of such licenses. See Note 2, Note 9 and Note 12 in the Notes to our Condensed Consolidated Financial Statements for further information. A significant number of these licenses are included in the AT&amp;T Transactions announced during the third quarter of 2025 as detailed in Note 1 “</w:t>
      </w:r>
      <w:r>
        <w:rPr>
          <w:rFonts w:ascii="Arial;Helvetica;sans-serif" w:hAnsi="Arial;Helvetica;sans-serif"/>
          <w:i/>
          <w:sz w:val="20"/>
        </w:rPr>
        <w:t>Recent Developments</w:t>
      </w:r>
      <w:r>
        <w:rPr>
          <w:rFonts w:ascii="Times New Roman;Times;serif" w:hAnsi="Times New Roman;Times;serif"/>
          <w:sz w:val="20"/>
        </w:rPr>
        <w:t xml:space="preserve">” </w:t>
      </w:r>
      <w:r>
        <w:rPr>
          <w:rFonts w:ascii="Arial;Helvetica;sans-serif" w:hAnsi="Arial;Helvetica;sans-serif"/>
          <w:sz w:val="20"/>
        </w:rPr>
        <w:t>in the Notes to our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 xml:space="preserve">Our Wireless spectrum licenses are subject to certain interim and final build-out requirements, as well as certain renewal requirements. </w:t>
      </w:r>
      <w:r>
        <w:rPr>
          <w:rFonts w:ascii="Arial;Helvetica;sans-serif" w:hAnsi="Arial;Helvetica;sans-serif"/>
          <w:color w:val="0A0A0A"/>
          <w:spacing w:val="-2"/>
          <w:sz w:val="20"/>
        </w:rPr>
        <w:t xml:space="preserve">In September 2024, the FCC conditionally granted our requests to extend the 5G deployment deadlines for certain of our </w:t>
      </w:r>
      <w:r>
        <w:rPr>
          <w:rFonts w:ascii="Arial;Helvetica;sans-serif" w:hAnsi="Arial;Helvetica;sans-serif"/>
          <w:spacing w:val="-2"/>
          <w:sz w:val="20"/>
        </w:rPr>
        <w:t>Wireless spectrum licenses</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 xml:space="preserve">based on several commitments and </w:t>
      </w:r>
      <w:r>
        <w:rPr>
          <w:rFonts w:ascii="Arial;Helvetica;sans-serif" w:hAnsi="Arial;Helvetica;sans-serif"/>
          <w:color w:val="222222"/>
          <w:spacing w:val="-2"/>
          <w:sz w:val="20"/>
        </w:rPr>
        <w:t>in a January 10, 2025 filing to the FCC</w:t>
      </w:r>
      <w:r>
        <w:rPr>
          <w:rFonts w:ascii="Arial;Helvetica;sans-serif" w:hAnsi="Arial;Helvetica;sans-serif"/>
          <w:color w:val="0A0A0A"/>
          <w:spacing w:val="-2"/>
          <w:sz w:val="20"/>
        </w:rPr>
        <w:t xml:space="preserve">, </w:t>
      </w:r>
      <w:r>
        <w:rPr>
          <w:rFonts w:ascii="Arial;Helvetica;sans-serif" w:hAnsi="Arial;Helvetica;sans-serif"/>
          <w:color w:val="222222"/>
          <w:spacing w:val="-2"/>
          <w:sz w:val="20"/>
        </w:rPr>
        <w:t xml:space="preserve">we certified to meeting the accelerated build-out (Commitments #2 and #3 of the Extension Request) and the nationwide 80% coverage obligations (Commitment #1 of the Extension Request) </w:t>
      </w:r>
      <w:r>
        <w:rPr>
          <w:rFonts w:ascii="Arial;Helvetica;sans-serif" w:hAnsi="Arial;Helvetica;sans-serif"/>
          <w:spacing w:val="-2"/>
          <w:sz w:val="20"/>
        </w:rPr>
        <w:t xml:space="preserve">due by December 31, 2024. Thus, pursuant to the Extension Request, the final deployment deadlines for the licenses subject to the Extension Request (listed in Appendix G) shall be extended to December 14, 2026. </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shd w:fill="FFFFFF" w:val="clear"/>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w:t>
      </w:r>
      <w:r>
        <w:rPr>
          <w:rFonts w:ascii="Arial;Helvetica;sans-serif" w:hAnsi="Arial;Helvetica;sans-serif"/>
          <w:spacing w:val="-2"/>
          <w:sz w:val="20"/>
        </w:rPr>
        <w:t>See Note 9 in the Notes to our Condensed Consolidated Financial Statements</w:t>
      </w:r>
      <w:r>
        <w:rPr>
          <w:rFonts w:ascii="Times New Roman;Times;serif" w:hAnsi="Times New Roman;Times;serif"/>
          <w:color w:val="0A0A0A"/>
          <w:spacing w:val="-2"/>
          <w:sz w:val="18"/>
        </w:rPr>
        <w:t xml:space="preserve"> </w:t>
      </w:r>
      <w:r>
        <w:rPr>
          <w:rFonts w:ascii="Arial;Helvetica;sans-serif" w:hAnsi="Arial;Helvetica;sans-serif"/>
          <w:color w:val="0A0A0A"/>
          <w:spacing w:val="-2"/>
          <w:sz w:val="20"/>
        </w:rPr>
        <w:t xml:space="preserve">for definitions and further information. Also </w:t>
      </w:r>
      <w:r>
        <w:rPr>
          <w:rFonts w:ascii="Arial;Helvetica;sans-serif" w:hAnsi="Arial;Helvetica;sans-serif"/>
          <w:spacing w:val="-2"/>
          <w:sz w:val="20"/>
        </w:rPr>
        <w:t>see Note 1 “</w:t>
      </w:r>
      <w:r>
        <w:rPr>
          <w:rFonts w:ascii="Arial;Helvetica;sans-serif" w:hAnsi="Arial;Helvetica;sans-serif"/>
          <w:i/>
          <w:spacing w:val="-2"/>
          <w:sz w:val="20"/>
        </w:rPr>
        <w:t>Recent Developments</w:t>
      </w:r>
      <w:r>
        <w:rPr>
          <w:rFonts w:ascii="Times New Roman;Times;serif" w:hAnsi="Times New Roman;Times;serif"/>
          <w:spacing w:val="-2"/>
          <w:sz w:val="18"/>
        </w:rPr>
        <w:t xml:space="preserve">” </w:t>
      </w:r>
      <w:r>
        <w:rPr>
          <w:rFonts w:ascii="Arial;Helvetica;sans-serif" w:hAnsi="Arial;Helvetica;sans-serif"/>
          <w:spacing w:val="-2"/>
          <w:sz w:val="20"/>
        </w:rPr>
        <w:t>in the Notes to our Condensed Consolidated Financial Statements for further information on the FCC’s recently completed review of our compliance with our obligations regarding our federal spectrum licenses.</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We may need to raise additional capital in the future, if the AT&amp;T Transactions and SpaceX Transactions are not completed, which may not be available on favorable terms or at all, to, among other things, make any potential Northstar Re-Auction Payment and SNR Re-Auction Payment for the AWS-3 licenses retained by the FCC. See Note 9 in the Notes to our Condensed Consolidated Financial Statements for definitions and further information</w:t>
      </w:r>
      <w:r>
        <w:rPr>
          <w:rFonts w:ascii="Arial;Helvetica;sans-serif" w:hAnsi="Arial;Helvetica;sans-serif"/>
          <w:color w:val="0A0A0A"/>
          <w:spacing w:val="-2"/>
          <w:sz w:val="20"/>
        </w:rPr>
        <w:t>.</w:t>
      </w:r>
    </w:p>
    <w:p>
      <w:pPr>
        <w:pStyle w:val="TextBody"/>
        <w:bidi w:val="0"/>
        <w:spacing w:before="0" w:after="0"/>
        <w:ind w:left="0" w:right="0" w:hanging="0"/>
        <w:jc w:val="left"/>
        <w:rPr>
          <w:color w:val="0A0A0A"/>
          <w:spacing w:val="-2"/>
        </w:rPr>
      </w:pPr>
      <w:r>
        <w:rPr>
          <w:color w:val="0A0A0A"/>
          <w:spacing w:val="-2"/>
        </w:rPr>
        <w:t>​</w:t>
      </w:r>
    </w:p>
    <w:p>
      <w:pPr>
        <w:pStyle w:val="TextBody"/>
        <w:bidi w:val="0"/>
        <w:spacing w:before="40" w:after="0"/>
        <w:ind w:left="0" w:right="0" w:hanging="0"/>
        <w:jc w:val="left"/>
        <w:rPr>
          <w:rFonts w:ascii="Cambria" w:hAnsi="Cambria"/>
          <w:color w:val="376092"/>
          <w:sz w:val="20"/>
        </w:rPr>
      </w:pPr>
      <w:r>
        <w:rPr>
          <w:rFonts w:ascii="Arial;Helvetica;sans-serif" w:hAnsi="Arial;Helvetica;sans-serif"/>
          <w:i/>
          <w:color w:val="000000"/>
          <w:sz w:val="20"/>
        </w:rPr>
        <w:t>Competition</w:t>
      </w:r>
      <w:r>
        <w:rPr>
          <w:rFonts w:ascii="Arial;Helvetica;sans-serif" w:hAnsi="Arial;Helvetica;sans-serif"/>
          <w:color w:val="000000"/>
          <w:sz w:val="20"/>
        </w:rPr>
        <w:t>.</w:t>
      </w:r>
      <w:r>
        <w:rPr>
          <w:rFonts w:ascii="Cambria" w:hAnsi="Cambria"/>
          <w:color w:val="000000"/>
          <w:sz w:val="20"/>
        </w:rPr>
        <w:t xml:space="preserve"> </w:t>
      </w:r>
      <w:r>
        <w:rPr>
          <w:rFonts w:ascii="Arial;Helvetica;sans-serif" w:hAnsi="Arial;Helvetica;sans-serif"/>
          <w:color w:val="000000"/>
          <w:sz w:val="20"/>
        </w:rPr>
        <w:t>Wireless communication services is a mature market with moderate year over year organic 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pStyle w:val="TextBody"/>
        <w:pBdr/>
        <w:bidi w:val="0"/>
        <w:spacing w:before="0" w:after="0"/>
        <w:ind w:left="0" w:right="0" w:hanging="9"/>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Additional primary competitors to our Wireless segment include, but are not limited to, Metro PCS (owned by T-Mobile), Cricket Wireless (owned by AT&amp;T), Visible (owned by Verizon), Tracfone Wireless (owned by Verizon), Total Wireless (owned by Verizon), Mint Mobile (owned by T-Mobile) and other MVNOs such as Consumer Cellular, Spectrum Mobile and Xfinity Mobile.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RESULTS OF OPERATIONS – Wireless Segment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Three Months Ended September 30, 2025 Compared to the Three Months Ended September 30, 2024.</w:t>
      </w:r>
    </w:p>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4589"/>
        <w:gridCol w:w="326"/>
        <w:gridCol w:w="211"/>
        <w:gridCol w:w="1149"/>
        <w:gridCol w:w="122"/>
        <w:gridCol w:w="239"/>
        <w:gridCol w:w="931"/>
        <w:gridCol w:w="326"/>
        <w:gridCol w:w="211"/>
        <w:gridCol w:w="1149"/>
        <w:gridCol w:w="326"/>
        <w:gridCol w:w="626"/>
      </w:tblGrid>
      <w:tr>
        <w:trPr/>
        <w:tc>
          <w:tcPr>
            <w:tcW w:w="4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914015" cy="175260"/>
                      <wp:effectExtent l="0" t="0" r="0" b="0"/>
                      <wp:wrapNone/>
                      <wp:docPr id="435" name="Frame435"/>
                      <a:graphic xmlns:a="http://schemas.openxmlformats.org/drawingml/2006/main">
                        <a:graphicData uri="http://schemas.microsoft.com/office/word/2010/wordprocessingShape">
                          <wps:wsp>
                            <wps:cNvSpPr txBox="1"/>
                            <wps:spPr>
                              <a:xfrm>
                                <a:off x="0" y="0"/>
                                <a:ext cx="291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729615" cy="175260"/>
                      <wp:effectExtent l="0" t="0" r="0" b="0"/>
                      <wp:wrapNone/>
                      <wp:docPr id="438" name="Frame438"/>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77470" cy="175260"/>
                      <wp:effectExtent l="0" t="0" r="0" b="0"/>
                      <wp:wrapNone/>
                      <wp:docPr id="439" name="Frame439"/>
                      <a:graphic xmlns:a="http://schemas.openxmlformats.org/drawingml/2006/main">
                        <a:graphicData uri="http://schemas.microsoft.com/office/word/2010/wordprocessingShape">
                          <wps:wsp>
                            <wps:cNvSpPr txBox="1"/>
                            <wps:spPr>
                              <a:xfrm>
                                <a:off x="0" y="0"/>
                                <a:ext cx="7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51765" cy="175260"/>
                      <wp:effectExtent l="0" t="0" r="0" b="0"/>
                      <wp:wrapNone/>
                      <wp:docPr id="440" name="Frame44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91185" cy="175260"/>
                      <wp:effectExtent l="0" t="0" r="0" b="0"/>
                      <wp:wrapNone/>
                      <wp:docPr id="441" name="Frame4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729615" cy="175260"/>
                      <wp:effectExtent l="0" t="0" r="0" b="0"/>
                      <wp:wrapNone/>
                      <wp:docPr id="444" name="Frame444"/>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397510" cy="175260"/>
                      <wp:effectExtent l="0" t="0" r="0" b="0"/>
                      <wp:wrapNone/>
                      <wp:docPr id="446" name="Frame446"/>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2"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45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52"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312"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589"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3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122"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3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5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38"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626" w:type="dxa"/>
            <w:tcBorders/>
            <w:vAlign w:val="center"/>
          </w:tcPr>
          <w:p>
            <w:pPr>
              <w:pStyle w:val="TableContents"/>
              <w:bidi w:val="0"/>
              <w:spacing w:before="0" w:after="0"/>
              <w:ind w:left="0" w:right="0" w:hanging="0"/>
              <w:jc w:val="left"/>
              <w:rPr/>
            </w:pPr>
            <w:r>
              <w:rPr/>
              <w:t>​</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836,164</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778,737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57,427</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7.4</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102,635</w:t>
            </w:r>
          </w:p>
        </w:tc>
        <w:tc>
          <w:tcPr>
            <w:tcW w:w="122"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119,266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(16,631)</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(13.9)</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938,799</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898,003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40,796</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w:t>
            </w:r>
          </w:p>
        </w:tc>
      </w:tr>
      <w:tr>
        <w:trPr/>
        <w:tc>
          <w:tcPr>
            <w:tcW w:w="45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789,626</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777,072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12,554</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94.4</w:t>
            </w:r>
          </w:p>
        </w:tc>
        <w:tc>
          <w:tcPr>
            <w:tcW w:w="361"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99.8</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Cost of sales - equipment and other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315,241</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300,321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14,920</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5.0</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284,043</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256,727</w:t>
            </w:r>
          </w:p>
        </w:tc>
        <w:tc>
          <w:tcPr>
            <w:tcW w:w="537" w:type="dxa"/>
            <w:gridSpan w:val="2"/>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27,316</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30.3</w:t>
            </w:r>
          </w:p>
        </w:tc>
        <w:tc>
          <w:tcPr>
            <w:tcW w:w="361"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93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28.6</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229,606</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276,697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(47,091)</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(17.0)</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122"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17,654,517</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1,610,817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16,043,700</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(16,715,718)</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(712,814)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(16,002,904)</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left"/>
              <w:rPr/>
            </w:pPr>
            <w:r>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left"/>
              <w:rPr/>
            </w:pPr>
            <w:r>
              <w:rPr/>
              <w:t>​</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left"/>
              <w:rPr/>
            </w:pPr>
            <w:r>
              <w:rPr/>
              <w:t>​</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subscribers, as of period end (in millions)**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7.520</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0.536</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Wireless subscriber additions, gross (in millions)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0.693</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0.642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0.051</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7.9</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 additions (losses), net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0.223</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0.520</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ARPU</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37.22</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0.95</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churn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2.86</w:t>
            </w:r>
          </w:p>
        </w:tc>
        <w:tc>
          <w:tcPr>
            <w:tcW w:w="361"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2.99</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(0.13)</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2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w:t>
            </w:r>
          </w:p>
        </w:tc>
      </w:tr>
      <w:tr>
        <w:trPr/>
        <w:tc>
          <w:tcPr>
            <w:tcW w:w="458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112,145</w:t>
            </w:r>
          </w:p>
        </w:tc>
        <w:tc>
          <w:tcPr>
            <w:tcW w:w="122"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231,432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(119,287)</w:t>
            </w:r>
          </w:p>
        </w:tc>
        <w:tc>
          <w:tcPr>
            <w:tcW w:w="326"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(51.5)</w:t>
            </w:r>
          </w:p>
        </w:tc>
      </w:tr>
      <w:tr>
        <w:trPr/>
        <w:tc>
          <w:tcPr>
            <w:tcW w:w="458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(16,486,112)</w:t>
            </w:r>
          </w:p>
        </w:tc>
        <w:tc>
          <w:tcPr>
            <w:tcW w:w="122"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(436,117)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(16,049,995)</w:t>
            </w:r>
          </w:p>
        </w:tc>
        <w:tc>
          <w:tcPr>
            <w:tcW w:w="326"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both"/>
        <w:rPr>
          <w:spacing w:val="-2"/>
        </w:rPr>
      </w:pPr>
      <w:r>
        <w:rPr>
          <w:spacing w:val="-2"/>
        </w:rPr>
        <w:t>​</w:t>
      </w:r>
    </w:p>
    <w:tbl>
      <w:tblPr>
        <w:tblW w:w="2898" w:type="dxa"/>
        <w:jc w:val="left"/>
        <w:tblInd w:w="0" w:type="dxa"/>
        <w:tblLayout w:type="fixed"/>
        <w:tblCellMar>
          <w:top w:w="0" w:type="dxa"/>
          <w:left w:w="0" w:type="dxa"/>
          <w:bottom w:w="0" w:type="dxa"/>
          <w:right w:w="0" w:type="dxa"/>
        </w:tblCellMar>
      </w:tblPr>
      <w:tblGrid>
        <w:gridCol w:w="196"/>
        <w:gridCol w:w="2702"/>
      </w:tblGrid>
      <w:tr>
        <w:trPr/>
        <w:tc>
          <w:tcPr>
            <w:tcW w:w="19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2702"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9994" w:type="dxa"/>
            <w:tcBorders/>
            <w:vAlign w:val="center"/>
          </w:tcPr>
          <w:p>
            <w:pPr>
              <w:pStyle w:val="TableContents"/>
              <w:bidi w:val="0"/>
              <w:spacing w:before="0" w:after="0"/>
              <w:jc w:val="left"/>
              <w:rPr>
                <w:rFonts w:ascii="Arial;Helvetica;sans-serif" w:hAnsi="Arial;Helvetica;sans-serif"/>
                <w:color w:val="222222"/>
                <w:spacing w:val="-2"/>
                <w:sz w:val="20"/>
                <w:shd w:fill="FFFFFF" w:val="clear"/>
              </w:rPr>
            </w:pPr>
            <w:r>
              <w:rPr>
                <w:rFonts w:ascii="Arial;Helvetica;sans-serif" w:hAnsi="Arial;Helvetica;sans-serif"/>
                <w:color w:val="222222"/>
                <w:spacing w:val="-2"/>
                <w:sz w:val="20"/>
                <w:shd w:fill="FFFFFF" w:val="clear"/>
              </w:rPr>
              <w:t>Beginning in the third quarter of 2025, we removed approximately 60,000 subscribers from our period end Wireless subscriber count due to our election to deactivate Wireless subscriber accounts placed on pause and not expected to reactivate. If these Wireless subscriber accounts subsequently reactivate, they will be counted as a new Wireless subscriber addition. This removal had no material impact on any other reported subscriber metrics, other than our period end Wireless subscriber count.</w:t>
            </w:r>
          </w:p>
        </w:tc>
      </w:tr>
    </w:tbl>
    <w:tbl>
      <w:tblPr>
        <w:tblW w:w="4400" w:type="dxa"/>
        <w:jc w:val="left"/>
        <w:tblInd w:w="0" w:type="dxa"/>
        <w:tblLayout w:type="fixed"/>
        <w:tblCellMar>
          <w:top w:w="0" w:type="dxa"/>
          <w:left w:w="0" w:type="dxa"/>
          <w:bottom w:w="0" w:type="dxa"/>
          <w:right w:w="0" w:type="dxa"/>
        </w:tblCellMar>
      </w:tblPr>
      <w:tblGrid>
        <w:gridCol w:w="346"/>
        <w:gridCol w:w="4054"/>
      </w:tblGrid>
      <w:tr>
        <w:trPr/>
        <w:tc>
          <w:tcPr>
            <w:tcW w:w="34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4054"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Includes Government subsidized subscribers.</w:t>
            </w:r>
          </w:p>
        </w:tc>
      </w:tr>
    </w:tbl>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Wireless subscribers</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We added approximately 223,000 net Wireless subscribers during the three months ended September 30, 2025 compared to the loss of approximately 297,000 net Wireless subscribers during the same period in 2024. The change in net Wireless subscribers primarily resulted from higher net Government subsidized subscribers, higher gross new Wireless subscriber activations and a lower Wireless churn rate compared to the same period in 2024. In addition, the three months ended September 30, 2024 was negatively impacted by net losses of Government subsidized subscribers as a result of the ACP program funding concluding on June 1, 2024. See “Wireless Segment – ACP Subscribers” for further information.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Wireless subscribers, gross</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During the three months ended September 30, 2025, we activated approximately 693,000 gross new Wireless subscribers compared to approximately 642,000 gross new Wireless subscribers during the same period in 2024, an increase of 7.9%. This increase in gross new Wireless subscribers primarily resulted from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Wireless churn rate</w:t>
      </w:r>
      <w:r>
        <w:rPr>
          <w:rFonts w:ascii="Arial;Helvetica;sans-serif" w:hAnsi="Arial;Helvetica;sans-serif"/>
          <w:i/>
          <w:spacing w:val="-2"/>
          <w:sz w:val="20"/>
        </w:rPr>
        <w:t>.</w:t>
      </w:r>
      <w:r>
        <w:rPr>
          <w:rFonts w:ascii="Times New Roman;Times;serif" w:hAnsi="Times New Roman;Times;serif"/>
          <w:spacing w:val="-2"/>
          <w:sz w:val="18"/>
        </w:rPr>
        <w:t xml:space="preserve"> </w:t>
      </w:r>
      <w:r>
        <w:rPr>
          <w:rFonts w:ascii="Arial;Helvetica;sans-serif" w:hAnsi="Arial;Helvetica;sans-serif"/>
          <w:spacing w:val="-2"/>
          <w:sz w:val="20"/>
        </w:rPr>
        <w:t xml:space="preserve">Our Wireless churn rate for the three months ended September 30, 2025 was 2.86% compared to 2.99% for the same period in 2024. Our Wireless churn rates for the three months ended September 30, 2025 and 2024 were positively impacted by our emphasis on acquiring and retaining higher quality subscribers, partially offset by competitive pressures, including deeper wireless device subsidies.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Service revenue.</w:t>
      </w:r>
      <w:r>
        <w:rPr>
          <w:rFonts w:ascii="Times New Roman;Times;serif" w:hAnsi="Times New Roman;Times;serif"/>
          <w:sz w:val="20"/>
        </w:rPr>
        <w:t xml:space="preserve"> “</w:t>
      </w:r>
      <w:r>
        <w:rPr>
          <w:rFonts w:ascii="Arial;Helvetica;sans-serif" w:hAnsi="Arial;Helvetica;sans-serif"/>
          <w:sz w:val="20"/>
        </w:rPr>
        <w:t>Service revenue” totaled $836 million for the three months ended September 30, 2025, an increase of $57 million or 7.4% compared to the same period in 2024. The increase in “Service revenue” compared to the same period in 2024 was primarily related to an increase in Wireless ARPU, discussed below, and a higher average Wireless subscriber base.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Wireless ARPU.</w:t>
      </w:r>
      <w:r>
        <w:rPr>
          <w:rFonts w:ascii="Times New Roman;Times;serif" w:hAnsi="Times New Roman;Times;serif"/>
          <w:sz w:val="20"/>
        </w:rPr>
        <w:t xml:space="preserve"> </w:t>
      </w:r>
      <w:r>
        <w:rPr>
          <w:rFonts w:ascii="Arial;Helvetica;sans-serif" w:hAnsi="Arial;Helvetica;sans-serif"/>
          <w:sz w:val="20"/>
        </w:rPr>
        <w:t>Wireless ARPU was $37.22 during the three months ended September 30, 2025 versus $36.27 during the same period in 2024. The $0.95 or 2.6% increase in Wireless ARPU was primarily attributable to, among other things, a shift in subscriber plan mix to higher priced service plans and increased sales of value added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Equipment sales and other revenue.</w:t>
      </w:r>
      <w:r>
        <w:rPr>
          <w:rFonts w:ascii="Times New Roman;Times;serif" w:hAnsi="Times New Roman;Times;serif"/>
          <w:sz w:val="20"/>
        </w:rPr>
        <w:t xml:space="preserve"> “</w:t>
      </w:r>
      <w:r>
        <w:rPr>
          <w:rFonts w:ascii="Arial;Helvetica;sans-serif" w:hAnsi="Arial;Helvetica;sans-serif"/>
          <w:sz w:val="20"/>
        </w:rPr>
        <w:t>Equipment sales and other revenue” totaled $103 million for the three months ended September 30, 2025, a decrease of $17 million or 13.9% compared to the same period in 2024. The decrease in “Equipment sales and other revenue” compared to the same period in 2024 was primarily related to a decrease in units shipped.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Cost of services.</w:t>
      </w:r>
      <w:r>
        <w:rPr>
          <w:rFonts w:ascii="Times New Roman;Times;serif" w:hAnsi="Times New Roman;Times;serif"/>
          <w:sz w:val="20"/>
        </w:rPr>
        <w:t xml:space="preserve"> “</w:t>
      </w:r>
      <w:r>
        <w:rPr>
          <w:rFonts w:ascii="Arial;Helvetica;sans-serif" w:hAnsi="Arial;Helvetica;sans-serif"/>
          <w:sz w:val="20"/>
        </w:rPr>
        <w:t>Cost of services” totaled $790 million for the three months ended September 30, 2025, an increase of $13 million or 1.6% compared to the same period in 2024. The increase in “Cost of services” compared to the same period in 2024 was primarily attributable to higher variable and retention costs, including monthly dealer incentive costs due to our emphasis on acquiring and retaining higher quality, long-term subscribers. This increase was partially offset by lower network services costs per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2025, we began the abandonment and decommission process for certain portions of our 5G Network that will not be utilized in our Hybrid MNO business model. Beginning in September 2025 and prospectively, lease expense on communication towers, transport and other related costs for our 5G Network will decrease, offset by the accretion of lease liabilities and certain liabilities established for exit, disposal and other costs related to the termination of our 5G Network deployment, and ongoing costs to operate our Hybrid MNO.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Cost of sales – equipment and other.</w:t>
      </w:r>
      <w:r>
        <w:rPr>
          <w:rFonts w:ascii="Times New Roman;Times;serif" w:hAnsi="Times New Roman;Times;serif"/>
          <w:spacing w:val="-2"/>
          <w:sz w:val="18"/>
        </w:rPr>
        <w:t xml:space="preserve"> “</w:t>
      </w:r>
      <w:r>
        <w:rPr>
          <w:rFonts w:ascii="Arial;Helvetica;sans-serif" w:hAnsi="Arial;Helvetica;sans-serif"/>
          <w:spacing w:val="-2"/>
          <w:sz w:val="20"/>
        </w:rPr>
        <w:t>Cost of sales – equipment and other” totaled $315 million for the three months ended September 30, 2025, an increase of $15 million or 5.0% compared to the same period in 2024. The increase in “Cost of sales – equipment and other” compared to the same period in 2024 primarily resulted from an increase in sales of wireless devices with higher costs per unit, partially offset by a decrease in units shipped.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Selling, general and administrative expenses.</w:t>
      </w:r>
      <w:r>
        <w:rPr>
          <w:rFonts w:ascii="Times New Roman;Times;serif" w:hAnsi="Times New Roman;Times;serif"/>
          <w:sz w:val="20"/>
        </w:rPr>
        <w:t xml:space="preserve"> “</w:t>
      </w:r>
      <w:r>
        <w:rPr>
          <w:rFonts w:ascii="Arial;Helvetica;sans-serif" w:hAnsi="Arial;Helvetica;sans-serif"/>
          <w:sz w:val="20"/>
        </w:rPr>
        <w:t>Selling, general and administrative expenses” totaled $284 million during the three months ended September 30, 2025, a $27 million or 10.6% increase compared to the same period in 2024. This change primarily resulted from an increase in costs to support the Wireless segment and an increase in subscriber acquisition costs resulting from higher gross new Wireless subscriber activations.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 xml:space="preserve">Depreciation and amortization. </w:t>
      </w:r>
      <w:r>
        <w:rPr>
          <w:rFonts w:ascii="Times New Roman;Times;serif" w:hAnsi="Times New Roman;Times;serif"/>
          <w:spacing w:val="-2"/>
          <w:sz w:val="18"/>
        </w:rPr>
        <w:t>“</w:t>
      </w:r>
      <w:r>
        <w:rPr>
          <w:rFonts w:ascii="Arial;Helvetica;sans-serif" w:hAnsi="Arial;Helvetica;sans-serif"/>
          <w:spacing w:val="-2"/>
          <w:sz w:val="20"/>
        </w:rPr>
        <w:t xml:space="preserve">Depreciation and amortization” expense totaled $230 million during the three months ended September 30, 2025, a $47 million or 17.0% </w:t>
      </w:r>
      <w:r>
        <w:rPr>
          <w:rFonts w:ascii="Arial;Helvetica;sans-serif" w:hAnsi="Arial;Helvetica;sans-serif"/>
          <w:spacing w:val="-4"/>
          <w:sz w:val="20"/>
        </w:rPr>
        <w:t xml:space="preserve">decrease compared to the same period in 2024. </w:t>
      </w:r>
      <w:r>
        <w:rPr>
          <w:rFonts w:ascii="Arial;Helvetica;sans-serif" w:hAnsi="Arial;Helvetica;sans-serif"/>
          <w:spacing w:val="-2"/>
          <w:sz w:val="20"/>
        </w:rPr>
        <w:t xml:space="preserve">This change was primarily driven by a decrease in depreciation and amortization expense related to the non-cash impairment of certain 5G Network assets during the three months ended September 30, 2025.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2025, we began the abandonment and decommission process for certain portions of our 5G Network that will not be utilized in our Hybrid MNO business model and in September 2025 we recorded a non-cash impairment for certain 5G Network assets. As a result, we no longer have depreciation expense related to these 5G Network assets effective September 2025.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Impairments and other</w:t>
      </w:r>
      <w:r>
        <w:rPr>
          <w:rFonts w:ascii="Arial;Helvetica;sans-serif" w:hAnsi="Arial;Helvetica;sans-serif"/>
          <w:spacing w:val="-2"/>
          <w:sz w:val="20"/>
        </w:rPr>
        <w:t xml:space="preserve">. “Impairments and other” totaled </w:t>
      </w:r>
      <w:r>
        <w:rPr>
          <w:rFonts w:ascii="Arial;Helvetica;sans-serif" w:hAnsi="Arial;Helvetica;sans-serif"/>
          <w:spacing w:val="-4"/>
          <w:sz w:val="20"/>
        </w:rPr>
        <w:t>$16.036 billion</w:t>
      </w:r>
      <w:r>
        <w:rPr>
          <w:rFonts w:ascii="Times New Roman;Times;serif" w:hAnsi="Times New Roman;Times;serif"/>
          <w:spacing w:val="-2"/>
          <w:sz w:val="18"/>
        </w:rPr>
        <w:t xml:space="preserve"> </w:t>
      </w:r>
      <w:r>
        <w:rPr>
          <w:rFonts w:ascii="Arial;Helvetica;sans-serif" w:hAnsi="Arial;Helvetica;sans-serif"/>
          <w:spacing w:val="-2"/>
          <w:sz w:val="20"/>
        </w:rPr>
        <w:t>during the three months ended September 30, 2025. This amount consists of non-cash impairment charges primarily related to our prepaids, property and equipment, regulatory authorizations and operating lease assets, and estimated exit, disposal and other costs related to the termination of our 5G Network deployment. See Note 1 in the Notes to our Condensed Consolidated Financial Statements for further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both"/>
        <w:rPr>
          <w:spacing w:val="-2"/>
        </w:rPr>
      </w:pPr>
      <w:r>
        <w:rPr>
          <w:spacing w:val="-2"/>
        </w:rPr>
        <w:t>​</w:t>
      </w:r>
    </w:p>
    <w:p>
      <w:pPr>
        <w:pStyle w:val="TextBody"/>
        <w:bidi w:val="0"/>
        <w:spacing w:before="40" w:after="0"/>
        <w:ind w:left="0" w:right="0" w:hanging="0"/>
        <w:jc w:val="left"/>
        <w:rPr>
          <w:rFonts w:ascii="Cambria" w:hAnsi="Cambria"/>
          <w:color w:val="376092"/>
          <w:sz w:val="20"/>
        </w:rPr>
      </w:pPr>
      <w:r>
        <w:rPr>
          <w:rFonts w:ascii="Arial;Helvetica;sans-serif" w:hAnsi="Arial;Helvetica;sans-serif"/>
          <w:i/>
          <w:color w:val="000000"/>
          <w:sz w:val="20"/>
        </w:rPr>
        <w:t>Nine Months Ended September 30, 2025</w:t>
      </w:r>
      <w:r>
        <w:rPr>
          <w:rFonts w:ascii="Cambria" w:hAnsi="Cambria"/>
          <w:color w:val="000000"/>
          <w:sz w:val="20"/>
        </w:rPr>
        <w:t xml:space="preserve"> </w:t>
      </w:r>
      <w:r>
        <w:rPr>
          <w:rFonts w:ascii="Arial;Helvetica;sans-serif" w:hAnsi="Arial;Helvetica;sans-serif"/>
          <w:i/>
          <w:color w:val="000000"/>
          <w:sz w:val="20"/>
        </w:rPr>
        <w:t>Compared to the Nine Months Ended September 30, 2024.</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4330"/>
        <w:gridCol w:w="326"/>
        <w:gridCol w:w="211"/>
        <w:gridCol w:w="1141"/>
        <w:gridCol w:w="326"/>
        <w:gridCol w:w="211"/>
        <w:gridCol w:w="1036"/>
        <w:gridCol w:w="326"/>
        <w:gridCol w:w="211"/>
        <w:gridCol w:w="1141"/>
        <w:gridCol w:w="326"/>
        <w:gridCol w:w="620"/>
      </w:tblGrid>
      <w:tr>
        <w:trPr/>
        <w:tc>
          <w:tcPr>
            <w:tcW w:w="4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749550" cy="175260"/>
                      <wp:effectExtent l="0" t="0" r="0" b="0"/>
                      <wp:wrapNone/>
                      <wp:docPr id="447" name="Frame447"/>
                      <a:graphic xmlns:a="http://schemas.openxmlformats.org/drawingml/2006/main">
                        <a:graphicData uri="http://schemas.microsoft.com/office/word/2010/wordprocessingShape">
                          <wps:wsp>
                            <wps:cNvSpPr txBox="1"/>
                            <wps:spPr>
                              <a:xfrm>
                                <a:off x="0" y="0"/>
                                <a:ext cx="274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24535" cy="175260"/>
                      <wp:effectExtent l="0" t="0" r="0" b="0"/>
                      <wp:wrapNone/>
                      <wp:docPr id="450" name="Frame4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33985" cy="175260"/>
                      <wp:effectExtent l="0" t="0" r="0" b="0"/>
                      <wp:wrapNone/>
                      <wp:docPr id="452" name="Frame4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57860" cy="175260"/>
                      <wp:effectExtent l="0" t="0" r="0" b="0"/>
                      <wp:wrapNone/>
                      <wp:docPr id="453" name="Frame45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33985" cy="175260"/>
                      <wp:effectExtent l="0" t="0" r="0" b="0"/>
                      <wp:wrapNone/>
                      <wp:docPr id="455" name="Frame4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724535" cy="175260"/>
                      <wp:effectExtent l="0" t="0" r="0" b="0"/>
                      <wp:wrapNone/>
                      <wp:docPr id="456" name="Frame45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93700" cy="175260"/>
                      <wp:effectExtent l="0" t="0" r="0" b="0"/>
                      <wp:wrapNone/>
                      <wp:docPr id="458" name="Frame458"/>
                      <a:graphic xmlns:a="http://schemas.openxmlformats.org/drawingml/2006/main">
                        <a:graphicData uri="http://schemas.microsoft.com/office/word/2010/wordprocessingShape">
                          <wps:wsp>
                            <wps:cNvSpPr txBox="1"/>
                            <wps:spPr>
                              <a:xfrm>
                                <a:off x="0" y="0"/>
                                <a:ext cx="393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5"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r>
      <w:tr>
        <w:trPr/>
        <w:tc>
          <w:tcPr>
            <w:tcW w:w="43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2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298"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33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620"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3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03"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620" w:type="dxa"/>
            <w:tcBorders/>
            <w:vAlign w:val="center"/>
          </w:tcPr>
          <w:p>
            <w:pPr>
              <w:pStyle w:val="TableContents"/>
              <w:bidi w:val="0"/>
              <w:spacing w:before="0" w:after="0"/>
              <w:ind w:left="0" w:right="0" w:hanging="0"/>
              <w:jc w:val="left"/>
              <w:rPr/>
            </w:pPr>
            <w:r>
              <w:rPr/>
              <w:t>​</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2,469,493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2,368,138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101,355</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Equipment sales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376,406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335,401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41,005</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2,845,899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2,703,539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142,360</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w:t>
            </w:r>
          </w:p>
        </w:tc>
      </w:tr>
      <w:tr>
        <w:trPr/>
        <w:tc>
          <w:tcPr>
            <w:tcW w:w="43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2,355,010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2,284,532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70,478</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Service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95.4</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96.5</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 of sales - equipment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946,531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902,846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43,685</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4.8</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853,606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708,764</w:t>
            </w:r>
          </w:p>
        </w:tc>
        <w:tc>
          <w:tcPr>
            <w:tcW w:w="537" w:type="dxa"/>
            <w:gridSpan w:val="2"/>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144,842</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20.4</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of 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30.0</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036" w:type="dxa"/>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26.2</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pPr>
            <w:r>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857,804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864,230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(6,426)</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(0.7)</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costs and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21,048,952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4,760,372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16,288,580</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(18,203,053)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(2,056,833)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(16,146,220)</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data: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 xml:space="preserve">Wireless subscribers, as of period end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0.536</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 additions, gross (in millions)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0.156</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subscriber additions (losses), net (in millions)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0.585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(0.394)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0.979</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ARPU</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37.50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1.21</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Wireless churn rate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2.79</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2.99</w:t>
            </w:r>
          </w:p>
        </w:tc>
        <w:tc>
          <w:tcPr>
            <w:tcW w:w="537" w:type="dxa"/>
            <w:gridSpan w:val="2"/>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(0.20)</w:t>
            </w:r>
          </w:p>
        </w:tc>
        <w:tc>
          <w:tcPr>
            <w:tcW w:w="326" w:type="dxa"/>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w:t>
            </w:r>
          </w:p>
        </w:tc>
        <w:tc>
          <w:tcPr>
            <w:tcW w:w="620"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w:t>
            </w:r>
          </w:p>
        </w:tc>
      </w:tr>
      <w:tr>
        <w:trPr/>
        <w:tc>
          <w:tcPr>
            <w:tcW w:w="43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Purchases of property and equipment, net of refunds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447,556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858,030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(410,474)</w:t>
            </w:r>
          </w:p>
        </w:tc>
        <w:tc>
          <w:tcPr>
            <w:tcW w:w="326"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(47.8)</w:t>
            </w:r>
          </w:p>
        </w:tc>
      </w:tr>
      <w:tr>
        <w:trPr/>
        <w:tc>
          <w:tcPr>
            <w:tcW w:w="433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OIBDA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(17,345,249)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36"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(1,192,603)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41"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(16,152,646)</w:t>
            </w:r>
          </w:p>
        </w:tc>
        <w:tc>
          <w:tcPr>
            <w:tcW w:w="326"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w:t>
      </w:r>
    </w:p>
    <w:tbl>
      <w:tblPr>
        <w:tblW w:w="2898" w:type="dxa"/>
        <w:jc w:val="left"/>
        <w:tblInd w:w="0" w:type="dxa"/>
        <w:tblLayout w:type="fixed"/>
        <w:tblCellMar>
          <w:top w:w="0" w:type="dxa"/>
          <w:left w:w="0" w:type="dxa"/>
          <w:bottom w:w="0" w:type="dxa"/>
          <w:right w:w="0" w:type="dxa"/>
        </w:tblCellMar>
      </w:tblPr>
      <w:tblGrid>
        <w:gridCol w:w="196"/>
        <w:gridCol w:w="2702"/>
      </w:tblGrid>
      <w:tr>
        <w:trPr/>
        <w:tc>
          <w:tcPr>
            <w:tcW w:w="19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2702"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Percentage is not meaningful.</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9994" w:type="dxa"/>
            <w:tcBorders/>
            <w:vAlign w:val="center"/>
          </w:tcPr>
          <w:p>
            <w:pPr>
              <w:pStyle w:val="TableContents"/>
              <w:bidi w:val="0"/>
              <w:spacing w:before="0" w:after="0"/>
              <w:jc w:val="left"/>
              <w:rPr>
                <w:rFonts w:ascii="Arial;Helvetica;sans-serif" w:hAnsi="Arial;Helvetica;sans-serif"/>
                <w:color w:val="222222"/>
                <w:spacing w:val="-2"/>
                <w:sz w:val="20"/>
                <w:shd w:fill="FFFFFF" w:val="clear"/>
              </w:rPr>
            </w:pPr>
            <w:r>
              <w:rPr>
                <w:rFonts w:ascii="Arial;Helvetica;sans-serif" w:hAnsi="Arial;Helvetica;sans-serif"/>
                <w:color w:val="222222"/>
                <w:spacing w:val="-2"/>
                <w:sz w:val="20"/>
                <w:shd w:fill="FFFFFF" w:val="clear"/>
              </w:rPr>
              <w:t>Beginning in the third quarter of 2025, we removed approximately 60,000 subscribers from our period end Wireless subscriber count due to our election to deactivate Wireless subscriber accounts placed on pause and not expected to reactivate. If these Wireless subscriber accounts subsequently reactivate, they will be counted as a new Wireless subscriber addition. This removal had no material impact on any other reported subscriber metrics, other than our period end Wireless subscriber count.</w:t>
            </w:r>
          </w:p>
        </w:tc>
      </w:tr>
    </w:tbl>
    <w:tbl>
      <w:tblPr>
        <w:tblW w:w="4400" w:type="dxa"/>
        <w:jc w:val="left"/>
        <w:tblInd w:w="0" w:type="dxa"/>
        <w:tblLayout w:type="fixed"/>
        <w:tblCellMar>
          <w:top w:w="0" w:type="dxa"/>
          <w:left w:w="0" w:type="dxa"/>
          <w:bottom w:w="0" w:type="dxa"/>
          <w:right w:w="0" w:type="dxa"/>
        </w:tblCellMar>
      </w:tblPr>
      <w:tblGrid>
        <w:gridCol w:w="346"/>
        <w:gridCol w:w="4054"/>
      </w:tblGrid>
      <w:tr>
        <w:trPr/>
        <w:tc>
          <w:tcPr>
            <w:tcW w:w="346"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w:t>
            </w:r>
          </w:p>
        </w:tc>
        <w:tc>
          <w:tcPr>
            <w:tcW w:w="4054" w:type="dxa"/>
            <w:tcBorders/>
            <w:vAlign w:val="center"/>
          </w:tcPr>
          <w:p>
            <w:pPr>
              <w:pStyle w:val="TableContents"/>
              <w:bidi w:val="0"/>
              <w:spacing w:before="0" w:after="0"/>
              <w:jc w:val="left"/>
              <w:rPr>
                <w:rFonts w:ascii="Arial;Helvetica;sans-serif" w:hAnsi="Arial;Helvetica;sans-serif"/>
                <w:spacing w:val="-2"/>
                <w:sz w:val="20"/>
              </w:rPr>
            </w:pPr>
            <w:r>
              <w:rPr>
                <w:rFonts w:ascii="Arial;Helvetica;sans-serif" w:hAnsi="Arial;Helvetica;sans-serif"/>
                <w:spacing w:val="-2"/>
                <w:sz w:val="20"/>
              </w:rPr>
              <w:t>Includes Government subsidized subscribers.</w:t>
            </w:r>
          </w:p>
        </w:tc>
      </w:tr>
    </w:tbl>
    <w:p>
      <w:pPr>
        <w:pStyle w:val="TextBody"/>
        <w:pBdr/>
        <w:bidi w:val="0"/>
        <w:spacing w:before="0" w:after="0"/>
        <w:ind w:left="0" w:right="0" w:hanging="360"/>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Wireless subscribers</w:t>
      </w:r>
      <w:r>
        <w:rPr>
          <w:rFonts w:ascii="Arial;Helvetica;sans-serif" w:hAnsi="Arial;Helvetica;sans-serif"/>
          <w:i/>
          <w:spacing w:val="-2"/>
          <w:sz w:val="20"/>
        </w:rPr>
        <w:t xml:space="preserve">. </w:t>
      </w:r>
      <w:r>
        <w:rPr>
          <w:rFonts w:ascii="Arial;Helvetica;sans-serif" w:hAnsi="Arial;Helvetica;sans-serif"/>
          <w:spacing w:val="-2"/>
          <w:sz w:val="20"/>
        </w:rPr>
        <w:t>We added approximately 585,000 net Wireless subscribers during the nine months ended September 30, 2025 compared to the loss of approximately 394,000 net Wireless subscribers during the same period in 2024. The change in net Wireless subscribers primarily resulted from higher net Government subsidized subscribers, higher gross new Wireless subscriber activations and a lower Wireless churn rate compared to the same period in 2024. In addition, the nine months ended September 30, 2024 was negatively impacted by net losses of Government subsidized subscribers as a result of the ACP program funding concluding on June 1, 2024. See “Wireless Segment – ACP Subscribers” for further information.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Wireless subscribers, gross</w:t>
      </w:r>
      <w:r>
        <w:rPr>
          <w:rFonts w:ascii="Arial;Helvetica;sans-serif" w:hAnsi="Arial;Helvetica;sans-serif"/>
          <w:i/>
          <w:spacing w:val="-2"/>
          <w:sz w:val="20"/>
        </w:rPr>
        <w:t xml:space="preserve">. </w:t>
      </w:r>
      <w:r>
        <w:rPr>
          <w:rFonts w:ascii="Arial;Helvetica;sans-serif" w:hAnsi="Arial;Helvetica;sans-serif"/>
          <w:spacing w:val="-2"/>
          <w:sz w:val="20"/>
        </w:rPr>
        <w:t>During the nine months ended September 30, 2025, we activated approximately 1.984 million gross new Wireless subscribers compared to approximately 1.828 million gross new Wireless subscribers during the same period in 2024, an increase of 8.5%. This increase in gross new Wireless subscribers primarily resulted from higher marketing expenditures,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Wireless churn rate</w:t>
      </w:r>
      <w:r>
        <w:rPr>
          <w:rFonts w:ascii="Arial;Helvetica;sans-serif" w:hAnsi="Arial;Helvetica;sans-serif"/>
          <w:i/>
          <w:spacing w:val="-2"/>
          <w:sz w:val="20"/>
        </w:rPr>
        <w:t xml:space="preserve">. </w:t>
      </w:r>
      <w:r>
        <w:rPr>
          <w:rFonts w:ascii="Arial;Helvetica;sans-serif" w:hAnsi="Arial;Helvetica;sans-serif"/>
          <w:spacing w:val="-2"/>
          <w:sz w:val="20"/>
        </w:rPr>
        <w:t>Our Wireless churn rate for the nine months ended September 30, 2025 was 2.79% compared to 2.99% for the same period in 2024. Our Wireless churn rates for the nine months ended September 30, 2025 and 2024 were positively impacted by our emphasis on acquiring and retaining higher quality subscribers,</w:t>
      </w:r>
      <w:r>
        <w:rPr>
          <w:rFonts w:ascii="Times New Roman;Times;serif" w:hAnsi="Times New Roman;Times;serif"/>
          <w:spacing w:val="-2"/>
          <w:sz w:val="18"/>
        </w:rPr>
        <w:t xml:space="preserve"> </w:t>
      </w:r>
      <w:r>
        <w:rPr>
          <w:rFonts w:ascii="Arial;Helvetica;sans-serif" w:hAnsi="Arial;Helvetica;sans-serif"/>
          <w:spacing w:val="-2"/>
          <w:sz w:val="20"/>
        </w:rPr>
        <w:t>partially offset by competitive pressures, including deeper wireless device subsidies.</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Service revenue. </w:t>
      </w:r>
      <w:r>
        <w:rPr>
          <w:rFonts w:ascii="Times New Roman;Times;serif" w:hAnsi="Times New Roman;Times;serif"/>
          <w:spacing w:val="-2"/>
          <w:sz w:val="18"/>
        </w:rPr>
        <w:t>“</w:t>
      </w:r>
      <w:r>
        <w:rPr>
          <w:rFonts w:ascii="Arial;Helvetica;sans-serif" w:hAnsi="Arial;Helvetica;sans-serif"/>
          <w:spacing w:val="-2"/>
          <w:sz w:val="20"/>
        </w:rPr>
        <w:t xml:space="preserve">Service revenue” totaled $2.469 billion for the nine months ended September 30, 2025, an increase of $101 million or 4.3% compared to the same period in 2024. The increase in “Service revenue” compared to the same period in 2024 was primarily related to an increase in Wireless ARPU, discussed below. </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14"/>
        <w:jc w:val="left"/>
        <w:rPr>
          <w:rFonts w:ascii="Times New Roman;Times;serif" w:hAnsi="Times New Roman;Times;serif"/>
          <w:spacing w:val="-2"/>
          <w:sz w:val="18"/>
        </w:rPr>
      </w:pPr>
      <w:r>
        <w:rPr>
          <w:rFonts w:ascii="Arial;Helvetica;sans-serif" w:hAnsi="Arial;Helvetica;sans-serif"/>
          <w:b/>
          <w:i/>
          <w:spacing w:val="-2"/>
          <w:sz w:val="20"/>
        </w:rPr>
        <w:t xml:space="preserve">Wireless ARPU. </w:t>
      </w:r>
      <w:r>
        <w:rPr>
          <w:rFonts w:ascii="Arial;Helvetica;sans-serif" w:hAnsi="Arial;Helvetica;sans-serif"/>
          <w:spacing w:val="-2"/>
          <w:sz w:val="20"/>
        </w:rPr>
        <w:t>Wireless ARPU was $37.50 during the nine months ended September 30, 2025 versus $36.29 during the same period in 2024. The $1.21 or 3.3% increase in Wireless ARPU was primarily attributable to, among other things, a shift in subscriber plan mix to higher priced service plans and increased sales of value added services.</w:t>
      </w:r>
    </w:p>
    <w:p>
      <w:pPr>
        <w:pStyle w:val="TextBody"/>
        <w:pBdr/>
        <w:bidi w:val="0"/>
        <w:spacing w:before="0" w:after="0"/>
        <w:ind w:left="0" w:right="0" w:hanging="14"/>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Equipment sales and other revenue. </w:t>
      </w:r>
      <w:r>
        <w:rPr>
          <w:rFonts w:ascii="Times New Roman;Times;serif" w:hAnsi="Times New Roman;Times;serif"/>
          <w:spacing w:val="-2"/>
          <w:sz w:val="18"/>
        </w:rPr>
        <w:t>“</w:t>
      </w:r>
      <w:r>
        <w:rPr>
          <w:rFonts w:ascii="Arial;Helvetica;sans-serif" w:hAnsi="Arial;Helvetica;sans-serif"/>
          <w:spacing w:val="-2"/>
          <w:sz w:val="20"/>
        </w:rPr>
        <w:t xml:space="preserve">Equipment sales and other revenue” totaled $376 million for the nine months ended September 30, 2025, an increase of $41 million or 12.2% compared to the same period in 2024. The increase in “Equipment sales and other revenue” compared to the same period in 2024 was primarily related to an increase in sales of wireless devices with higher revenue per unit, partially offset by a decrease in units shipped. </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 xml:space="preserve">Cost of services. </w:t>
      </w:r>
      <w:r>
        <w:rPr>
          <w:rFonts w:ascii="Times New Roman;Times;serif" w:hAnsi="Times New Roman;Times;serif"/>
          <w:sz w:val="20"/>
        </w:rPr>
        <w:t>“</w:t>
      </w:r>
      <w:r>
        <w:rPr>
          <w:rFonts w:ascii="Arial;Helvetica;sans-serif" w:hAnsi="Arial;Helvetica;sans-serif"/>
          <w:sz w:val="20"/>
        </w:rPr>
        <w:t>Cost of services” totaled $2.355 billion for the nine months ended September 30, 2025, an increase of $70 million or 3.1% compared to the same period in 2024. The increase in “Cost of services” compared to the same period in 2024 was primarily attributable to higher variable and retention costs, including monthly dealer incentive costs due to our emphasis on acquiring and retaining higher quality, long-term subscribers. This increase was partially offset by lower network services costs per subscriber.</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2025, we began the abandonment and decommission process for certain portions of our 5G Network that will not be utilized in our Hybrid MNO business model. Beginning in September 2025 and prospectively, lease expense on communication towers, transport and other related costs for our 5G Network will decrease, offset by the accretion of lease liabilities and certain liabilities established for exit, disposal and other costs related to the termination of our 5G Network deployment, and ongoing costs to operate our Hybrid MNO. See Note 1 in the Notes to our Condensed Consolidated Financial Statements for further information.</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i/>
          <w:sz w:val="20"/>
        </w:rPr>
        <w:t xml:space="preserve">Cost of sales – equipment and other. </w:t>
      </w:r>
      <w:r>
        <w:rPr>
          <w:rFonts w:ascii="Times New Roman;Times;serif" w:hAnsi="Times New Roman;Times;serif"/>
          <w:sz w:val="20"/>
        </w:rPr>
        <w:t>“</w:t>
      </w:r>
      <w:r>
        <w:rPr>
          <w:rFonts w:ascii="Arial;Helvetica;sans-serif" w:hAnsi="Arial;Helvetica;sans-serif"/>
          <w:sz w:val="20"/>
        </w:rPr>
        <w:t>Cost of sales – equipment and other” totaled $947 million for the nine months ended September 30, 2025, an increase of $44 million or 4.8% compared to the same period in 2024. The increase in “Cost of sales – equipment and other” compared to the same period in 2024 primarily resulted from an increase in sales of wireless devices with higher costs per unit, partially offset by a decrease in units shipped and higher vendor rebates.</w:t>
      </w:r>
    </w:p>
    <w:p>
      <w:pPr>
        <w:pStyle w:val="TextBody"/>
        <w:bidi w:val="0"/>
        <w:spacing w:before="0" w:after="0"/>
        <w:ind w:left="0" w:right="0" w:hanging="0"/>
        <w:jc w:val="left"/>
        <w:rPr/>
      </w:pPr>
      <w:r>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Selling, general and administrative expenses. </w:t>
      </w:r>
      <w:r>
        <w:rPr>
          <w:rFonts w:ascii="Times New Roman;Times;serif" w:hAnsi="Times New Roman;Times;serif"/>
          <w:spacing w:val="-2"/>
          <w:sz w:val="18"/>
        </w:rPr>
        <w:t>“</w:t>
      </w:r>
      <w:r>
        <w:rPr>
          <w:rFonts w:ascii="Arial;Helvetica;sans-serif" w:hAnsi="Arial;Helvetica;sans-serif"/>
          <w:spacing w:val="-2"/>
          <w:sz w:val="20"/>
        </w:rPr>
        <w:t>Selling, general and administrative expenses” totaled $854 million during the nine months ended September 30, 2025, a $145 million or 20.4% increase compared to the same period in 2024. This change primarily resulted from an increase in subscriber acquisition costs resulting from higher gross new Wireless subscriber activations, including higher marketing expenditures, and an increase in costs to support the Wireless segment.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9"/>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4"/>
          <w:sz w:val="20"/>
        </w:rPr>
        <w:t>Depreciation and amortization.</w:t>
      </w:r>
      <w:r>
        <w:rPr>
          <w:rFonts w:ascii="Times New Roman;Times;serif" w:hAnsi="Times New Roman;Times;serif"/>
          <w:spacing w:val="-4"/>
          <w:sz w:val="18"/>
        </w:rPr>
        <w:t xml:space="preserve"> “</w:t>
      </w:r>
      <w:r>
        <w:rPr>
          <w:rFonts w:ascii="Arial;Helvetica;sans-serif" w:hAnsi="Arial;Helvetica;sans-serif"/>
          <w:spacing w:val="-4"/>
          <w:sz w:val="20"/>
        </w:rPr>
        <w:t xml:space="preserve">Depreciation and amortization” expense totaled $858 million </w:t>
      </w:r>
      <w:r>
        <w:rPr>
          <w:rFonts w:ascii="Arial;Helvetica;sans-serif" w:hAnsi="Arial;Helvetica;sans-serif"/>
          <w:spacing w:val="-2"/>
          <w:sz w:val="20"/>
        </w:rPr>
        <w:t>during the nine months ended September 30, 2025</w:t>
      </w:r>
      <w:r>
        <w:rPr>
          <w:rFonts w:ascii="Arial;Helvetica;sans-serif" w:hAnsi="Arial;Helvetica;sans-serif"/>
          <w:spacing w:val="-4"/>
          <w:sz w:val="20"/>
        </w:rPr>
        <w:t xml:space="preserve">, a $6 million or 0.7% decrease compared to the same period in 2024. </w:t>
      </w:r>
      <w:r>
        <w:rPr>
          <w:rFonts w:ascii="Arial;Helvetica;sans-serif" w:hAnsi="Arial;Helvetica;sans-serif"/>
          <w:spacing w:val="-2"/>
          <w:sz w:val="20"/>
        </w:rPr>
        <w:t>This change was primarily driven by</w:t>
      </w:r>
      <w:r>
        <w:rPr>
          <w:rFonts w:ascii="Times New Roman;Times;serif" w:hAnsi="Times New Roman;Times;serif"/>
          <w:spacing w:val="-4"/>
          <w:sz w:val="18"/>
        </w:rPr>
        <w:t xml:space="preserve"> </w:t>
      </w:r>
      <w:r>
        <w:rPr>
          <w:rFonts w:ascii="Arial;Helvetica;sans-serif" w:hAnsi="Arial;Helvetica;sans-serif"/>
          <w:spacing w:val="-4"/>
          <w:sz w:val="20"/>
        </w:rPr>
        <w:t>a decrease in amortization expense from subscriber relationships related to the Boost Mobile acquisition in 2020, which became fully amortized during the second quarter of 2024,</w:t>
      </w:r>
      <w:r>
        <w:rPr>
          <w:rFonts w:ascii="Times New Roman;Times;serif" w:hAnsi="Times New Roman;Times;serif"/>
          <w:spacing w:val="-4"/>
          <w:sz w:val="18"/>
        </w:rPr>
        <w:t xml:space="preserve"> </w:t>
      </w:r>
      <w:r>
        <w:rPr>
          <w:rFonts w:ascii="Arial;Helvetica;sans-serif" w:hAnsi="Arial;Helvetica;sans-serif"/>
          <w:spacing w:val="-4"/>
          <w:sz w:val="20"/>
        </w:rPr>
        <w:t xml:space="preserve">partially offset by </w:t>
      </w:r>
      <w:r>
        <w:rPr>
          <w:rFonts w:ascii="Arial;Helvetica;sans-serif" w:hAnsi="Arial;Helvetica;sans-serif"/>
          <w:spacing w:val="-2"/>
          <w:sz w:val="20"/>
        </w:rPr>
        <w:t xml:space="preserve">an increase in depreciation and amortization expense related to 5G Network assets being placed in service during 2024 and 2025 prior to the non-cash impairment of </w:t>
      </w:r>
      <w:r>
        <w:rPr>
          <w:rFonts w:ascii="Arial;Helvetica;sans-serif" w:hAnsi="Arial;Helvetica;sans-serif"/>
          <w:spacing w:val="-4"/>
          <w:sz w:val="20"/>
        </w:rPr>
        <w:t xml:space="preserve">certain 5G Network assets during the third quarter of 2025. </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In August 2025, we began the abandonment and decommission process for certain portions of our 5G Network that will not be utilized in our Hybrid MNO business model and in September 2025 we recorded a non-cash impairment for certain 5G Network assets. As a result, we no longer have deprecation expense related to these 5G Network assets effective September 2025. See Note 1 in the Notes to our Condensed Consolidated Financial Statements for further information.</w:t>
      </w:r>
    </w:p>
    <w:p>
      <w:pPr>
        <w:pStyle w:val="TextBody"/>
        <w:bidi w:val="0"/>
        <w:spacing w:before="0" w:after="0"/>
        <w:ind w:left="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Impairments and other</w:t>
      </w:r>
      <w:r>
        <w:rPr>
          <w:rFonts w:ascii="Arial;Helvetica;sans-serif" w:hAnsi="Arial;Helvetica;sans-serif"/>
          <w:spacing w:val="-2"/>
          <w:sz w:val="20"/>
        </w:rPr>
        <w:t>. “Impairments and other” totaled $16.036 billion during the nine months ended September 30, 2025. This amount consists of non-cash impairment charges primarily related to our prepaids, property and equipment, regulatory authorizations and operating lease assets, and estimated exit, disposal and other costs related to the termination of our 5G Network deployment. See Note 1 in the Notes to our Condensed Consolidated Financial Statements for further information.</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 xml:space="preserve">OTHER CONSOLIDATED RESULTS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Three Months Ended September 30, 2025 Compared to the Three Months Ended September 30, 2024.</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4531"/>
        <w:gridCol w:w="326"/>
        <w:gridCol w:w="211"/>
        <w:gridCol w:w="1129"/>
        <w:gridCol w:w="326"/>
        <w:gridCol w:w="211"/>
        <w:gridCol w:w="874"/>
        <w:gridCol w:w="326"/>
        <w:gridCol w:w="211"/>
        <w:gridCol w:w="1129"/>
        <w:gridCol w:w="326"/>
        <w:gridCol w:w="605"/>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877185" cy="175260"/>
                      <wp:effectExtent l="0" t="0" r="0" b="0"/>
                      <wp:wrapNone/>
                      <wp:docPr id="459" name="Frame459"/>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33985" cy="175260"/>
                      <wp:effectExtent l="0" t="0" r="0" b="0"/>
                      <wp:wrapNone/>
                      <wp:docPr id="461" name="Frame4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716915" cy="175260"/>
                      <wp:effectExtent l="0" t="0" r="0" b="0"/>
                      <wp:wrapNone/>
                      <wp:docPr id="462" name="Frame462"/>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33985" cy="175260"/>
                      <wp:effectExtent l="0" t="0" r="0" b="0"/>
                      <wp:wrapNone/>
                      <wp:docPr id="464" name="Frame4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554990" cy="175260"/>
                      <wp:effectExtent l="0" t="0" r="0" b="0"/>
                      <wp:wrapNone/>
                      <wp:docPr id="465" name="Frame465"/>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33985" cy="175260"/>
                      <wp:effectExtent l="0" t="0" r="0" b="0"/>
                      <wp:wrapNone/>
                      <wp:docPr id="467" name="Frame4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716915" cy="175260"/>
                      <wp:effectExtent l="0" t="0" r="0" b="0"/>
                      <wp:wrapNone/>
                      <wp:docPr id="468" name="Frame468"/>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384175" cy="175260"/>
                      <wp:effectExtent l="0" t="0" r="0" b="0"/>
                      <wp:wrapNone/>
                      <wp:docPr id="470" name="Frame470"/>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1"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Three Months Ended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271"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5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43" w:type="dxa"/>
            <w:gridSpan w:val="9"/>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605"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(16,166,330)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(16,041,830)</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15,243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6,616</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76.7</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(332,003)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(160,625)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(171,378)</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18,019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(59,175)</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(357,916)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(133,979)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(223,937)</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(16,524,246)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(16,265,767)</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4,056,647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4,008,676</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24.5</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18.6</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(12,467,599)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(210,508)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(12,257,091)</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(33.3)</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 attributable to DISH Network</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(12,467,609)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(210,523)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(12,257,086)</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  Percentage is not meaningful.</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Interest income. </w:t>
      </w:r>
      <w:r>
        <w:rPr>
          <w:rFonts w:ascii="Times New Roman;Times;serif" w:hAnsi="Times New Roman;Times;serif"/>
          <w:spacing w:val="-2"/>
          <w:sz w:val="18"/>
        </w:rPr>
        <w:t>“</w:t>
      </w:r>
      <w:r>
        <w:rPr>
          <w:rFonts w:ascii="Arial;Helvetica;sans-serif" w:hAnsi="Arial;Helvetica;sans-serif"/>
          <w:spacing w:val="-2"/>
          <w:sz w:val="20"/>
        </w:rPr>
        <w:t>Interest income” totaled $15 million during the three months ended September 30, 2025, an increase of $7 million compared to the same period in 2024. This increase primarily resulted from higher average cash and marketable investment securities balances and higher percentage returns earned on our cash and marketable investment securities during the three months ended September 30, 2025.</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Interest expense, net of amounts capitalized. </w:t>
      </w:r>
      <w:r>
        <w:rPr>
          <w:rFonts w:ascii="Times New Roman;Times;serif" w:hAnsi="Times New Roman;Times;serif"/>
          <w:spacing w:val="-2"/>
          <w:sz w:val="18"/>
        </w:rPr>
        <w:t>“</w:t>
      </w:r>
      <w:r>
        <w:rPr>
          <w:rFonts w:ascii="Arial;Helvetica;sans-serif" w:hAnsi="Arial;Helvetica;sans-serif"/>
          <w:spacing w:val="-2"/>
          <w:sz w:val="20"/>
        </w:rPr>
        <w:t>Interest expense, net of amounts capitalized</w:t>
      </w:r>
      <w:r>
        <w:rPr>
          <w:rFonts w:ascii="Times New Roman;Times;serif" w:hAnsi="Times New Roman;Times;serif"/>
          <w:spacing w:val="-2"/>
          <w:sz w:val="18"/>
        </w:rPr>
        <w:t xml:space="preserve">” </w:t>
      </w:r>
      <w:r>
        <w:rPr>
          <w:rFonts w:ascii="Arial;Helvetica;sans-serif" w:hAnsi="Arial;Helvetica;sans-serif"/>
          <w:spacing w:val="-2"/>
          <w:sz w:val="20"/>
        </w:rPr>
        <w:t xml:space="preserve">totaled $332 million during the three months ended September 30, 2025, an increase of $171 million compared to the same period in 2024. This increase primarily resulted from interest expense related to debt issuances in the third quarter of 2024 and the EchoStar 2024 Intercompany Loan, partially offset by the redemption of debt that matured in November 2024 and the extinguishment of substantially all of our convertible notes </w:t>
      </w:r>
      <w:r>
        <w:rPr>
          <w:rFonts w:ascii="Arial;Helvetica;sans-serif" w:hAnsi="Arial;Helvetica;sans-serif"/>
          <w:spacing w:val="-2"/>
          <w:sz w:val="20"/>
          <w:shd w:fill="FFFFFF" w:val="clear"/>
        </w:rPr>
        <w:t xml:space="preserve">in the fourth quarter of 2024. In addition, </w:t>
      </w:r>
      <w:r>
        <w:rPr>
          <w:rFonts w:ascii="Arial;Helvetica;sans-serif" w:hAnsi="Arial;Helvetica;sans-serif"/>
          <w:spacing w:val="-2"/>
          <w:sz w:val="20"/>
        </w:rPr>
        <w:t>the three months ended September 30, 2025 was negatively impacted by a $65 million decrease in capitalized interest compared to the same period in 2024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Other, net.</w:t>
      </w:r>
      <w:r>
        <w:rPr>
          <w:rFonts w:ascii="Times New Roman;Times;serif" w:hAnsi="Times New Roman;Times;serif"/>
          <w:spacing w:val="-2"/>
          <w:sz w:val="18"/>
        </w:rPr>
        <w:t xml:space="preserve"> “</w:t>
      </w:r>
      <w:r>
        <w:rPr>
          <w:rFonts w:ascii="Arial;Helvetica;sans-serif" w:hAnsi="Arial;Helvetica;sans-serif"/>
          <w:spacing w:val="-2"/>
          <w:sz w:val="20"/>
        </w:rPr>
        <w:t>Other, net” expense totaled $41 million during the three months ended September 30, 2025, compared to income of $18 million during the same period in 2024. The three months ended September 30, 2025 was negatively impacted by $43 million in asset sales and other net losses. The three months ended September 30, 2024 was positively impacted by $21 million in asset sales and other net gains. See Note 4 in the Notes to our Condensed Consolidated Financial Statements for further information.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Income tax (provision) benefit, net.</w:t>
      </w:r>
      <w:r>
        <w:rPr>
          <w:rFonts w:ascii="Times New Roman;Times;serif" w:hAnsi="Times New Roman;Times;serif"/>
          <w:spacing w:val="-2"/>
          <w:sz w:val="18"/>
        </w:rPr>
        <w:t xml:space="preserve"> </w:t>
      </w:r>
      <w:r>
        <w:rPr>
          <w:rFonts w:ascii="Arial;Helvetica;sans-serif" w:hAnsi="Arial;Helvetica;sans-serif"/>
          <w:spacing w:val="-2"/>
          <w:sz w:val="20"/>
        </w:rPr>
        <w:t xml:space="preserve">Our income tax benefit was $4.057 billion during the three months ended September 30, 2025, an increase of $4.009 billion compared to the same period in 2024. The change was primarily related to a decrease in “Income (loss) before income taxes” and the change in our effective tax rate. Our effective tax rate during the three months ended September 30, 2024 was impacted by federal and state valuation allowances.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i/>
          <w:spacing w:val="-2"/>
          <w:sz w:val="20"/>
        </w:rPr>
      </w:pPr>
      <w:r>
        <w:rPr>
          <w:rFonts w:ascii="Arial;Helvetica;sans-serif" w:hAnsi="Arial;Helvetica;sans-serif"/>
          <w:i/>
          <w:spacing w:val="-2"/>
          <w:sz w:val="20"/>
        </w:rPr>
        <w:t>Nine Months Ended September 30, 2025 Compared to the Nine Months Ended September 30, 2024.</w:t>
      </w:r>
    </w:p>
    <w:p>
      <w:pPr>
        <w:pStyle w:val="TextBody"/>
        <w:bidi w:val="0"/>
        <w:spacing w:before="0" w:after="0"/>
        <w:ind w:left="0" w:right="0" w:hanging="0"/>
        <w:jc w:val="left"/>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4531"/>
        <w:gridCol w:w="326"/>
        <w:gridCol w:w="211"/>
        <w:gridCol w:w="1129"/>
        <w:gridCol w:w="326"/>
        <w:gridCol w:w="211"/>
        <w:gridCol w:w="874"/>
        <w:gridCol w:w="326"/>
        <w:gridCol w:w="211"/>
        <w:gridCol w:w="1129"/>
        <w:gridCol w:w="326"/>
        <w:gridCol w:w="605"/>
      </w:tblGrid>
      <w:tr>
        <w:trPr/>
        <w:tc>
          <w:tcPr>
            <w:tcW w:w="4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877185" cy="175260"/>
                      <wp:effectExtent l="0" t="0" r="0" b="0"/>
                      <wp:wrapNone/>
                      <wp:docPr id="471" name="Frame471"/>
                      <a:graphic xmlns:a="http://schemas.openxmlformats.org/drawingml/2006/main">
                        <a:graphicData uri="http://schemas.microsoft.com/office/word/2010/wordprocessingShape">
                          <wps:wsp>
                            <wps:cNvSpPr txBox="1"/>
                            <wps:spPr>
                              <a:xfrm>
                                <a:off x="0" y="0"/>
                                <a:ext cx="287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133985" cy="175260"/>
                      <wp:effectExtent l="0" t="0" r="0" b="0"/>
                      <wp:wrapNone/>
                      <wp:docPr id="473" name="Frame4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716915" cy="175260"/>
                      <wp:effectExtent l="0" t="0" r="0" b="0"/>
                      <wp:wrapNone/>
                      <wp:docPr id="474" name="Frame474"/>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07010" cy="175260"/>
                      <wp:effectExtent l="0" t="0" r="0" b="0"/>
                      <wp:wrapNone/>
                      <wp:docPr id="475" name="Frame4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33985" cy="175260"/>
                      <wp:effectExtent l="0" t="0" r="0" b="0"/>
                      <wp:wrapNone/>
                      <wp:docPr id="476" name="Frame4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54990" cy="175260"/>
                      <wp:effectExtent l="0" t="0" r="0" b="0"/>
                      <wp:wrapNone/>
                      <wp:docPr id="477" name="Frame477"/>
                      <a:graphic xmlns:a="http://schemas.openxmlformats.org/drawingml/2006/main">
                        <a:graphicData uri="http://schemas.microsoft.com/office/word/2010/wordprocessingShape">
                          <wps:wsp>
                            <wps:cNvSpPr txBox="1"/>
                            <wps:spPr>
                              <a:xfrm>
                                <a:off x="0" y="0"/>
                                <a:ext cx="554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33985" cy="175260"/>
                      <wp:effectExtent l="0" t="0" r="0" b="0"/>
                      <wp:wrapNone/>
                      <wp:docPr id="479" name="Frame4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716915" cy="175260"/>
                      <wp:effectExtent l="0" t="0" r="0" b="0"/>
                      <wp:wrapNone/>
                      <wp:docPr id="480" name="Frame480"/>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384175" cy="175260"/>
                      <wp:effectExtent l="0" t="0" r="0" b="0"/>
                      <wp:wrapNone/>
                      <wp:docPr id="482" name="Frame482"/>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1" w:type="dxa"/>
            <w:gridSpan w:val="5"/>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For the Nine Months Ended </w:t>
            </w:r>
          </w:p>
        </w:tc>
        <w:tc>
          <w:tcPr>
            <w:tcW w:w="326" w:type="dxa"/>
            <w:tcBorders/>
            <w:vAlign w:val="center"/>
          </w:tcPr>
          <w:p>
            <w:pPr>
              <w:pStyle w:val="TableContents"/>
              <w:bidi w:val="0"/>
              <w:spacing w:before="0" w:after="0"/>
              <w:ind w:left="0" w:right="0" w:hanging="0"/>
              <w:jc w:val="left"/>
              <w:rPr/>
            </w:pPr>
            <w:r>
              <w:rPr/>
              <w:t>​</w:t>
            </w:r>
          </w:p>
        </w:tc>
        <w:tc>
          <w:tcPr>
            <w:tcW w:w="2271" w:type="dxa"/>
            <w:gridSpan w:val="4"/>
            <w:tcBorders/>
            <w:vAlign w:val="center"/>
          </w:tcPr>
          <w:p>
            <w:pPr>
              <w:pStyle w:val="TableContents"/>
              <w:bidi w:val="0"/>
              <w:spacing w:before="0" w:after="0"/>
              <w:ind w:left="0" w:right="0" w:hanging="0"/>
              <w:jc w:val="center"/>
              <w:rPr/>
            </w:pPr>
            <w:r>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51"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September 30, </w:t>
            </w:r>
          </w:p>
        </w:tc>
        <w:tc>
          <w:tcPr>
            <w:tcW w:w="326" w:type="dxa"/>
            <w:tcBorders/>
            <w:vAlign w:val="center"/>
          </w:tcPr>
          <w:p>
            <w:pPr>
              <w:pStyle w:val="TableContents"/>
              <w:bidi w:val="0"/>
              <w:spacing w:before="0" w:after="0"/>
              <w:ind w:left="0" w:right="0" w:hanging="0"/>
              <w:jc w:val="left"/>
              <w:rPr/>
            </w:pPr>
            <w:r>
              <w:rPr/>
              <w:t>​</w:t>
            </w:r>
          </w:p>
        </w:tc>
        <w:tc>
          <w:tcPr>
            <w:tcW w:w="2271" w:type="dxa"/>
            <w:gridSpan w:val="4"/>
            <w:tcBorders>
              <w:bottom w:val="single" w:sz="1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Variance</w:t>
            </w:r>
          </w:p>
        </w:tc>
      </w:tr>
      <w:tr>
        <w:trPr/>
        <w:tc>
          <w:tcPr>
            <w:tcW w:w="453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Statements of Operations Data</w:t>
            </w:r>
          </w:p>
        </w:tc>
        <w:tc>
          <w:tcPr>
            <w:tcW w:w="326" w:type="dxa"/>
            <w:tcBorders/>
            <w:vAlign w:val="center"/>
          </w:tcPr>
          <w:p>
            <w:pPr>
              <w:pStyle w:val="TableContents"/>
              <w:bidi w:val="0"/>
              <w:spacing w:before="0" w:after="0"/>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2025</w:t>
            </w:r>
          </w:p>
        </w:tc>
        <w:tc>
          <w:tcPr>
            <w:tcW w:w="326" w:type="dxa"/>
            <w:tcBorders/>
            <w:vAlign w:val="center"/>
          </w:tcPr>
          <w:p>
            <w:pPr>
              <w:pStyle w:val="TableContents"/>
              <w:bidi w:val="0"/>
              <w:spacing w:before="0" w:after="0"/>
              <w:ind w:left="0" w:right="0" w:hanging="0"/>
              <w:jc w:val="center"/>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2024</w:t>
            </w:r>
          </w:p>
        </w:tc>
        <w:tc>
          <w:tcPr>
            <w:tcW w:w="326" w:type="dxa"/>
            <w:tcBorders/>
            <w:vAlign w:val="center"/>
          </w:tcPr>
          <w:p>
            <w:pPr>
              <w:pStyle w:val="TableContents"/>
              <w:bidi w:val="0"/>
              <w:spacing w:before="0" w:after="0"/>
              <w:ind w:left="0" w:right="0" w:hanging="0"/>
              <w:jc w:val="center"/>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Amount</w:t>
            </w:r>
          </w:p>
        </w:tc>
        <w:tc>
          <w:tcPr>
            <w:tcW w:w="326" w:type="dxa"/>
            <w:tcBorders/>
            <w:vAlign w:val="center"/>
          </w:tcPr>
          <w:p>
            <w:pPr>
              <w:pStyle w:val="TableContents"/>
              <w:bidi w:val="0"/>
              <w:spacing w:before="0" w:after="0"/>
              <w:ind w:left="0" w:right="0" w:hanging="0"/>
              <w:jc w:val="center"/>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t>
            </w:r>
          </w:p>
        </w:tc>
      </w:tr>
      <w:tr>
        <w:trPr/>
        <w:tc>
          <w:tcPr>
            <w:tcW w:w="10205"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17" w:type="dxa"/>
            <w:gridSpan w:val="8"/>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c>
          <w:tcPr>
            <w:tcW w:w="326" w:type="dxa"/>
            <w:tcBorders/>
            <w:vAlign w:val="center"/>
          </w:tcPr>
          <w:p>
            <w:pPr>
              <w:pStyle w:val="TableContents"/>
              <w:bidi w:val="0"/>
              <w:spacing w:before="0" w:after="0"/>
              <w:ind w:left="0" w:right="0" w:hanging="0"/>
              <w:jc w:val="center"/>
              <w:rPr/>
            </w:pPr>
            <w:r>
              <w:rPr/>
              <w:t>​</w:t>
            </w:r>
          </w:p>
        </w:tc>
        <w:tc>
          <w:tcPr>
            <w:tcW w:w="605" w:type="dxa"/>
            <w:tcBorders/>
            <w:vAlign w:val="center"/>
          </w:tcPr>
          <w:p>
            <w:pPr>
              <w:pStyle w:val="TableContents"/>
              <w:bidi w:val="0"/>
              <w:spacing w:before="0" w:after="0"/>
              <w:ind w:left="0" w:right="0" w:hanging="0"/>
              <w:jc w:val="center"/>
              <w:rPr/>
            </w:pPr>
            <w:r>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(16,404,683)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(130,292)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(16,274,391)</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40,441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31,794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8,647</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27.2</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Interest expense, net of amounts capitalized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(759,507)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(495,821)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(263,686)</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(53.2)</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(15,938)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80,884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(96,822)</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(735,004)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(383,143)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(351,861)</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(91.8)</w:t>
            </w:r>
          </w:p>
        </w:tc>
      </w:tr>
      <w:tr>
        <w:trPr/>
        <w:tc>
          <w:tcPr>
            <w:tcW w:w="4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pPr>
            <w:r>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(17,139,687)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7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(513,435)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2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(16,626,252)</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Income tax (provision) benefit,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4,209,492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80,872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4,128,620</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Effective tax rate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24.6</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15.8</w:t>
            </w:r>
          </w:p>
        </w:tc>
        <w:tc>
          <w:tcPr>
            <w:tcW w:w="537" w:type="dxa"/>
            <w:gridSpan w:val="2"/>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  </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(12,930,195)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(432,563)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29"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(12,497,632)</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w:t>
            </w:r>
          </w:p>
        </w:tc>
      </w:tr>
      <w:tr>
        <w:trPr/>
        <w:tc>
          <w:tcPr>
            <w:tcW w:w="453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Net income (loss) attributable to noncontrolling interests,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(3,620)</w:t>
            </w:r>
          </w:p>
        </w:tc>
        <w:tc>
          <w:tcPr>
            <w:tcW w:w="326"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(98.2)</w:t>
            </w:r>
          </w:p>
        </w:tc>
      </w:tr>
      <w:tr>
        <w:trPr/>
        <w:tc>
          <w:tcPr>
            <w:tcW w:w="453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income (loss) attributable to DISH Network</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(12,930,263)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74"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(436,251)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29" w:type="dxa"/>
            <w:tcBorders>
              <w:bottom w:val="double" w:sz="6"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(12,494,012)</w:t>
            </w:r>
          </w:p>
        </w:tc>
        <w:tc>
          <w:tcPr>
            <w:tcW w:w="326"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60" w:hanging="0"/>
              <w:jc w:val="righ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  Percentage is not meaningful.</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 xml:space="preserve">Interest income. </w:t>
      </w:r>
      <w:r>
        <w:rPr>
          <w:rFonts w:ascii="Times New Roman;Times;serif" w:hAnsi="Times New Roman;Times;serif"/>
          <w:spacing w:val="-2"/>
          <w:sz w:val="18"/>
        </w:rPr>
        <w:t>“</w:t>
      </w:r>
      <w:r>
        <w:rPr>
          <w:rFonts w:ascii="Arial;Helvetica;sans-serif" w:hAnsi="Arial;Helvetica;sans-serif"/>
          <w:spacing w:val="-2"/>
          <w:sz w:val="20"/>
        </w:rPr>
        <w:t>Interest income” totaled $40 million during the nine months ended September 30, 2025, an increase of $9 million compared to the same period in 2024. This increase primarily resulted from higher average cash and marketable investment securities balances, partially offset by lower percentage returns earned on our cash and marketable investment securities during the nine months ended September 30, 2025.</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 xml:space="preserve">Interest expense, net of amounts capitalized. </w:t>
      </w:r>
      <w:r>
        <w:rPr>
          <w:rFonts w:ascii="Times New Roman;Times;serif" w:hAnsi="Times New Roman;Times;serif"/>
          <w:spacing w:val="-2"/>
          <w:sz w:val="18"/>
        </w:rPr>
        <w:t>“</w:t>
      </w:r>
      <w:r>
        <w:rPr>
          <w:rFonts w:ascii="Arial;Helvetica;sans-serif" w:hAnsi="Arial;Helvetica;sans-serif"/>
          <w:spacing w:val="-2"/>
          <w:sz w:val="20"/>
        </w:rPr>
        <w:t>Interest expense, net of amounts capitalized</w:t>
      </w:r>
      <w:r>
        <w:rPr>
          <w:rFonts w:ascii="Times New Roman;Times;serif" w:hAnsi="Times New Roman;Times;serif"/>
          <w:spacing w:val="-2"/>
          <w:sz w:val="18"/>
        </w:rPr>
        <w:t xml:space="preserve">” </w:t>
      </w:r>
      <w:r>
        <w:rPr>
          <w:rFonts w:ascii="Arial;Helvetica;sans-serif" w:hAnsi="Arial;Helvetica;sans-serif"/>
          <w:spacing w:val="-2"/>
          <w:sz w:val="20"/>
        </w:rPr>
        <w:t xml:space="preserve">totaled $760 million during the nine months ended September 30, 2025, an increase of $264 million compared to the same period in 2024. This increase primarily resulted from interest expense related to debt issuances in the third quarter of 2024 and the EchoStar 2024 Intercompany Loan, partially offset by the redemption of debt that matured in March and November 2024 and the extinguishment of substantially all of our convertible notes </w:t>
      </w:r>
      <w:r>
        <w:rPr>
          <w:rFonts w:ascii="Arial;Helvetica;sans-serif" w:hAnsi="Arial;Helvetica;sans-serif"/>
          <w:spacing w:val="-2"/>
          <w:sz w:val="20"/>
          <w:shd w:fill="FFFFFF" w:val="clear"/>
        </w:rPr>
        <w:t xml:space="preserve">in the fourth quarter of 2024. In addition, </w:t>
      </w:r>
      <w:r>
        <w:rPr>
          <w:rFonts w:ascii="Arial;Helvetica;sans-serif" w:hAnsi="Arial;Helvetica;sans-serif"/>
          <w:spacing w:val="-2"/>
          <w:sz w:val="20"/>
        </w:rPr>
        <w:t>the nine months ended September 30, 2025 was negatively impacted by a $4 million decrease in capitalized interest compared to the same period in 2024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pBdr/>
        <w:bidi w:val="0"/>
        <w:spacing w:before="0" w:after="0"/>
        <w:ind w:left="0" w:right="0" w:hanging="9"/>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b/>
          <w:i/>
          <w:spacing w:val="-2"/>
          <w:sz w:val="20"/>
        </w:rPr>
        <w:t>Other, net.</w:t>
      </w:r>
      <w:r>
        <w:rPr>
          <w:rFonts w:ascii="Times New Roman;Times;serif" w:hAnsi="Times New Roman;Times;serif"/>
          <w:spacing w:val="-2"/>
          <w:sz w:val="18"/>
        </w:rPr>
        <w:t xml:space="preserve"> “</w:t>
      </w:r>
      <w:r>
        <w:rPr>
          <w:rFonts w:ascii="Arial;Helvetica;sans-serif" w:hAnsi="Arial;Helvetica;sans-serif"/>
          <w:spacing w:val="-2"/>
          <w:sz w:val="20"/>
        </w:rPr>
        <w:t>Other, net” expense totaled $16 million during the nine months ended September 30, 2025, compared to income of $81 million during the same period in 2024. The nine months ended September 30, 2025 was negatively impacted by $12 million in net losses and impairments on marketable and non-marketable investment securities</w:t>
      </w:r>
      <w:r>
        <w:rPr>
          <w:rFonts w:ascii="Times New Roman;Times;serif" w:hAnsi="Times New Roman;Times;serif"/>
          <w:spacing w:val="-2"/>
          <w:sz w:val="18"/>
        </w:rPr>
        <w:t xml:space="preserve"> </w:t>
      </w:r>
      <w:r>
        <w:rPr>
          <w:rFonts w:ascii="Arial;Helvetica;sans-serif" w:hAnsi="Arial;Helvetica;sans-serif"/>
          <w:spacing w:val="-2"/>
          <w:sz w:val="20"/>
        </w:rPr>
        <w:t>and $5 million in asset sales and other net losses. The nine months ended September 30, 2024 was positively impacted by the $129 million gain on a sale of a financial asset to EchoStar and $21 million in asset sales and other gains, partially offset by a $68 million loss in equity in earnings, including $63 million from our portion of Invidi’s goodwill impairment. See Note 4 in the Notes to our Condensed Consolidated Financial Statements for further information.</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b/>
          <w:i/>
          <w:spacing w:val="-2"/>
          <w:sz w:val="20"/>
        </w:rPr>
        <w:t>Income tax (provision) benefit, net.</w:t>
      </w:r>
      <w:r>
        <w:rPr>
          <w:rFonts w:ascii="Times New Roman;Times;serif" w:hAnsi="Times New Roman;Times;serif"/>
          <w:spacing w:val="-2"/>
          <w:sz w:val="18"/>
        </w:rPr>
        <w:t xml:space="preserve"> </w:t>
      </w:r>
      <w:r>
        <w:rPr>
          <w:rFonts w:ascii="Arial;Helvetica;sans-serif" w:hAnsi="Arial;Helvetica;sans-serif"/>
          <w:spacing w:val="-2"/>
          <w:sz w:val="20"/>
        </w:rPr>
        <w:t xml:space="preserve">Our income tax benefit was $4.209 billion during the nine months ended September 30, 2025, an increase of $4.129 billion compared to the same period in 2024. The change was primarily related to a decrease in “Income (loss) before income taxes” and the change in our effective tax rate. Our effective tax rate during the nine months ended September 30, 2024 was impacted by federal and state valuation allowances.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Non-GAAP Performance Measures and Reconciliation</w:t>
      </w:r>
    </w:p>
    <w:p>
      <w:pPr>
        <w:pStyle w:val="TextBody"/>
        <w:bidi w:val="0"/>
        <w:spacing w:before="0" w:after="0"/>
        <w:ind w:left="0" w:right="0" w:hanging="0"/>
        <w:jc w:val="left"/>
        <w:rPr>
          <w:spacing w:val="-2"/>
        </w:rPr>
      </w:pPr>
      <w:r>
        <w:rPr>
          <w:spacing w:val="-2"/>
        </w:rPr>
        <w:t>​</w:t>
      </w:r>
    </w:p>
    <w:p>
      <w:pPr>
        <w:pStyle w:val="TextBody"/>
        <w:pBdr/>
        <w:bidi w:val="0"/>
        <w:spacing w:before="0" w:after="0"/>
        <w:ind w:left="0" w:right="0" w:hanging="9"/>
        <w:jc w:val="left"/>
        <w:rPr>
          <w:rFonts w:ascii="Times New Roman;Times;serif" w:hAnsi="Times New Roman;Times;serif"/>
          <w:spacing w:val="-2"/>
          <w:sz w:val="18"/>
        </w:rPr>
      </w:pPr>
      <w:r>
        <w:rPr>
          <w:rFonts w:ascii="Arial;Helvetica;sans-serif" w:hAnsi="Arial;Helvetica;sans-serif"/>
          <w:spacing w:val="-2"/>
          <w:sz w:val="20"/>
        </w:rPr>
        <w:t xml:space="preserve">It is management’s intent to provide non-GAAP financial information to enhance the understanding of our financial information prepared in accordance with </w:t>
      </w:r>
      <w:r>
        <w:rPr>
          <w:rFonts w:ascii="Arial;Helvetica;sans-serif" w:hAnsi="Arial;Helvetica;sans-serif"/>
          <w:spacing w:val="-4"/>
          <w:sz w:val="20"/>
        </w:rPr>
        <w:t>accounting principles generally accepted in the United States (“GAAP”)</w:t>
      </w:r>
      <w:r>
        <w:rPr>
          <w:rFonts w:ascii="Arial;Helvetica;sans-serif" w:hAnsi="Arial;Helvetica;sans-serif"/>
          <w:spacing w:val="-2"/>
          <w:sz w:val="20"/>
        </w:rPr>
        <w:t>,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sz w:val="20"/>
        </w:rPr>
        <w:t>Item 2.      MANAGEMENT’S NARRATIVE ANALYSIS OF RESULTS OF OPERATIONS</w:t>
      </w:r>
      <w:r>
        <w:rPr>
          <w:rFonts w:ascii="Times New Roman;Times;serif" w:hAnsi="Times New Roman;Times;serif"/>
          <w:sz w:val="20"/>
        </w:rPr>
        <w:t xml:space="preserve"> – </w:t>
      </w:r>
      <w:r>
        <w:rPr>
          <w:rFonts w:ascii="Arial;Helvetica;sans-serif" w:hAnsi="Arial;Helvetica;sans-serif"/>
          <w:b/>
          <w:sz w:val="20"/>
        </w:rPr>
        <w:t>Continued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Segment OIBDA and Adjusted OIBDA</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Segment OIBDA and Adjusted OIBDA, which are presented below, are non-GAAP measures and do not purport to be alternatives to operating income (loss) as a measure of operating performance.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Segment OIBDA is calculated by adding back depreciation and amortization expense to business segments operating income (loss). See Note 10 to the Notes to our Condensed Consolidated Financial Statements for further information.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Segment Adjusted OIBDA is calculated by adding back depreciation and amortization expense and impairments and other to business segments operating income (loss). We believe this measure is useful to management, investors and other users of our financial information in evaluating operating profitability of our business segments as it excludes one-time, non-cash items that we do not consider to be reflective of our ongoing operating performance.</w:t>
      </w:r>
    </w:p>
    <w:p>
      <w:pPr>
        <w:pStyle w:val="TextBody"/>
        <w:bidi w:val="0"/>
        <w:spacing w:before="0" w:after="0"/>
        <w:ind w:left="0" w:right="0" w:hanging="0"/>
        <w:jc w:val="both"/>
        <w:rPr>
          <w:spacing w:val="-2"/>
        </w:rPr>
      </w:pPr>
      <w:r>
        <w:rPr>
          <w:spacing w:val="-2"/>
        </w:rPr>
        <w:t>​</w:t>
      </w:r>
    </w:p>
    <w:tbl>
      <w:tblPr>
        <w:tblW w:w="9639" w:type="dxa"/>
        <w:jc w:val="left"/>
        <w:tblInd w:w="0" w:type="dxa"/>
        <w:tblLayout w:type="fixed"/>
        <w:tblCellMar>
          <w:top w:w="0" w:type="dxa"/>
          <w:left w:w="0" w:type="dxa"/>
          <w:bottom w:w="0" w:type="dxa"/>
          <w:right w:w="0" w:type="dxa"/>
        </w:tblCellMar>
      </w:tblPr>
      <w:tblGrid>
        <w:gridCol w:w="4276"/>
        <w:gridCol w:w="109"/>
        <w:gridCol w:w="211"/>
        <w:gridCol w:w="781"/>
        <w:gridCol w:w="109"/>
        <w:gridCol w:w="211"/>
        <w:gridCol w:w="1156"/>
        <w:gridCol w:w="109"/>
        <w:gridCol w:w="352"/>
        <w:gridCol w:w="804"/>
        <w:gridCol w:w="109"/>
        <w:gridCol w:w="211"/>
        <w:gridCol w:w="1201"/>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715260" cy="175260"/>
                      <wp:effectExtent l="0" t="0" r="0" b="0"/>
                      <wp:wrapNone/>
                      <wp:docPr id="483" name="Frame483"/>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215" cy="175260"/>
                      <wp:effectExtent l="0" t="0" r="0" b="0"/>
                      <wp:wrapNone/>
                      <wp:docPr id="484" name="Frame4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95935" cy="175260"/>
                      <wp:effectExtent l="0" t="0" r="0" b="0"/>
                      <wp:wrapNone/>
                      <wp:docPr id="486" name="Frame4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9215" cy="175260"/>
                      <wp:effectExtent l="0" t="0" r="0" b="0"/>
                      <wp:wrapNone/>
                      <wp:docPr id="487" name="Frame4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133985" cy="175260"/>
                      <wp:effectExtent l="0" t="0" r="0" b="0"/>
                      <wp:wrapNone/>
                      <wp:docPr id="488" name="Frame4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734060" cy="175260"/>
                      <wp:effectExtent l="0" t="0" r="0" b="0"/>
                      <wp:wrapNone/>
                      <wp:docPr id="489" name="Frame489"/>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9215" cy="175260"/>
                      <wp:effectExtent l="0" t="0" r="0" b="0"/>
                      <wp:wrapNone/>
                      <wp:docPr id="490" name="Frame4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23520" cy="175260"/>
                      <wp:effectExtent l="0" t="0" r="0" b="0"/>
                      <wp:wrapNone/>
                      <wp:docPr id="491" name="Frame49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510540" cy="175260"/>
                      <wp:effectExtent l="0" t="0" r="0" b="0"/>
                      <wp:wrapNone/>
                      <wp:docPr id="492" name="Frame492"/>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9215" cy="175260"/>
                      <wp:effectExtent l="0" t="0" r="0" b="0"/>
                      <wp:wrapNone/>
                      <wp:docPr id="493" name="Frame4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133985" cy="175260"/>
                      <wp:effectExtent l="0" t="0" r="0" b="0"/>
                      <wp:wrapNone/>
                      <wp:docPr id="494" name="Frame4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762635" cy="175260"/>
                      <wp:effectExtent l="0" t="0" r="0" b="0"/>
                      <wp:wrapNone/>
                      <wp:docPr id="495" name="Frame49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September 30, 2025</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Consolidated </w:t>
            </w:r>
          </w:p>
        </w:tc>
      </w:tr>
      <w:tr>
        <w:trPr/>
        <w:tc>
          <w:tcPr>
            <w:tcW w:w="9639"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043" w:type="dxa"/>
            <w:gridSpan w:val="1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Segment 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549,388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(16,715,718)</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(16,166,330)</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61,049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229,606</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290,655</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610,437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(16,486,112)</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(15,875,675)</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610,437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(450,111)</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160,326</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4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Three Months Ended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Segment 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588,501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(712,814)</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4"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(124,500)</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87,502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276,697</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364,199</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676,003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(436,117)</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239,699</w:t>
            </w:r>
          </w:p>
        </w:tc>
      </w:tr>
      <w:tr>
        <w:trPr/>
        <w:tc>
          <w:tcPr>
            <w:tcW w:w="4276"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276"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676,003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(436,117)</w:t>
            </w:r>
          </w:p>
        </w:tc>
        <w:tc>
          <w:tcPr>
            <w:tcW w:w="109" w:type="dxa"/>
            <w:tcBorders/>
            <w:shd w:fill="CCEEFF" w:val="clear"/>
            <w:vAlign w:val="center"/>
          </w:tcPr>
          <w:p>
            <w:pPr>
              <w:pStyle w:val="TableContents"/>
              <w:bidi w:val="0"/>
              <w:spacing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8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239,699</w:t>
            </w:r>
          </w:p>
        </w:tc>
      </w:tr>
      <w:tr>
        <w:trPr/>
        <w:tc>
          <w:tcPr>
            <w:tcW w:w="42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80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pacing w:val="-2"/>
        </w:rPr>
      </w:pPr>
      <w:r>
        <w:rPr>
          <w:spacing w:val="-2"/>
        </w:rPr>
        <w:t>​</w:t>
      </w:r>
    </w:p>
    <w:tbl>
      <w:tblPr>
        <w:tblW w:w="9684" w:type="dxa"/>
        <w:jc w:val="left"/>
        <w:tblInd w:w="0" w:type="dxa"/>
        <w:tblLayout w:type="fixed"/>
        <w:tblCellMar>
          <w:top w:w="0" w:type="dxa"/>
          <w:left w:w="0" w:type="dxa"/>
          <w:bottom w:w="0" w:type="dxa"/>
          <w:right w:w="0" w:type="dxa"/>
        </w:tblCellMar>
      </w:tblPr>
      <w:tblGrid>
        <w:gridCol w:w="4171"/>
        <w:gridCol w:w="109"/>
        <w:gridCol w:w="211"/>
        <w:gridCol w:w="931"/>
        <w:gridCol w:w="109"/>
        <w:gridCol w:w="211"/>
        <w:gridCol w:w="1156"/>
        <w:gridCol w:w="109"/>
        <w:gridCol w:w="437"/>
        <w:gridCol w:w="719"/>
        <w:gridCol w:w="109"/>
        <w:gridCol w:w="211"/>
        <w:gridCol w:w="1201"/>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648585" cy="175260"/>
                      <wp:effectExtent l="0" t="0" r="0" b="0"/>
                      <wp:wrapNone/>
                      <wp:docPr id="496" name="Frame496"/>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33985" cy="175260"/>
                      <wp:effectExtent l="0" t="0" r="0" b="0"/>
                      <wp:wrapNone/>
                      <wp:docPr id="498" name="Frame4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591185" cy="175260"/>
                      <wp:effectExtent l="0" t="0" r="0" b="0"/>
                      <wp:wrapNone/>
                      <wp:docPr id="499" name="Frame4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50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133985" cy="175260"/>
                      <wp:effectExtent l="0" t="0" r="0" b="0"/>
                      <wp:wrapNone/>
                      <wp:docPr id="501"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734060" cy="175260"/>
                      <wp:effectExtent l="0" t="0" r="0" b="0"/>
                      <wp:wrapNone/>
                      <wp:docPr id="502" name="Frame50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3" name="Frame5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77495" cy="175260"/>
                      <wp:effectExtent l="0" t="0" r="0" b="0"/>
                      <wp:wrapNone/>
                      <wp:docPr id="504" name="Frame50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456565" cy="175260"/>
                      <wp:effectExtent l="0" t="0" r="0" b="0"/>
                      <wp:wrapNone/>
                      <wp:docPr id="505" name="Frame505"/>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5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133985" cy="175260"/>
                      <wp:effectExtent l="0" t="0" r="0" b="0"/>
                      <wp:wrapNone/>
                      <wp:docPr id="507" name="Frame5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762635" cy="175260"/>
                      <wp:effectExtent l="0" t="0" r="0" b="0"/>
                      <wp:wrapNone/>
                      <wp:docPr id="508" name="Frame508"/>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Nine Months Ended September 30, 2025</w:t>
            </w:r>
          </w:p>
        </w:tc>
        <w:tc>
          <w:tcPr>
            <w:tcW w:w="109"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Pay-TV</w:t>
            </w:r>
          </w:p>
        </w:tc>
        <w:tc>
          <w:tcPr>
            <w:tcW w:w="109" w:type="dxa"/>
            <w:tcBorders/>
            <w:vAlign w:val="center"/>
          </w:tcPr>
          <w:p>
            <w:pPr>
              <w:pStyle w:val="TableContents"/>
              <w:bidi w:val="0"/>
              <w:spacing w:before="0" w:after="0"/>
              <w:ind w:left="0" w:right="0" w:hanging="0"/>
              <w:jc w:val="left"/>
              <w:rPr/>
            </w:pPr>
            <w:r>
              <w:rPr/>
              <w:t>​</w:t>
            </w:r>
          </w:p>
        </w:tc>
        <w:tc>
          <w:tcPr>
            <w:tcW w:w="13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Wireless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Eliminations</w:t>
            </w:r>
          </w:p>
        </w:tc>
        <w:tc>
          <w:tcPr>
            <w:tcW w:w="109" w:type="dxa"/>
            <w:tcBorders/>
            <w:vAlign w:val="center"/>
          </w:tcPr>
          <w:p>
            <w:pPr>
              <w:pStyle w:val="TableContents"/>
              <w:bidi w:val="0"/>
              <w:spacing w:before="0" w:after="0"/>
              <w:ind w:left="0" w:right="0" w:hanging="0"/>
              <w:jc w:val="left"/>
              <w:rPr/>
            </w:pPr>
            <w:r>
              <w:rPr/>
              <w:t>​</w:t>
            </w:r>
          </w:p>
        </w:tc>
        <w:tc>
          <w:tcPr>
            <w:tcW w:w="14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xml:space="preserve">Consolidated </w:t>
            </w:r>
          </w:p>
        </w:tc>
      </w:tr>
      <w:tr>
        <w:trPr/>
        <w:tc>
          <w:tcPr>
            <w:tcW w:w="9684"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193" w:type="dxa"/>
            <w:gridSpan w:val="1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 thousands)</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Segment 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1,798,370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(18,203,053)</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(16,404,683)</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205,317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857,804</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1,063,121</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2,003,687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(17,345,249)</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(15,341,562)</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16,036,001</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2,003,687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(1,309,248)</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694,439</w:t>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41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For the Nine Months Ended September 30, 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center"/>
              <w:rPr/>
            </w:pPr>
            <w:r>
              <w:rPr/>
              <w:t>​</w:t>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Segment operating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1,926,541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(2,056,833)</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(130,292)</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258,153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864,230</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1,122,383</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2,184,694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(1,192,603)</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992,091</w:t>
            </w:r>
          </w:p>
        </w:tc>
      </w:tr>
      <w:tr>
        <w:trPr/>
        <w:tc>
          <w:tcPr>
            <w:tcW w:w="4171"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Impairments and 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171"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Adjusted OIBDA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2,184,694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(1,192,603)</w:t>
            </w:r>
          </w:p>
        </w:tc>
        <w:tc>
          <w:tcPr>
            <w:tcW w:w="109" w:type="dxa"/>
            <w:tcBorders/>
            <w:shd w:fill="CCEEFF" w:val="clear"/>
            <w:vAlign w:val="center"/>
          </w:tcPr>
          <w:p>
            <w:pPr>
              <w:pStyle w:val="TableContents"/>
              <w:bidi w:val="0"/>
              <w:spacing w:before="0" w:after="0"/>
              <w:ind w:left="0" w:right="0" w:hanging="0"/>
              <w:jc w:val="left"/>
              <w:rPr/>
            </w:pPr>
            <w:r>
              <w:rPr/>
              <w:t>​</w:t>
            </w:r>
          </w:p>
        </w:tc>
        <w:tc>
          <w:tcPr>
            <w:tcW w:w="4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992,091</w:t>
            </w:r>
          </w:p>
        </w:tc>
      </w:tr>
      <w:tr>
        <w:trPr/>
        <w:tc>
          <w:tcPr>
            <w:tcW w:w="41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The changes in OIBDA and Adjusted OIBDA during the three and nine months ended September 30, 2025, compared to the same period in 2024, were primarily a result of the factors described in connection with operating revenues and operating expenses.</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bookmarkStart w:id="1866" w:name="Item4CONTROLSANDPROCEDURES_29410"/>
      <w:bookmarkStart w:id="1867" w:name="_2a6dba53_e356_4d9e_8a7d_96f8e72bc7cd"/>
      <w:bookmarkEnd w:id="1866"/>
      <w:bookmarkEnd w:id="1867"/>
      <w:r>
        <w:rPr>
          <w:rFonts w:ascii="Arial;Helvetica;sans-serif" w:hAnsi="Arial;Helvetica;sans-serif"/>
          <w:b/>
          <w:i w:val="false"/>
          <w:caps w:val="false"/>
          <w:smallCaps w:val="false"/>
          <w:spacing w:val="-2"/>
          <w:sz w:val="20"/>
        </w:rPr>
        <w:t>Item 4.</w:t>
      </w:r>
      <w:r>
        <w:rPr>
          <w:rFonts w:ascii="Arial;Helvetica;sans-serif" w:hAnsi="Arial;Helvetica;sans-serif"/>
          <w:b/>
          <w:spacing w:val="-2"/>
          <w:sz w:val="20"/>
        </w:rPr>
        <w:t>CONTROLS AND PROCEDURES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Conclusion regarding disclosure controls and procedures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spacing w:val="-2"/>
          <w:sz w:val="20"/>
        </w:rPr>
      </w:pPr>
      <w:r>
        <w:rPr>
          <w:rFonts w:ascii="Arial;Helvetica;sans-serif" w:hAnsi="Arial;Helvetica;sans-serif"/>
          <w:b/>
          <w:spacing w:val="-2"/>
          <w:sz w:val="20"/>
        </w:rPr>
        <w:t>Changes in internal control over financial reporting</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20"/>
        </w:rPr>
      </w:pPr>
      <w:bookmarkStart w:id="1868" w:name="PARTIIOTHERINFORMATION_280159"/>
      <w:bookmarkStart w:id="1869" w:name="_709c7ee7_7a48_45fd_963e_a3f683812ef2"/>
      <w:bookmarkEnd w:id="1868"/>
      <w:bookmarkEnd w:id="1869"/>
      <w:r>
        <w:rPr>
          <w:rFonts w:ascii="Arial;Helvetica;sans-serif" w:hAnsi="Arial;Helvetica;sans-serif"/>
          <w:b/>
          <w:spacing w:val="-2"/>
          <w:sz w:val="20"/>
        </w:rPr>
        <w:t>PART II — OTHER INFORMATION</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bookmarkStart w:id="1870" w:name="Item1LEGALPROCEEDINGS_657581"/>
      <w:bookmarkEnd w:id="1870"/>
      <w:r>
        <w:rPr>
          <w:rFonts w:ascii="Arial;Helvetica;sans-serif" w:hAnsi="Arial;Helvetica;sans-serif"/>
          <w:b/>
          <w:i w:val="false"/>
          <w:caps w:val="false"/>
          <w:smallCaps w:val="false"/>
          <w:spacing w:val="-2"/>
          <w:sz w:val="20"/>
        </w:rPr>
        <w:t>Item 1.</w:t>
      </w:r>
      <w:r>
        <w:rPr>
          <w:rFonts w:ascii="Arial;Helvetica;sans-serif" w:hAnsi="Arial;Helvetica;sans-serif"/>
          <w:b/>
          <w:spacing w:val="-2"/>
          <w:sz w:val="20"/>
        </w:rPr>
        <w:t>LEGAL PROCEEDINGS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Times New Roman;Times;serif" w:hAnsi="Times New Roman;Times;serif"/>
          <w:spacing w:val="-2"/>
          <w:sz w:val="18"/>
        </w:rPr>
      </w:pPr>
      <w:r>
        <w:rPr>
          <w:rFonts w:ascii="Arial;Helvetica;sans-serif" w:hAnsi="Arial;Helvetica;sans-serif"/>
          <w:spacing w:val="-2"/>
          <w:sz w:val="20"/>
        </w:rPr>
        <w:t>See Note 9 “</w:t>
      </w:r>
      <w:r>
        <w:rPr>
          <w:rFonts w:ascii="Arial;Helvetica;sans-serif" w:hAnsi="Arial;Helvetica;sans-serif"/>
          <w:i/>
          <w:spacing w:val="-2"/>
          <w:sz w:val="20"/>
        </w:rPr>
        <w:t>Commitments and Contingencies – Contingencies – Litigation</w:t>
      </w:r>
      <w:r>
        <w:rPr>
          <w:rFonts w:ascii="Times New Roman;Times;serif" w:hAnsi="Times New Roman;Times;serif"/>
          <w:spacing w:val="-2"/>
          <w:sz w:val="18"/>
        </w:rPr>
        <w:t xml:space="preserve">” </w:t>
      </w:r>
      <w:r>
        <w:rPr>
          <w:rFonts w:ascii="Arial;Helvetica;sans-serif" w:hAnsi="Arial;Helvetica;sans-serif"/>
          <w:spacing w:val="-2"/>
          <w:sz w:val="20"/>
        </w:rPr>
        <w:t>in the Notes to our Condensed Consolidated Financial Statements for information regarding certain legal proceedings in which we are involved.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b/>
          <w:spacing w:val="-2"/>
          <w:sz w:val="20"/>
        </w:rPr>
      </w:pPr>
      <w:bookmarkStart w:id="1871" w:name="Item1ARISKFACTORS_407501"/>
      <w:bookmarkStart w:id="1872" w:name="_43e182d7_05a7_4c8c_b7ad_fada379e3606"/>
      <w:bookmarkEnd w:id="1871"/>
      <w:bookmarkEnd w:id="1872"/>
      <w:r>
        <w:rPr>
          <w:rFonts w:ascii="Arial;Helvetica;sans-serif" w:hAnsi="Arial;Helvetica;sans-serif"/>
          <w:b/>
          <w:spacing w:val="-2"/>
          <w:sz w:val="20"/>
        </w:rPr>
        <w:t>Item 1A.  RISK FACTORS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b/>
          <w:i/>
          <w:spacing w:val="-2"/>
          <w:sz w:val="20"/>
        </w:rPr>
      </w:pPr>
      <w:r>
        <w:rPr>
          <w:rFonts w:ascii="Arial;Helvetica;sans-serif" w:hAnsi="Arial;Helvetica;sans-serif"/>
          <w:b/>
          <w:i/>
          <w:spacing w:val="-2"/>
          <w:sz w:val="20"/>
        </w:rPr>
        <w:t>The timing and closing of the AT&amp;T Transactions are not certain, and are subject to certain conditions, some of which we and EchoStar cannot control, which could result in the AT&amp;T Transactions not being completed or being completed later than expected, which could have a material adverse impact on our expected leverage and available cash-on-hand, as well as costs and revenues, or otherwise reducing the anticipated benefits to us of the AT&amp;T Transactions.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transaction agreements governing the AT&amp;T Transactions (the “Transaction Agreements”) are subject to certain closing conditions including the satisfaction of certain antitrust, FCC and other regulatory approvals, none of which have been satisfied yet. Governmental agencies might not approve the AT&amp;T Transactions or may impose conditions to any such approval or require changes to the terms of such transactions. Any such condition or change could have the effect of delaying completion of the AT&amp;T Transactions, imposing costs on or otherwise reducing the anticipated benefits of the transactions. Furthermore, under the Transaction Agreements, each party’s obligation to consummate the transactions are also subject to the accuracy of the representations and warranties of the other party (subject to certain qualifications and exceptions) and the performance in all material respects of the other party’s covenants under the Transaction Agreements.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a result of these conditions, we and EchoStar cannot provide assurance that the AT&amp;T Transactions will be completed on the terms or timeline currently contemplated, or at all. If such conditions are not fulfilled by the deadlines in the applicable Transaction Agreements (including applicable extensions provided under the Transaction Agreements), the Transaction Agreements may be terminated and the AT&amp;T Transactions may not be completed.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Conditions, delays or other changes may adversely impact our business, financial condition, results of operations, liquidity or the market value of our securities. If completed, the AT&amp;T Transactions would result in significant cash being recognized by us and as a result, our future results and success depend on the completion of such transactions. Any delay in completion of the AT&amp;T Transactions, material conditions imposed or other event or condition which negatively impacts those transactions may adversely impact our business, financial condition, results of operations, liquidity or the market value of our securities.</w:t>
      </w:r>
    </w:p>
    <w:p>
      <w:pPr>
        <w:pStyle w:val="TextBody"/>
        <w:bidi w:val="0"/>
        <w:spacing w:before="0" w:after="0"/>
        <w:ind w:left="0" w:right="0" w:hanging="0"/>
        <w:jc w:val="left"/>
        <w:rPr>
          <w:spacing w:val="-2"/>
        </w:rPr>
      </w:pPr>
      <w:r>
        <w:rPr>
          <w:spacing w:val="-2"/>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We do not expect approval of the AT&amp;T Transactions during a government shutdown, and the continuation of a government shutdown may materially delay our ability to consummate the AT&amp;T Transactions. Any delay in approval may adversely impact our business, financial condition, results of operations, liquidity or the market value of our securities.</w:t>
      </w:r>
    </w:p>
    <w:p>
      <w:pPr>
        <w:pStyle w:val="TextBody"/>
        <w:bidi w:val="0"/>
        <w:spacing w:before="0" w:after="0"/>
        <w:ind w:left="0" w:right="0" w:hanging="0"/>
        <w:jc w:val="left"/>
        <w:rPr>
          <w:spacing w:val="-2"/>
        </w:rPr>
      </w:pPr>
      <w:r>
        <w:rPr>
          <w:spacing w:val="-2"/>
        </w:rPr>
        <w:t>​</w:t>
      </w:r>
    </w:p>
    <w:p>
      <w:pPr>
        <w:pStyle w:val="TextBody"/>
        <w:shd w:fill="FFFFFF" w:val="clear"/>
        <w:bidi w:val="0"/>
        <w:spacing w:before="0" w:after="0"/>
        <w:ind w:left="0" w:right="0" w:hanging="0"/>
        <w:jc w:val="left"/>
        <w:rPr>
          <w:rFonts w:ascii="Arial;Helvetica;sans-serif" w:hAnsi="Arial;Helvetica;sans-serif"/>
          <w:b/>
          <w:i/>
          <w:color w:val="222222"/>
          <w:sz w:val="20"/>
        </w:rPr>
      </w:pPr>
      <w:r>
        <w:rPr>
          <w:rFonts w:ascii="Arial;Helvetica;sans-serif" w:hAnsi="Arial;Helvetica;sans-serif"/>
          <w:b/>
          <w:i/>
          <w:color w:val="222222"/>
          <w:sz w:val="20"/>
        </w:rPr>
        <w:t>Changes in trade policies, including, but not limited to, tariffs and other restrictions, could increase, among other things, our costs, disrupt our supply chain and negatively affect our business, operations and financial condition.</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We depend on suppliers, including suppliers with manufacturing in China and other countries, for various materials in our 5G Network, satellite and related infrastructure, Pay-TV and Wireless businesses. Changes in U.S. or foreign trade policies, including, but not limited to, new or increased tariffs, export controls, trade restrictions or sanctions, have resulted, and may continue to result, in higher costs for the wireless devices and other equipment we procure.</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Supply chain disruptions, customs delays, new compliance requirements and other challenges may cause delays in deploying network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pStyle w:val="TextBody"/>
        <w:shd w:fill="FFFFFF" w:val="clear"/>
        <w:bidi w:val="0"/>
        <w:spacing w:before="100" w:after="100"/>
        <w:ind w:left="0" w:right="0" w:hanging="0"/>
        <w:jc w:val="left"/>
        <w:rPr>
          <w:color w:val="222222"/>
        </w:rPr>
      </w:pPr>
      <w:r>
        <w:rPr>
          <w:color w:val="222222"/>
        </w:rPr>
        <w:t>​</w:t>
      </w:r>
    </w:p>
    <w:p>
      <w:pPr>
        <w:pStyle w:val="TextBody"/>
        <w:shd w:fill="FFFFFF" w:val="clear"/>
        <w:bidi w:val="0"/>
        <w:spacing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If we are unable to pass on increased costs to customers without negatively impacting demand, or offset them through other measures, our business, financial condition and results of operations could be materially adversely affected.</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left"/>
        <w:rPr>
          <w:rFonts w:ascii="Arial;Helvetica;sans-serif" w:hAnsi="Arial;Helvetica;sans-serif"/>
          <w:b/>
          <w:i/>
          <w:sz w:val="20"/>
        </w:rPr>
      </w:pPr>
      <w:r>
        <w:rPr>
          <w:rFonts w:ascii="Arial;Helvetica;sans-serif" w:hAnsi="Arial;Helvetica;sans-serif"/>
          <w:b/>
          <w:i/>
          <w:sz w:val="20"/>
        </w:rPr>
        <w:t>We, and certain of our subsidiaries, currently do not have the necessary cash on hand, projected future cash flows, or committed financing to fund our obligations over the next twelve months, which raises substantial doubt about our, and certain of our subsidiaries, ability to continue as a going concern.</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As of the date of this report, we and certain of our subsidiaries, currently do not have the necessary cash on hand, projected future cash flows or committed financing to fund our anticipated working capital needs, capital expenditures, interest payments, debt maturities and other contractual obligations over the next twelve months. These conditions raise substantial doubt about our ability to continue as a going concern and, as a result, a ‘going concern’ disclosure appears in the Notes to our Condensed Consolidated Financial Statements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We expect completion of the AT&amp;T Transactions to fully resolve our going concern qualification. However, failure to complete the transactions or a significant reduction in consideration from the transactions may result in the continuation of our going concern qualification.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the event that the going concern qualification continues after the completion or non-completion of the AT&amp;T Transactions we may take additional actions to protect our interest in our Wireless Licenses and other assets that may negatively impact the value of your investment in our securities, including, under certain circumstances, filing for relief under Chapter 11 of Title 11 of the United States Code, if we determine that such an action is in the best interests of the Company and our stakeholders.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In addition, even if we complete the AT&amp;T Transactions, due to government action and creditor claims, our RAN-related infrastructure subsidiary, DISH Wireless L.L.C. (“DWLLC”), may not be able to operate as a going concern. </w:t>
      </w:r>
    </w:p>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 xml:space="preserve">Certain actions that we, or certain of our subsidiaries, may take, including a potential voluntary Chapter 11 bankruptcy filing could have material adverse consequences to us, including, but not limited to: (i) disruption of relationships with vendors, suppliers, employees and customers; (ii) limitations on the ability to access capital markets or otherwise obtain financing on favorable terms or at all; (iii) limitations on the ability to take advantage of business opportunities; (iv) reputational harm; and (v) significant administrative costs and diversion of management attention. Furthermore, the outcome of any of the actions that we or certain of our subsidiaries may take, including a filing for relief under Chapter 11, is inherently uncertain and may result in a loss of control by our parent, EchoStar’s principal stockholder or a material reduction in the value or change in the relative priority of existing equity or debt securities. </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0"/>
        </w:rPr>
      </w:pPr>
      <w:bookmarkStart w:id="1873" w:name="_515b3933_0db4_4f02_875c_e9983109b1c2"/>
      <w:bookmarkEnd w:id="1873"/>
      <w:r>
        <w:rPr>
          <w:spacing w:val="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pacing w:val="-2"/>
          <w:sz w:val="18"/>
        </w:rPr>
      </w:pPr>
      <w:bookmarkStart w:id="1874" w:name="Item6EXHIBITS_602845"/>
      <w:bookmarkEnd w:id="1874"/>
      <w:r>
        <w:rPr>
          <w:rFonts w:ascii="Arial;Helvetica;sans-serif" w:hAnsi="Arial;Helvetica;sans-serif"/>
          <w:b/>
          <w:i w:val="false"/>
          <w:caps w:val="false"/>
          <w:smallCaps w:val="false"/>
          <w:spacing w:val="-2"/>
          <w:sz w:val="20"/>
        </w:rPr>
        <w:t>Item 6.</w:t>
      </w:r>
      <w:r>
        <w:rPr>
          <w:rFonts w:ascii="Arial;Helvetica;sans-serif" w:hAnsi="Arial;Helvetica;sans-serif"/>
          <w:b/>
          <w:spacing w:val="-2"/>
          <w:sz w:val="20"/>
        </w:rPr>
        <w:t>EXHIBITS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Exhibits.</w:t>
      </w:r>
    </w:p>
    <w:p>
      <w:pPr>
        <w:pStyle w:val="TextBody"/>
        <w:bidi w:val="0"/>
        <w:spacing w:before="0" w:after="0"/>
        <w:ind w:left="0" w:right="0" w:hanging="0"/>
        <w:jc w:val="both"/>
        <w:rPr>
          <w:spacing w:val="-2"/>
        </w:rPr>
      </w:pPr>
      <w:r>
        <w:rPr>
          <w:spacing w:val="-2"/>
        </w:rPr>
        <w:t>​</w:t>
      </w:r>
    </w:p>
    <w:tbl>
      <w:tblPr>
        <w:tblW w:w="10205" w:type="dxa"/>
        <w:jc w:val="left"/>
        <w:tblInd w:w="0" w:type="dxa"/>
        <w:tblLayout w:type="fixed"/>
        <w:tblCellMar>
          <w:top w:w="0" w:type="dxa"/>
          <w:left w:w="0" w:type="dxa"/>
          <w:bottom w:w="0" w:type="dxa"/>
          <w:right w:w="0" w:type="dxa"/>
        </w:tblCellMar>
      </w:tblPr>
      <w:tblGrid>
        <w:gridCol w:w="518"/>
        <w:gridCol w:w="109"/>
        <w:gridCol w:w="9578"/>
      </w:tblGrid>
      <w:tr>
        <w:trPr/>
        <w:tc>
          <w:tcPr>
            <w:tcW w:w="51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283"/>
              <w:ind w:left="0" w:right="0" w:hanging="0"/>
              <w:jc w:val="left"/>
              <w:rPr>
                <w:sz w:val="4"/>
                <w:szCs w:val="4"/>
              </w:rPr>
            </w:pPr>
            <w:r>
              <w:rPr>
                <w:sz w:val="4"/>
                <w:szCs w:val="4"/>
              </w:rPr>
            </w:r>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10.1*</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pacing w:val="-2"/>
                  <w:sz w:val="18"/>
                </w:rPr>
                <w:t>License Purchase Agreement, dated as of August 25, 2025, by and among EchoStar Corporation and AT&amp;T Mobility II LLC (incorporated by reference from Exhibit 10.1 to the Quarterly Report on Form 10-Q of EchoStar Corporation filed November 6, 2025).</w:t>
              </w:r>
            </w:hyperlink>
            <w:r>
              <w:rPr>
                <w:rFonts w:ascii="Arial;Helvetica;sans-serif" w:hAnsi="Arial;Helvetica;sans-serif"/>
                <w:spacing w:val="-2"/>
                <w:sz w:val="20"/>
              </w:rPr>
              <w:t>**</w:t>
            </w:r>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10.2*</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pacing w:val="-2"/>
                  <w:sz w:val="18"/>
                </w:rPr>
                <w:t>License Purchase Agreement, dated as of September 7, 2025, by and among EchoStar Corporation, Space Exploration Technologies Corp. and Spectrum Business Trust 2025-1(incorporated by reference from Exhibit 10.2 to the Quarterly Report on Form 10-Q of EchoStar Corporation filed November 6, 2025).</w:t>
              </w:r>
            </w:hyperlink>
            <w:r>
              <w:rPr>
                <w:rFonts w:ascii="Arial;Helvetica;sans-serif" w:hAnsi="Arial;Helvetica;sans-serif"/>
                <w:spacing w:val="-2"/>
                <w:sz w:val="20"/>
              </w:rPr>
              <w:t>**</w:t>
            </w:r>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31.1</w:t>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pPr>
            <w:hyperlink w:anchor="dish-20250930xex31d1.htm">
              <w:r>
                <w:rPr>
                  <w:rStyle w:val="InternetLink"/>
                  <w:rFonts w:ascii="Times New Roman;Times;serif" w:hAnsi="Times New Roman;Times;serif"/>
                  <w:b w:val="false"/>
                  <w:i w:val="false"/>
                  <w:caps w:val="false"/>
                  <w:smallCaps w:val="false"/>
                  <w:spacing w:val="-2"/>
                  <w:sz w:val="18"/>
                </w:rPr>
                <w:t>Section 302 Certification of Chief Executive Officer.</w:t>
              </w:r>
            </w:hyperlink>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31.2</w:t>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pPr>
            <w:hyperlink w:anchor="dish-20250930xex31d2.htm">
              <w:r>
                <w:rPr>
                  <w:rStyle w:val="InternetLink"/>
                  <w:rFonts w:ascii="Times New Roman;Times;serif" w:hAnsi="Times New Roman;Times;serif"/>
                  <w:b w:val="false"/>
                  <w:i w:val="false"/>
                  <w:caps w:val="false"/>
                  <w:smallCaps w:val="false"/>
                  <w:spacing w:val="-2"/>
                  <w:sz w:val="18"/>
                </w:rPr>
                <w:t>Section 302 Certification of Chief Financial Officer.</w:t>
              </w:r>
            </w:hyperlink>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32.1</w:t>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pPr>
            <w:hyperlink w:anchor="dish-20250930xex32d1.htm">
              <w:r>
                <w:rPr>
                  <w:rStyle w:val="InternetLink"/>
                  <w:rFonts w:ascii="Times New Roman;Times;serif" w:hAnsi="Times New Roman;Times;serif"/>
                  <w:b w:val="false"/>
                  <w:i w:val="false"/>
                  <w:caps w:val="false"/>
                  <w:smallCaps w:val="false"/>
                  <w:spacing w:val="-2"/>
                  <w:sz w:val="18"/>
                </w:rPr>
                <w:t>Section 906 Certification of Chief Executive Officer.</w:t>
              </w:r>
            </w:hyperlink>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32.2</w:t>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pPr>
            <w:hyperlink w:anchor="dish-20250930xex32d2.htm">
              <w:r>
                <w:rPr>
                  <w:rStyle w:val="InternetLink"/>
                  <w:rFonts w:ascii="Times New Roman;Times;serif" w:hAnsi="Times New Roman;Times;serif"/>
                  <w:b w:val="false"/>
                  <w:i w:val="false"/>
                  <w:caps w:val="false"/>
                  <w:smallCaps w:val="false"/>
                  <w:spacing w:val="-2"/>
                  <w:sz w:val="18"/>
                </w:rPr>
                <w:t>Section 906 Certification of Chief Financial Officer.</w:t>
              </w:r>
            </w:hyperlink>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99.1*</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pacing w:val="-2"/>
                  <w:sz w:val="18"/>
                </w:rPr>
                <w:t>Letter to EchoStar regarding review of compliance with its federal obligations to provide 5G service throughout the United States, dated May 9, 2025 (incorporated by reference from Exhibit 99.1 to EchoStar Corporation’s Current Report on Form 8-K filed May 13, 2025).</w:t>
              </w:r>
            </w:hyperlink>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99.2*</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pacing w:val="-2"/>
                  <w:sz w:val="18"/>
                </w:rPr>
                <w:t>Letter to EchoStar regarding review of compliance with its federal obligations to provide 5G service throughout the United States, dated September 8, 2025 (incorporated by reference from Exhibit 99.1 to EchoStar Corporation’s Current Report on Form 8-K filed September 9, 2025).</w:t>
              </w:r>
            </w:hyperlink>
          </w:p>
        </w:tc>
      </w:tr>
      <w:tr>
        <w:trPr/>
        <w:tc>
          <w:tcPr>
            <w:tcW w:w="518" w:type="dxa"/>
            <w:tcBorders/>
            <w:vAlign w:val="center"/>
          </w:tcPr>
          <w:p>
            <w:pPr>
              <w:pStyle w:val="TableContents"/>
              <w:bidi w:val="0"/>
              <w:spacing w:before="0" w:after="0"/>
              <w:ind w:left="0" w:right="0" w:hanging="0"/>
              <w:jc w:val="both"/>
              <w:rPr>
                <w:spacing w:val="-2"/>
              </w:rPr>
            </w:pPr>
            <w:r>
              <w:rPr>
                <w:spacing w:val="-2"/>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spacing w:val="-2"/>
              </w:rPr>
            </w:pPr>
            <w:r>
              <w:rPr>
                <w:spacing w:val="-2"/>
              </w:rPr>
              <w:t>​</w:t>
            </w:r>
          </w:p>
        </w:tc>
      </w:tr>
      <w:tr>
        <w:trPr/>
        <w:tc>
          <w:tcPr>
            <w:tcW w:w="518" w:type="dxa"/>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101</w:t>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left"/>
              <w:rPr>
                <w:rFonts w:ascii="Arial;Helvetica;sans-serif" w:hAnsi="Arial;Helvetica;sans-serif"/>
                <w:spacing w:val="-2"/>
                <w:sz w:val="20"/>
              </w:rPr>
            </w:pPr>
            <w:r>
              <w:rPr>
                <w:rFonts w:ascii="Arial;Helvetica;sans-serif" w:hAnsi="Arial;Helvetica;sans-serif"/>
                <w:spacing w:val="-2"/>
                <w:sz w:val="20"/>
              </w:rPr>
              <w:t>The following materials from the Quarterly Report on Form 10-Q of DISH Network for the quarter ended September 30, 2025 filed on November 14, 2025,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tc>
      </w:tr>
      <w:tr>
        <w:trPr/>
        <w:tc>
          <w:tcPr>
            <w:tcW w:w="518" w:type="dxa"/>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104</w:t>
            </w:r>
            <w:r>
              <w:rPr>
                <w:rFonts w:ascii="Times New Roman;Times;serif" w:hAnsi="Times New Roman;Times;serif"/>
                <w:spacing w:val="-2"/>
                <w:sz w:val="18"/>
              </w:rPr>
              <w:t>☐</w:t>
            </w:r>
          </w:p>
        </w:tc>
        <w:tc>
          <w:tcPr>
            <w:tcW w:w="109" w:type="dxa"/>
            <w:tcBorders/>
            <w:vAlign w:val="center"/>
          </w:tcPr>
          <w:p>
            <w:pPr>
              <w:pStyle w:val="TableContents"/>
              <w:bidi w:val="0"/>
              <w:spacing w:before="0" w:after="0"/>
              <w:ind w:left="0" w:right="0" w:hanging="0"/>
              <w:jc w:val="both"/>
              <w:rPr>
                <w:spacing w:val="-2"/>
              </w:rPr>
            </w:pPr>
            <w:r>
              <w:rPr>
                <w:spacing w:val="-2"/>
              </w:rPr>
              <w:t>​</w:t>
            </w:r>
          </w:p>
        </w:tc>
        <w:tc>
          <w:tcPr>
            <w:tcW w:w="9578"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Cover Page Interactive Data File (the cover page XBRL tags are embedded in the Inline XBRL document).</w:t>
            </w:r>
          </w:p>
        </w:tc>
      </w:tr>
    </w:tbl>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caps w:val="false"/>
          <w:smallCaps w:val="false"/>
        </w:rPr>
        <w:t>☐</w:t>
      </w:r>
      <w:r>
        <w:rPr>
          <w:rFonts w:ascii="Arial;Helvetica;sans-serif" w:hAnsi="Arial;Helvetica;sans-serif"/>
          <w:sz w:val="20"/>
        </w:rPr>
        <w:t>Filed herewith.</w:t>
      </w:r>
    </w:p>
    <w:p>
      <w:pPr>
        <w:pStyle w:val="TextBody"/>
        <w:bidi w:val="0"/>
        <w:spacing w:before="0" w:after="0"/>
        <w:ind w:left="0" w:right="0" w:hanging="0"/>
        <w:jc w:val="left"/>
        <w:rPr>
          <w:rFonts w:ascii="Times New Roman;Times;serif" w:hAnsi="Times New Roman;Times;serif"/>
          <w:sz w:val="20"/>
        </w:rPr>
      </w:pPr>
      <w:r>
        <w:rPr>
          <w:rFonts w:ascii="Arial;Helvetica;sans-serif" w:hAnsi="Arial;Helvetica;sans-serif"/>
          <w:b w:val="false"/>
          <w:i w:val="false"/>
          <w:caps w:val="false"/>
          <w:smallCaps w:val="false"/>
          <w:sz w:val="20"/>
        </w:rPr>
        <w:t xml:space="preserve">* </w:t>
      </w:r>
      <w:r>
        <w:rPr>
          <w:rFonts w:ascii="Arial;Helvetica;sans-serif" w:hAnsi="Arial;Helvetica;sans-serif"/>
          <w:sz w:val="20"/>
        </w:rPr>
        <w:t>Incorporated by reference.</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w:t>
            </w:r>
          </w:p>
        </w:tc>
        <w:tc>
          <w:tcPr>
            <w:tcW w:w="9957" w:type="dxa"/>
            <w:tcBorders/>
            <w:vAlign w:val="center"/>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Certain portions of the exhibit have been omitted and separately filed with the Securities and Exchange Commission with a request for confidential treatment.</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bookmarkStart w:id="1875" w:name="_4294a5bd_ad79_405f_a835_a4a5a16e26be"/>
      <w:bookmarkEnd w:id="1875"/>
      <w:r>
        <w:rPr>
          <w:spacing w:val="-2"/>
        </w:rPr>
        <w:t>​</w:t>
      </w:r>
    </w:p>
    <w:p>
      <w:pPr>
        <w:pStyle w:val="TextBody"/>
        <w:bidi w:val="0"/>
        <w:spacing w:before="0" w:after="0"/>
        <w:ind w:left="0" w:right="0" w:hanging="0"/>
        <w:jc w:val="left"/>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Arial;Helvetica;sans-serif" w:hAnsi="Arial;Helvetica;sans-serif"/>
          <w:b/>
          <w:spacing w:val="-2"/>
          <w:sz w:val="20"/>
        </w:rPr>
      </w:pPr>
      <w:bookmarkStart w:id="1876" w:name="SIGNATURES"/>
      <w:bookmarkEnd w:id="1876"/>
      <w:r>
        <w:rPr>
          <w:rFonts w:ascii="Arial;Helvetica;sans-serif" w:hAnsi="Arial;Helvetica;sans-serif"/>
          <w:b/>
          <w:spacing w:val="-2"/>
          <w:sz w:val="20"/>
        </w:rPr>
        <w:t>SIGNATURES</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spacing w:val="-2"/>
        </w:rPr>
      </w:pPr>
      <w:r>
        <w:rPr>
          <w:spacing w:val="-2"/>
        </w:rPr>
        <w:t>​</w:t>
      </w:r>
    </w:p>
    <w:tbl>
      <w:tblPr>
        <w:tblW w:w="7982" w:type="dxa"/>
        <w:jc w:val="left"/>
        <w:tblInd w:w="0" w:type="dxa"/>
        <w:tblLayout w:type="fixed"/>
        <w:tblCellMar>
          <w:top w:w="0" w:type="dxa"/>
          <w:left w:w="0" w:type="dxa"/>
          <w:bottom w:w="0" w:type="dxa"/>
          <w:right w:w="0" w:type="dxa"/>
        </w:tblCellMar>
      </w:tblPr>
      <w:tblGrid>
        <w:gridCol w:w="404"/>
        <w:gridCol w:w="1549"/>
        <w:gridCol w:w="6029"/>
      </w:tblGrid>
      <w:tr>
        <w:trPr/>
        <w:tc>
          <w:tcPr>
            <w:tcW w:w="404"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 xml:space="preserve">Im </w:t>
            </w:r>
          </w:p>
        </w:tc>
        <w:tc>
          <w:tcPr>
            <w:tcW w:w="1549" w:type="dxa"/>
            <w:tcBorders/>
            <w:vAlign w:val="center"/>
          </w:tcPr>
          <w:p>
            <w:pPr>
              <w:pStyle w:val="TableContents"/>
              <w:bidi w:val="0"/>
              <w:spacing w:before="0" w:after="0"/>
              <w:ind w:left="0" w:right="0" w:hanging="0"/>
              <w:jc w:val="both"/>
              <w:rPr>
                <w:spacing w:val="-2"/>
              </w:rPr>
            </w:pPr>
            <w:r>
              <w:rPr>
                <w:spacing w:val="-2"/>
              </w:rPr>
              <w:t>​</w:t>
            </w:r>
          </w:p>
        </w:tc>
        <w:tc>
          <w:tcPr>
            <w:tcW w:w="6029" w:type="dxa"/>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1549" w:type="dxa"/>
            <w:tcBorders/>
            <w:vAlign w:val="center"/>
          </w:tcPr>
          <w:p>
            <w:pPr>
              <w:pStyle w:val="TableContents"/>
              <w:bidi w:val="0"/>
              <w:spacing w:before="0" w:after="0"/>
              <w:ind w:left="0" w:right="0" w:hanging="0"/>
              <w:jc w:val="both"/>
              <w:rPr>
                <w:spacing w:val="-2"/>
              </w:rPr>
            </w:pPr>
            <w:r>
              <w:rPr>
                <w:spacing w:val="-2"/>
              </w:rPr>
              <w:t>​</w:t>
            </w:r>
          </w:p>
        </w:tc>
        <w:tc>
          <w:tcPr>
            <w:tcW w:w="6029" w:type="dxa"/>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DISH NETWORK CORPORATION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1549" w:type="dxa"/>
            <w:tcBorders/>
            <w:vAlign w:val="center"/>
          </w:tcPr>
          <w:p>
            <w:pPr>
              <w:pStyle w:val="TableContents"/>
              <w:bidi w:val="0"/>
              <w:spacing w:before="0" w:after="0"/>
              <w:ind w:left="0" w:right="0" w:hanging="0"/>
              <w:jc w:val="both"/>
              <w:rPr>
                <w:spacing w:val="-2"/>
              </w:rPr>
            </w:pPr>
            <w:r>
              <w:rPr>
                <w:spacing w:val="-2"/>
              </w:rPr>
              <w:t>​</w:t>
            </w:r>
          </w:p>
        </w:tc>
        <w:tc>
          <w:tcPr>
            <w:tcW w:w="6029" w:type="dxa"/>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1549"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By:</w:t>
            </w:r>
          </w:p>
        </w:tc>
        <w:tc>
          <w:tcPr>
            <w:tcW w:w="602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 xml:space="preserve">/s/ </w:t>
            </w:r>
            <w:r>
              <w:rPr>
                <w:rFonts w:ascii="Arial;Helvetica;sans-serif" w:hAnsi="Arial;Helvetica;sans-serif"/>
                <w:i/>
                <w:spacing w:val="-2"/>
                <w:sz w:val="20"/>
              </w:rPr>
              <w:t>Hamid Akhavan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Hamid Akhavan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President and Chief Executive Officer</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(Duly Authorized Officer)</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1549" w:type="dxa"/>
            <w:tcBorders/>
            <w:vAlign w:val="center"/>
          </w:tcPr>
          <w:p>
            <w:pPr>
              <w:pStyle w:val="TableContents"/>
              <w:bidi w:val="0"/>
              <w:spacing w:before="0" w:after="0"/>
              <w:ind w:left="0" w:right="0" w:hanging="0"/>
              <w:jc w:val="both"/>
              <w:rPr>
                <w:spacing w:val="-2"/>
              </w:rPr>
            </w:pPr>
            <w:r>
              <w:rPr>
                <w:spacing w:val="-2"/>
              </w:rPr>
              <w:t>​</w:t>
            </w:r>
          </w:p>
        </w:tc>
        <w:tc>
          <w:tcPr>
            <w:tcW w:w="6029" w:type="dxa"/>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1549"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By:</w:t>
            </w:r>
          </w:p>
        </w:tc>
        <w:tc>
          <w:tcPr>
            <w:tcW w:w="6029"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/s/ Paul W. Orban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Paul W. Orban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Times New Roman;Times;serif" w:hAnsi="Times New Roman;Times;serif"/>
                <w:spacing w:val="-2"/>
                <w:sz w:val="18"/>
              </w:rPr>
            </w:pPr>
            <w:r>
              <w:rPr>
                <w:rFonts w:ascii="Arial;Helvetica;sans-serif" w:hAnsi="Arial;Helvetica;sans-serif"/>
                <w:spacing w:val="-2"/>
                <w:sz w:val="20"/>
              </w:rPr>
              <w:t>Executive Vice President and Chief Financial Officer, DISH</w:t>
            </w:r>
            <w:r>
              <w:rPr>
                <w:rFonts w:ascii="Times New Roman;Times;serif" w:hAnsi="Times New Roman;Times;serif"/>
                <w:spacing w:val="-2"/>
                <w:sz w:val="18"/>
              </w:rPr>
              <w:t xml:space="preserve"> </w:t>
            </w:r>
            <w:r>
              <w:rPr>
                <w:rFonts w:ascii="Arial;Helvetica;sans-serif" w:hAnsi="Arial;Helvetica;sans-serif"/>
                <w:i/>
                <w:spacing w:val="-2"/>
                <w:sz w:val="20"/>
              </w:rPr>
              <w:t>(Principal Financial Officer)</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spacing w:val="-2"/>
              </w:rPr>
            </w:pPr>
            <w:r>
              <w:rPr>
                <w:spacing w:val="-2"/>
              </w:rPr>
              <w:t>​</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1549" w:type="dxa"/>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 xml:space="preserve">By: </w:t>
            </w:r>
          </w:p>
        </w:tc>
        <w:tc>
          <w:tcPr>
            <w:tcW w:w="6029" w:type="dxa"/>
            <w:tcBorders>
              <w:bottom w:val="single" w:sz="2" w:space="0" w:color="000000"/>
            </w:tcBorders>
            <w:tcMar>
              <w:bottom w:w="28" w:type="dxa"/>
            </w:tcMar>
            <w:vAlign w:val="center"/>
          </w:tcPr>
          <w:p>
            <w:pPr>
              <w:pStyle w:val="TableContents"/>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/s/ James S. Allen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James S. Allen</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Senior Vice President and Chief Accounting Officer</w:t>
            </w:r>
          </w:p>
        </w:tc>
      </w:tr>
      <w:tr>
        <w:trPr/>
        <w:tc>
          <w:tcPr>
            <w:tcW w:w="404" w:type="dxa"/>
            <w:tcBorders/>
            <w:vAlign w:val="center"/>
          </w:tcPr>
          <w:p>
            <w:pPr>
              <w:pStyle w:val="TableContents"/>
              <w:bidi w:val="0"/>
              <w:spacing w:before="0" w:after="0"/>
              <w:ind w:left="0" w:right="0" w:hanging="0"/>
              <w:jc w:val="both"/>
              <w:rPr>
                <w:spacing w:val="-2"/>
              </w:rPr>
            </w:pPr>
            <w:r>
              <w:rPr>
                <w:spacing w:val="-2"/>
              </w:rPr>
              <w:t>​</w:t>
            </w:r>
          </w:p>
        </w:tc>
        <w:tc>
          <w:tcPr>
            <w:tcW w:w="7578" w:type="dxa"/>
            <w:gridSpan w:val="2"/>
            <w:tcBorders/>
            <w:vAlign w:val="center"/>
          </w:tcPr>
          <w:p>
            <w:pPr>
              <w:pStyle w:val="TableContents"/>
              <w:bidi w:val="0"/>
              <w:spacing w:before="0" w:after="0"/>
              <w:ind w:left="0" w:right="0" w:hanging="0"/>
              <w:jc w:val="both"/>
              <w:rPr>
                <w:rFonts w:ascii="Arial;Helvetica;sans-serif" w:hAnsi="Arial;Helvetica;sans-serif"/>
                <w:i/>
                <w:spacing w:val="-2"/>
                <w:sz w:val="20"/>
              </w:rPr>
            </w:pPr>
            <w:r>
              <w:rPr>
                <w:rFonts w:ascii="Arial;Helvetica;sans-serif" w:hAnsi="Arial;Helvetica;sans-serif"/>
                <w:i/>
                <w:spacing w:val="-2"/>
                <w:sz w:val="20"/>
              </w:rPr>
              <w:t>(Principal Accounting Officer)</w:t>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rFonts w:ascii="Arial;Helvetica;sans-serif" w:hAnsi="Arial;Helvetica;sans-serif"/>
          <w:spacing w:val="-2"/>
          <w:sz w:val="20"/>
        </w:rPr>
      </w:pPr>
      <w:r>
        <w:rPr>
          <w:rFonts w:ascii="Arial;Helvetica;sans-serif" w:hAnsi="Arial;Helvetica;sans-serif"/>
          <w:spacing w:val="-2"/>
          <w:sz w:val="20"/>
        </w:rPr>
        <w:t>Date:  November 14, 2025</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lineRule="auto" w:line="285" w:before="0" w:after="0"/>
        <w:ind w:left="0" w:right="0" w:hanging="0"/>
        <w:jc w:val="right"/>
        <w:rPr>
          <w:rFonts w:ascii="Arial;Helvetica;sans-serif" w:hAnsi="Arial;Helvetica;sans-serif"/>
          <w:b/>
          <w:sz w:val="20"/>
        </w:rPr>
      </w:pPr>
      <w:bookmarkStart w:id="1877" w:name="dish-20250930xex31d1.htm"/>
      <w:bookmarkStart w:id="1878" w:name="ksdish20250930xex31d1"/>
      <w:bookmarkEnd w:id="1877"/>
      <w:bookmarkEnd w:id="1878"/>
      <w:r>
        <w:rPr>
          <w:rFonts w:ascii="Arial;Helvetica;sans-serif" w:hAnsi="Arial;Helvetica;sans-serif"/>
          <w:b/>
          <w:sz w:val="20"/>
        </w:rPr>
        <w:t>EXHIBIT 31.1</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Arial;Helvetica;sans-serif" w:hAnsi="Arial;Helvetica;sans-serif"/>
          <w:sz w:val="20"/>
        </w:rPr>
      </w:pPr>
      <w:r>
        <w:rPr>
          <w:rFonts w:ascii="Arial;Helvetica;sans-serif" w:hAnsi="Arial;Helvetica;sans-serif"/>
          <w:sz w:val="20"/>
        </w:rPr>
        <w:t>I, Hamid Akhavan, certify that:</w:t>
      </w:r>
    </w:p>
    <w:p>
      <w:pPr>
        <w:pStyle w:val="TextBody"/>
        <w:bidi w:val="0"/>
        <w:spacing w:lineRule="auto" w:line="285" w:before="0" w:after="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185"/>
        <w:gridCol w:w="7130"/>
      </w:tblGrid>
      <w:tr>
        <w:trPr/>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DISH Network Corporation;</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7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5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3560" w:type="dxa"/>
        <w:jc w:val="left"/>
        <w:tblInd w:w="0" w:type="dxa"/>
        <w:tblLayout w:type="fixed"/>
        <w:tblCellMar>
          <w:top w:w="0" w:type="dxa"/>
          <w:left w:w="0" w:type="dxa"/>
          <w:bottom w:w="0" w:type="dxa"/>
          <w:right w:w="0" w:type="dxa"/>
        </w:tblCellMar>
      </w:tblPr>
      <w:tblGrid>
        <w:gridCol w:w="3406"/>
        <w:gridCol w:w="154"/>
      </w:tblGrid>
      <w:tr>
        <w:trPr/>
        <w:tc>
          <w:tcPr>
            <w:tcW w:w="3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Ovember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340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879" w:name="dish-20250930xex31d2.htm"/>
      <w:bookmarkStart w:id="1880" w:name="ksdish20250930xex31d2"/>
      <w:bookmarkEnd w:id="1879"/>
      <w:bookmarkEnd w:id="1880"/>
      <w:r>
        <w:rPr>
          <w:rFonts w:ascii="Arial;Helvetica;sans-serif" w:hAnsi="Arial;Helvetica;sans-serif"/>
          <w:b/>
          <w:sz w:val="20"/>
        </w:rPr>
        <w:t>EXHIBIT 31.2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302 Certification</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Arial;Helvetica;sans-serif" w:hAnsi="Arial;Helvetica;sans-serif"/>
          <w:sz w:val="20"/>
        </w:rPr>
      </w:pPr>
      <w:r>
        <w:rPr>
          <w:rFonts w:ascii="Arial;Helvetica;sans-serif" w:hAnsi="Arial;Helvetica;sans-serif"/>
          <w:sz w:val="20"/>
        </w:rPr>
        <w:t>I, Paul W. Orban, certify that:</w:t>
      </w:r>
    </w:p>
    <w:p>
      <w:pPr>
        <w:pStyle w:val="TextBody"/>
        <w:bidi w:val="0"/>
        <w:spacing w:lineRule="auto" w:line="285" w:before="0" w:after="0"/>
        <w:ind w:left="0" w:right="0" w:hanging="0"/>
        <w:jc w:val="left"/>
        <w:rPr/>
      </w:pPr>
      <w:r>
        <w:rPr/>
        <w:t>​</w:t>
      </w:r>
    </w:p>
    <w:tbl>
      <w:tblPr>
        <w:tblW w:w="7315" w:type="dxa"/>
        <w:jc w:val="left"/>
        <w:tblInd w:w="0" w:type="dxa"/>
        <w:tblLayout w:type="fixed"/>
        <w:tblCellMar>
          <w:top w:w="0" w:type="dxa"/>
          <w:left w:w="0" w:type="dxa"/>
          <w:bottom w:w="0" w:type="dxa"/>
          <w:right w:w="0" w:type="dxa"/>
        </w:tblCellMar>
      </w:tblPr>
      <w:tblGrid>
        <w:gridCol w:w="185"/>
        <w:gridCol w:w="7130"/>
      </w:tblGrid>
      <w:tr>
        <w:trPr/>
        <w:tc>
          <w:tcPr>
            <w:tcW w:w="1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713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have reviewed this Quarterly Report on Form 10-Q of DISH Network Corporation;</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1005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3.</w:t>
            </w:r>
          </w:p>
        </w:tc>
        <w:tc>
          <w:tcPr>
            <w:tcW w:w="1005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w:t>
            </w:r>
          </w:p>
        </w:tc>
        <w:tc>
          <w:tcPr>
            <w:tcW w:w="10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2"/>
        <w:gridCol w:w="9980"/>
      </w:tblGrid>
      <w:tr>
        <w:trPr/>
        <w:tc>
          <w:tcPr>
            <w:tcW w:w="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w:t>
            </w:r>
          </w:p>
        </w:tc>
        <w:tc>
          <w:tcPr>
            <w:tcW w:w="9974"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10"/>
        <w:gridCol w:w="9972"/>
      </w:tblGrid>
      <w:tr>
        <w:trPr/>
        <w:tc>
          <w:tcPr>
            <w:tcW w:w="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w:t>
            </w:r>
          </w:p>
        </w:tc>
        <w:tc>
          <w:tcPr>
            <w:tcW w:w="997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w:t>
            </w:r>
          </w:p>
        </w:tc>
        <w:tc>
          <w:tcPr>
            <w:tcW w:w="9958"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5435" w:type="dxa"/>
        <w:jc w:val="left"/>
        <w:tblInd w:w="0" w:type="dxa"/>
        <w:tblLayout w:type="fixed"/>
        <w:tblCellMar>
          <w:top w:w="0" w:type="dxa"/>
          <w:left w:w="0" w:type="dxa"/>
          <w:bottom w:w="0" w:type="dxa"/>
          <w:right w:w="0" w:type="dxa"/>
        </w:tblCellMar>
      </w:tblPr>
      <w:tblGrid>
        <w:gridCol w:w="5281"/>
        <w:gridCol w:w="154"/>
      </w:tblGrid>
      <w:tr>
        <w:trPr/>
        <w:tc>
          <w:tcPr>
            <w:tcW w:w="528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 xml:space="preserve">Ovember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 November 14, 2025</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281"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bookmarkStart w:id="1881" w:name="dish-20250930xex32d1.htm"/>
      <w:bookmarkStart w:id="1882" w:name="ksdish20250930xex32d1"/>
      <w:bookmarkEnd w:id="1881"/>
      <w:bookmarkEnd w:id="1882"/>
      <w:r>
        <w:rPr/>
        <w:t>​</w:t>
      </w:r>
      <w:r>
        <w:br w:type="page"/>
      </w:r>
    </w:p>
    <w:p>
      <w:pPr>
        <w:pStyle w:val="TextBody"/>
        <w:bidi w:val="0"/>
        <w:spacing w:lineRule="auto" w:line="285" w:before="0" w:after="0"/>
        <w:ind w:left="0" w:right="0" w:hanging="0"/>
        <w:jc w:val="right"/>
        <w:rPr>
          <w:rFonts w:ascii="Arial;Helvetica;sans-serif" w:hAnsi="Arial;Helvetica;sans-serif"/>
          <w:b/>
          <w:sz w:val="20"/>
        </w:rPr>
      </w:pPr>
      <w:r>
        <w:rPr>
          <w:rFonts w:ascii="Arial;Helvetica;sans-serif" w:hAnsi="Arial;Helvetica;sans-serif"/>
          <w:b/>
          <w:sz w:val="20"/>
        </w:rPr>
        <w:t>EXHIBIT 32.1</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EXECUTIVE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DISH Network Corporation (the “Company”) hereby certifies that to the best of his knowledge the Company’s Quarterly Report on Form 10-Q for the three months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center"/>
        <w:rPr/>
      </w:pPr>
      <w:r>
        <w:rPr/>
        <w:t>​</w:t>
      </w:r>
    </w:p>
    <w:tbl>
      <w:tblPr>
        <w:tblW w:w="4236" w:type="dxa"/>
        <w:jc w:val="left"/>
        <w:tblInd w:w="0" w:type="dxa"/>
        <w:tblLayout w:type="fixed"/>
        <w:tblCellMar>
          <w:top w:w="0" w:type="dxa"/>
          <w:left w:w="0" w:type="dxa"/>
          <w:bottom w:w="0" w:type="dxa"/>
          <w:right w:w="0" w:type="dxa"/>
        </w:tblCellMar>
      </w:tblPr>
      <w:tblGrid>
        <w:gridCol w:w="124"/>
        <w:gridCol w:w="676"/>
        <w:gridCol w:w="3436"/>
      </w:tblGrid>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343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Hamid Akhavan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3436"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343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20"/>
        </w:rPr>
      </w:pPr>
      <w:bookmarkStart w:id="1883" w:name="dish-20250930xex32d2.htm"/>
      <w:bookmarkStart w:id="1884" w:name="ksdish20250930xex32d2"/>
      <w:bookmarkEnd w:id="1883"/>
      <w:bookmarkEnd w:id="1884"/>
      <w:r>
        <w:rPr>
          <w:rFonts w:ascii="Arial;Helvetica;sans-serif" w:hAnsi="Arial;Helvetica;sans-serif"/>
          <w:b/>
          <w:sz w:val="20"/>
        </w:rPr>
        <w:t>EXHIBIT 32.2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CERTIFICATION OF CHIEF FINANCIAL OFFICER</w:t>
      </w:r>
    </w:p>
    <w:p>
      <w:pPr>
        <w:pStyle w:val="TextBody"/>
        <w:bidi w:val="0"/>
        <w:spacing w:lineRule="auto" w:line="285" w:before="0" w:after="0"/>
        <w:ind w:left="0" w:right="0" w:hanging="0"/>
        <w:jc w:val="center"/>
        <w:rPr>
          <w:rFonts w:ascii="Arial;Helvetica;sans-serif" w:hAnsi="Arial;Helvetica;sans-serif"/>
          <w:sz w:val="20"/>
        </w:rPr>
      </w:pPr>
      <w:r>
        <w:rPr>
          <w:rFonts w:ascii="Arial;Helvetica;sans-serif" w:hAnsi="Arial;Helvetica;sans-serif"/>
          <w:sz w:val="20"/>
        </w:rPr>
        <w:t>Section 906 Certification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Pursuant to 18 U.S.C. § 1350, the undersigned officer of DISH Network Corporation (the “Company”) hereby certifies that to the best of his knowledge the Company’s Quarterly Report on Form 10-Q for the three months ended September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6111" w:type="dxa"/>
        <w:jc w:val="left"/>
        <w:tblInd w:w="0" w:type="dxa"/>
        <w:tblLayout w:type="fixed"/>
        <w:tblCellMar>
          <w:top w:w="0" w:type="dxa"/>
          <w:left w:w="0" w:type="dxa"/>
          <w:bottom w:w="0" w:type="dxa"/>
          <w:right w:w="0" w:type="dxa"/>
        </w:tblCellMar>
      </w:tblPr>
      <w:tblGrid>
        <w:gridCol w:w="124"/>
        <w:gridCol w:w="676"/>
        <w:gridCol w:w="5311"/>
      </w:tblGrid>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Dated:</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November 14, 2025</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Name:</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i/>
                <w:sz w:val="20"/>
              </w:rPr>
            </w:pPr>
            <w:r>
              <w:rPr>
                <w:rFonts w:ascii="Arial;Helvetica;sans-serif" w:hAnsi="Arial;Helvetica;sans-serif"/>
                <w:i/>
                <w:sz w:val="20"/>
              </w:rPr>
              <w:t>/s/ Paul W. Orban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pPr>
            <w:r>
              <w:rPr/>
              <w:t>​</w:t>
            </w:r>
          </w:p>
        </w:tc>
        <w:tc>
          <w:tcPr>
            <w:tcW w:w="5311"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Title:</w:t>
            </w:r>
          </w:p>
        </w:tc>
        <w:tc>
          <w:tcPr>
            <w:tcW w:w="53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Executive Vice President and Chief Financial Officer, DISH</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The foregoing certification is being furnished solely pursuant to 18 U.S.C. § 1350 and is not being filed as part of the Report or as a separate disclosure document.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Arial;Helvetica;sans-serif" w:hAnsi="Arial;Helvetica;sans-serif"/>
          <w:sz w:val="20"/>
        </w:rPr>
      </w:pPr>
      <w:r>
        <w:rPr>
          <w:rFonts w:ascii="Arial;Helvetica;sans-serif" w:hAnsi="Arial;Helvetica;sans-serif"/>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ambri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15404/000110465925107277/tmb-20250930xex10d1.htm" TargetMode="External"/><Relationship Id="rId3" Type="http://schemas.openxmlformats.org/officeDocument/2006/relationships/hyperlink" Target="https://www.sec.gov/Archives/edgar/data/1415404/000110465925107277/tmb-20250930xex10d2.htm" TargetMode="External"/><Relationship Id="rId4" Type="http://schemas.openxmlformats.org/officeDocument/2006/relationships/hyperlink" Target="https://www.sec.gov/Archives/edgar/data/1001082/000141540425000010/tmb-20250509xex99d1.htm" TargetMode="External"/><Relationship Id="rId5" Type="http://schemas.openxmlformats.org/officeDocument/2006/relationships/hyperlink" Target="https://www.sec.gov/Archives/edgar/data/1001082/000141540425000045/tmb-20250908xex99d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60962</Words>
  <Characters>339749</Characters>
  <CharactersWithSpaces>404854</CharactersWithSpaces>
  <Paragraphs>12758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