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69215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149" w:lineRule="exact"/>
        <w:rPr>
          <w:sz w:val="24"/>
          <w:szCs w:val="24"/>
          <w:color w:val="auto"/>
        </w:rPr>
      </w:pPr>
    </w:p>
    <w:p>
      <w:pPr>
        <w:ind w:left="620" w:right="359" w:hanging="369"/>
        <w:spacing w:after="0" w:line="278" w:lineRule="auto"/>
        <w:tabs>
          <w:tab w:leader="none" w:pos="62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wp:posOffset>
            </wp:positionH>
            <wp:positionV relativeFrom="paragraph">
              <wp:posOffset>-271145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20" w:right="359" w:hanging="369"/>
        <w:spacing w:after="0" w:line="278" w:lineRule="auto"/>
        <w:tabs>
          <w:tab w:leader="none" w:pos="6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wp:posOffset>
            </wp:positionH>
            <wp:positionV relativeFrom="paragraph">
              <wp:posOffset>-271145</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333-31929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DISH DBS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4" w:lineRule="exact"/>
        <w:rPr>
          <w:sz w:val="24"/>
          <w:szCs w:val="24"/>
          <w:color w:val="auto"/>
        </w:rPr>
      </w:pPr>
    </w:p>
    <w:tbl>
      <w:tblPr>
        <w:tblLayout w:type="fixed"/>
        <w:tblInd w:w="380" w:type="dxa"/>
        <w:tblCellMar>
          <w:top w:w="0" w:type="dxa"/>
          <w:left w:w="0" w:type="dxa"/>
          <w:bottom w:w="0" w:type="dxa"/>
          <w:right w:w="0" w:type="dxa"/>
        </w:tblCellMar>
      </w:tblPr>
      <w:tr>
        <w:trPr>
          <w:trHeight w:val="184"/>
        </w:trPr>
        <w:tc>
          <w:tcPr>
            <w:tcW w:w="4540" w:type="dxa"/>
            <w:vAlign w:val="bottom"/>
          </w:tcPr>
          <w:p>
            <w:pPr>
              <w:jc w:val="center"/>
              <w:ind w:right="599"/>
              <w:spacing w:after="0"/>
              <w:rPr>
                <w:sz w:val="20"/>
                <w:szCs w:val="20"/>
                <w:color w:val="auto"/>
              </w:rPr>
            </w:pPr>
            <w:r>
              <w:rPr>
                <w:rFonts w:ascii="Arial" w:cs="Arial" w:eastAsia="Arial" w:hAnsi="Arial"/>
                <w:sz w:val="16"/>
                <w:szCs w:val="16"/>
                <w:b w:val="1"/>
                <w:bCs w:val="1"/>
                <w:color w:val="auto"/>
                <w:w w:val="93"/>
              </w:rPr>
              <w:t>Colorado</w:t>
            </w:r>
          </w:p>
        </w:tc>
        <w:tc>
          <w:tcPr>
            <w:tcW w:w="3020" w:type="dxa"/>
            <w:vAlign w:val="bottom"/>
          </w:tcPr>
          <w:p>
            <w:pPr>
              <w:jc w:val="right"/>
              <w:ind w:right="699"/>
              <w:spacing w:after="0"/>
              <w:rPr>
                <w:sz w:val="20"/>
                <w:szCs w:val="20"/>
                <w:color w:val="auto"/>
              </w:rPr>
            </w:pPr>
            <w:r>
              <w:rPr>
                <w:rFonts w:ascii="Arial" w:cs="Arial" w:eastAsia="Arial" w:hAnsi="Arial"/>
                <w:sz w:val="16"/>
                <w:szCs w:val="16"/>
                <w:b w:val="1"/>
                <w:bCs w:val="1"/>
                <w:color w:val="auto"/>
              </w:rPr>
              <w:t>84-1328967</w:t>
            </w:r>
          </w:p>
        </w:tc>
        <w:tc>
          <w:tcPr>
            <w:tcW w:w="0" w:type="dxa"/>
            <w:vAlign w:val="bottom"/>
          </w:tcPr>
          <w:p>
            <w:pPr>
              <w:spacing w:after="0"/>
              <w:rPr>
                <w:sz w:val="1"/>
                <w:szCs w:val="1"/>
                <w:color w:val="auto"/>
              </w:rPr>
            </w:pPr>
          </w:p>
        </w:tc>
      </w:tr>
      <w:tr>
        <w:trPr>
          <w:trHeight w:val="206"/>
        </w:trPr>
        <w:tc>
          <w:tcPr>
            <w:tcW w:w="4540" w:type="dxa"/>
            <w:vAlign w:val="bottom"/>
          </w:tcPr>
          <w:p>
            <w:pPr>
              <w:jc w:val="center"/>
              <w:ind w:right="59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020" w:type="dxa"/>
            <w:vAlign w:val="bottom"/>
          </w:tcPr>
          <w:p>
            <w:pPr>
              <w:jc w:val="center"/>
              <w:ind w:left="599"/>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76"/>
        </w:trPr>
        <w:tc>
          <w:tcPr>
            <w:tcW w:w="4540" w:type="dxa"/>
            <w:vAlign w:val="bottom"/>
          </w:tcPr>
          <w:p>
            <w:pPr>
              <w:jc w:val="center"/>
              <w:ind w:right="599"/>
              <w:spacing w:after="0"/>
              <w:rPr>
                <w:sz w:val="20"/>
                <w:szCs w:val="20"/>
                <w:color w:val="auto"/>
              </w:rPr>
            </w:pPr>
            <w:r>
              <w:rPr>
                <w:rFonts w:ascii="Arial" w:cs="Arial" w:eastAsia="Arial" w:hAnsi="Arial"/>
                <w:sz w:val="16"/>
                <w:szCs w:val="16"/>
                <w:b w:val="1"/>
                <w:bCs w:val="1"/>
                <w:color w:val="auto"/>
                <w:w w:val="93"/>
              </w:rPr>
              <w:t>9601 South Meridian Boulevard</w:t>
            </w:r>
          </w:p>
        </w:tc>
        <w:tc>
          <w:tcPr>
            <w:tcW w:w="3020" w:type="dxa"/>
            <w:vAlign w:val="bottom"/>
            <w:vMerge w:val="restart"/>
          </w:tcPr>
          <w:p>
            <w:pPr>
              <w:jc w:val="right"/>
              <w:ind w:right="899"/>
              <w:spacing w:after="0"/>
              <w:rPr>
                <w:sz w:val="20"/>
                <w:szCs w:val="20"/>
                <w:color w:val="auto"/>
              </w:rPr>
            </w:pPr>
            <w:r>
              <w:rPr>
                <w:rFonts w:ascii="Arial" w:cs="Arial" w:eastAsia="Arial" w:hAnsi="Arial"/>
                <w:sz w:val="16"/>
                <w:szCs w:val="16"/>
                <w:b w:val="1"/>
                <w:bCs w:val="1"/>
                <w:color w:val="auto"/>
              </w:rPr>
              <w:t>80112</w:t>
            </w:r>
          </w:p>
        </w:tc>
        <w:tc>
          <w:tcPr>
            <w:tcW w:w="0" w:type="dxa"/>
            <w:vAlign w:val="bottom"/>
          </w:tcPr>
          <w:p>
            <w:pPr>
              <w:spacing w:after="0"/>
              <w:rPr>
                <w:sz w:val="1"/>
                <w:szCs w:val="1"/>
                <w:color w:val="auto"/>
              </w:rPr>
            </w:pPr>
          </w:p>
        </w:tc>
      </w:tr>
      <w:tr>
        <w:trPr>
          <w:trHeight w:val="166"/>
        </w:trPr>
        <w:tc>
          <w:tcPr>
            <w:tcW w:w="4540" w:type="dxa"/>
            <w:vAlign w:val="bottom"/>
          </w:tcPr>
          <w:p>
            <w:pPr>
              <w:jc w:val="center"/>
              <w:ind w:right="599"/>
              <w:spacing w:after="0" w:line="166" w:lineRule="exact"/>
              <w:rPr>
                <w:sz w:val="20"/>
                <w:szCs w:val="20"/>
                <w:color w:val="auto"/>
              </w:rPr>
            </w:pPr>
            <w:r>
              <w:rPr>
                <w:rFonts w:ascii="Arial" w:cs="Arial" w:eastAsia="Arial" w:hAnsi="Arial"/>
                <w:sz w:val="16"/>
                <w:szCs w:val="16"/>
                <w:b w:val="1"/>
                <w:bCs w:val="1"/>
                <w:color w:val="auto"/>
                <w:w w:val="91"/>
              </w:rPr>
              <w:t>Englewood, Colorado</w:t>
            </w:r>
          </w:p>
        </w:tc>
        <w:tc>
          <w:tcPr>
            <w:tcW w:w="3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540" w:type="dxa"/>
            <w:vAlign w:val="bottom"/>
          </w:tcPr>
          <w:p>
            <w:pPr>
              <w:jc w:val="center"/>
              <w:ind w:right="599"/>
              <w:spacing w:after="0"/>
              <w:rPr>
                <w:sz w:val="20"/>
                <w:szCs w:val="20"/>
                <w:color w:val="auto"/>
              </w:rPr>
            </w:pPr>
            <w:r>
              <w:rPr>
                <w:rFonts w:ascii="Arial" w:cs="Arial" w:eastAsia="Arial" w:hAnsi="Arial"/>
                <w:sz w:val="16"/>
                <w:szCs w:val="16"/>
                <w:color w:val="auto"/>
                <w:w w:val="94"/>
              </w:rPr>
              <w:t>(Address of principal executive offices)</w:t>
            </w:r>
          </w:p>
        </w:tc>
        <w:tc>
          <w:tcPr>
            <w:tcW w:w="3020" w:type="dxa"/>
            <w:vAlign w:val="bottom"/>
          </w:tcPr>
          <w:p>
            <w:pPr>
              <w:jc w:val="center"/>
              <w:ind w:left="579"/>
              <w:spacing w:after="0"/>
              <w:rPr>
                <w:sz w:val="20"/>
                <w:szCs w:val="20"/>
                <w:color w:val="auto"/>
              </w:rPr>
            </w:pPr>
            <w:r>
              <w:rPr>
                <w:rFonts w:ascii="Arial" w:cs="Arial" w:eastAsia="Arial" w:hAnsi="Arial"/>
                <w:sz w:val="16"/>
                <w:szCs w:val="16"/>
                <w:color w:val="auto"/>
                <w:w w:val="94"/>
              </w:rPr>
              <w:t>(Zip code)</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(303) 723-1000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109" w:lineRule="exact"/>
        <w:rPr>
          <w:sz w:val="24"/>
          <w:szCs w:val="24"/>
          <w:color w:val="auto"/>
        </w:rPr>
      </w:pPr>
    </w:p>
    <w:p>
      <w:pPr>
        <w:ind w:left="40" w:right="239"/>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7" w:lineRule="exact"/>
        <w:rPr>
          <w:sz w:val="24"/>
          <w:szCs w:val="24"/>
          <w:color w:val="auto"/>
        </w:rPr>
      </w:pPr>
    </w:p>
    <w:p>
      <w:pPr>
        <w:ind w:left="40" w:right="99"/>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7" w:lineRule="exact"/>
        <w:rPr>
          <w:sz w:val="24"/>
          <w:szCs w:val="24"/>
          <w:color w:val="auto"/>
        </w:rPr>
      </w:pPr>
    </w:p>
    <w:p>
      <w:pPr>
        <w:ind w:left="40" w:right="23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128" w:lineRule="exact"/>
        <w:rPr>
          <w:sz w:val="24"/>
          <w:szCs w:val="24"/>
          <w:color w:val="auto"/>
        </w:rPr>
      </w:pPr>
    </w:p>
    <w:p>
      <w:pPr>
        <w:ind w:left="168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200" w:lineRule="exact"/>
        <w:rPr>
          <w:sz w:val="24"/>
          <w:szCs w:val="24"/>
          <w:color w:val="auto"/>
        </w:rPr>
      </w:pPr>
    </w:p>
    <w:p>
      <w:pPr>
        <w:sectPr>
          <w:pgSz w:w="11900" w:h="16838" w:orient="portrait"/>
          <w:cols w:equalWidth="0" w:num="2">
            <w:col w:w="5940" w:space="720"/>
            <w:col w:w="2359"/>
          </w:cols>
          <w:pgMar w:left="1440" w:top="665" w:right="1440" w:bottom="1440" w:gutter="0" w:footer="0" w:header="0"/>
          <w:type w:val="continuous"/>
        </w:sectPr>
      </w:pPr>
    </w:p>
    <w:p>
      <w:pPr>
        <w:spacing w:after="0" w:line="58" w:lineRule="exact"/>
        <w:rPr>
          <w:sz w:val="24"/>
          <w:szCs w:val="24"/>
          <w:color w:val="auto"/>
        </w:rPr>
      </w:pPr>
    </w:p>
    <w:p>
      <w:pPr>
        <w:ind w:left="170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200" w:lineRule="exact"/>
        <w:rPr>
          <w:sz w:val="24"/>
          <w:szCs w:val="24"/>
          <w:color w:val="auto"/>
        </w:rPr>
      </w:pPr>
    </w:p>
    <w:p>
      <w:pPr>
        <w:sectPr>
          <w:pgSz w:w="11900" w:h="16838" w:orient="portrait"/>
          <w:cols w:equalWidth="0" w:num="2">
            <w:col w:w="5620" w:space="720"/>
            <w:col w:w="2679"/>
          </w:cols>
          <w:pgMar w:left="1440" w:top="665" w:right="1440" w:bottom="1440" w:gutter="0" w:footer="0" w:header="0"/>
          <w:type w:val="continuous"/>
        </w:sectPr>
      </w:pPr>
    </w:p>
    <w:p>
      <w:pPr>
        <w:spacing w:after="0" w:line="58" w:lineRule="exact"/>
        <w:rPr>
          <w:sz w:val="24"/>
          <w:szCs w:val="24"/>
          <w:color w:val="auto"/>
        </w:rPr>
      </w:pPr>
    </w:p>
    <w:p>
      <w:pPr>
        <w:ind w:left="630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9019"/>
          </w:cols>
          <w:pgMar w:left="1440" w:top="665" w:right="1440" w:bottom="1440" w:gutter="0" w:footer="0" w:header="0"/>
          <w:type w:val="continuous"/>
        </w:sectPr>
      </w:pPr>
    </w:p>
    <w:p>
      <w:pPr>
        <w:spacing w:after="0" w:line="137" w:lineRule="exact"/>
        <w:rPr>
          <w:sz w:val="24"/>
          <w:szCs w:val="24"/>
          <w:color w:val="auto"/>
        </w:rPr>
      </w:pPr>
    </w:p>
    <w:p>
      <w:pPr>
        <w:ind w:left="40" w:right="119"/>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8" w:lineRule="exact"/>
        <w:rPr>
          <w:sz w:val="24"/>
          <w:szCs w:val="24"/>
          <w:color w:val="auto"/>
        </w:rPr>
      </w:pPr>
    </w:p>
    <w:p>
      <w:pPr>
        <w:ind w:left="40" w:right="1619"/>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As of May 5, 2020, the registrant’s outstanding common stock consisted of 1,015 shares of common stock, $0.01 par value.</w:t>
      </w:r>
    </w:p>
    <w:p>
      <w:pPr>
        <w:spacing w:after="0" w:line="89" w:lineRule="exact"/>
        <w:rPr>
          <w:sz w:val="24"/>
          <w:szCs w:val="24"/>
          <w:color w:val="auto"/>
        </w:rPr>
      </w:pPr>
    </w:p>
    <w:p>
      <w:pPr>
        <w:ind w:left="40" w:right="539"/>
        <w:spacing w:after="0" w:line="253" w:lineRule="auto"/>
        <w:rPr>
          <w:sz w:val="20"/>
          <w:szCs w:val="20"/>
          <w:color w:val="auto"/>
        </w:rPr>
      </w:pPr>
      <w:r>
        <w:rPr>
          <w:rFonts w:ascii="Arial" w:cs="Arial" w:eastAsia="Arial" w:hAnsi="Arial"/>
          <w:sz w:val="14"/>
          <w:szCs w:val="14"/>
          <w:color w:val="auto"/>
        </w:rPr>
        <w:t>The registrant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499110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79375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0" w:type="dxa"/>
            <w:vAlign w:val="bottom"/>
            <w:gridSpan w:val="6"/>
          </w:tcPr>
          <w:p>
            <w:pPr>
              <w:jc w:val="center"/>
              <w:ind w:right="164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0"/>
                <w:szCs w:val="20"/>
                <w:color w:val="auto"/>
              </w:rPr>
            </w:pPr>
          </w:p>
        </w:tc>
      </w:tr>
      <w:tr>
        <w:trPr>
          <w:trHeight w:val="48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0" w:type="dxa"/>
            <w:vAlign w:val="bottom"/>
            <w:gridSpan w:val="6"/>
          </w:tcPr>
          <w:p>
            <w:pPr>
              <w:jc w:val="center"/>
              <w:ind w:right="16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540" w:type="dxa"/>
            <w:vAlign w:val="bottom"/>
          </w:tcPr>
          <w:p>
            <w:pPr>
              <w:spacing w:after="0"/>
              <w:rPr>
                <w:sz w:val="24"/>
                <w:szCs w:val="24"/>
                <w:color w:val="auto"/>
              </w:rPr>
            </w:pPr>
          </w:p>
        </w:tc>
      </w:tr>
      <w:tr>
        <w:trPr>
          <w:trHeight w:val="486"/>
        </w:trPr>
        <w:tc>
          <w:tcPr>
            <w:tcW w:w="7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Disclosure Regarding 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486"/>
        </w:trPr>
        <w:tc>
          <w:tcPr>
            <w:tcW w:w="740" w:type="dxa"/>
            <w:vAlign w:val="bottom"/>
          </w:tcPr>
          <w:p>
            <w:pPr>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640" w:type="dxa"/>
            <w:vAlign w:val="bottom"/>
            <w:gridSpan w:val="8"/>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Financial Statements</w:t>
              </w:r>
            </w:hyperlink>
          </w:p>
        </w:tc>
        <w:tc>
          <w:tcPr>
            <w:tcW w:w="540" w:type="dxa"/>
            <w:vAlign w:val="bottom"/>
          </w:tcPr>
          <w:p>
            <w:pPr>
              <w:spacing w:after="0"/>
              <w:rPr>
                <w:sz w:val="24"/>
                <w:szCs w:val="24"/>
                <w:color w:val="auto"/>
              </w:rPr>
            </w:pPr>
          </w:p>
        </w:tc>
      </w:tr>
      <w:tr>
        <w:trPr>
          <w:trHeight w:val="486"/>
        </w:trPr>
        <w:tc>
          <w:tcPr>
            <w:tcW w:w="7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u w:val="single" w:color="auto"/>
                <w:color w:val="0000EE"/>
                <w:w w:val="97"/>
              </w:rPr>
            </w:pPr>
            <w:hyperlink w:anchor="page7">
              <w:r>
                <w:rPr>
                  <w:rFonts w:ascii="Arial" w:cs="Arial" w:eastAsia="Arial" w:hAnsi="Arial"/>
                  <w:sz w:val="18"/>
                  <w:szCs w:val="18"/>
                  <w:u w:val="single" w:color="auto"/>
                  <w:color w:val="0000EE"/>
                  <w:w w:val="97"/>
                </w:rPr>
                <w:t>Condensed Consolidated Balance Sheets — March 31, 2020 and December 31, 2019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46"/>
        </w:trPr>
        <w:tc>
          <w:tcPr>
            <w:tcW w:w="7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Statements of Operations and Comprehensive Income (Loss) For the Three</w:t>
              </w:r>
            </w:hyperlink>
          </w:p>
        </w:tc>
        <w:tc>
          <w:tcPr>
            <w:tcW w:w="540" w:type="dxa"/>
            <w:vAlign w:val="bottom"/>
          </w:tcPr>
          <w:p>
            <w:pPr>
              <w:spacing w:after="0"/>
              <w:rPr>
                <w:sz w:val="24"/>
                <w:szCs w:val="24"/>
                <w:color w:val="auto"/>
              </w:rPr>
            </w:pPr>
          </w:p>
        </w:tc>
      </w:tr>
      <w:tr>
        <w:trPr>
          <w:trHeight w:val="223"/>
        </w:trPr>
        <w:tc>
          <w:tcPr>
            <w:tcW w:w="74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060" w:type="dxa"/>
            <w:vAlign w:val="bottom"/>
            <w:tcBorders>
              <w:top w:val="single" w:sz="8" w:color="0000EE"/>
            </w:tcBorders>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Months Ended March 31, 2020 and 2019 (Unaudited)</w:t>
              </w:r>
            </w:hyperlink>
          </w:p>
        </w:tc>
        <w:tc>
          <w:tcPr>
            <w:tcW w:w="400" w:type="dxa"/>
            <w:vAlign w:val="bottom"/>
            <w:gridSpan w:val="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66"/>
        </w:trPr>
        <w:tc>
          <w:tcPr>
            <w:tcW w:w="740" w:type="dxa"/>
            <w:vAlign w:val="bottom"/>
          </w:tcPr>
          <w:p>
            <w:pPr>
              <w:spacing w:after="0"/>
              <w:rPr>
                <w:sz w:val="24"/>
                <w:szCs w:val="24"/>
                <w:color w:val="auto"/>
              </w:rPr>
            </w:pPr>
          </w:p>
        </w:tc>
        <w:tc>
          <w:tcPr>
            <w:tcW w:w="75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(Deficit) For the Three Months</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6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Ended March 31, 2020 and 2019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07"/>
        </w:trPr>
        <w:tc>
          <w:tcPr>
            <w:tcW w:w="7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Condensed Consolidated Statements of Cash Flows For the Three Months Ended March 31, 2020 and</w:t>
              </w:r>
            </w:hyperlink>
          </w:p>
        </w:tc>
        <w:tc>
          <w:tcPr>
            <w:tcW w:w="540" w:type="dxa"/>
            <w:vAlign w:val="bottom"/>
          </w:tcPr>
          <w:p>
            <w:pPr>
              <w:spacing w:after="0"/>
              <w:rPr>
                <w:sz w:val="24"/>
                <w:szCs w:val="24"/>
                <w:color w:val="auto"/>
              </w:rPr>
            </w:pPr>
          </w:p>
        </w:tc>
      </w:tr>
      <w:tr>
        <w:trPr>
          <w:trHeight w:val="223"/>
        </w:trPr>
        <w:tc>
          <w:tcPr>
            <w:tcW w:w="74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140" w:type="dxa"/>
            <w:vAlign w:val="bottom"/>
            <w:tcBorders>
              <w:top w:val="single" w:sz="8" w:color="0000EE"/>
            </w:tcBorders>
            <w:gridSpan w:val="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2019 (Unaudited)</w:t>
              </w:r>
            </w:hyperlink>
          </w:p>
        </w:tc>
        <w:tc>
          <w:tcPr>
            <w:tcW w:w="320" w:type="dxa"/>
            <w:vAlign w:val="bottom"/>
            <w:gridSpan w:val="2"/>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2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07"/>
        </w:trPr>
        <w:tc>
          <w:tcPr>
            <w:tcW w:w="7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86"/>
        </w:trPr>
        <w:tc>
          <w:tcPr>
            <w:tcW w:w="740" w:type="dxa"/>
            <w:vAlign w:val="bottom"/>
          </w:tcPr>
          <w:p>
            <w:pPr>
              <w:spacing w:after="0"/>
              <w:rPr>
                <w:rFonts w:ascii="Arial" w:cs="Arial" w:eastAsia="Arial" w:hAnsi="Arial"/>
                <w:sz w:val="18"/>
                <w:szCs w:val="18"/>
                <w:color w:val="0000EE"/>
              </w:rPr>
            </w:pPr>
            <w:hyperlink w:anchor="page56">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7640" w:type="dxa"/>
            <w:vAlign w:val="bottom"/>
            <w:gridSpan w:val="8"/>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Management’s Narrative Analysis of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7640" w:type="dxa"/>
            <w:vAlign w:val="bottom"/>
            <w:gridSpan w:val="8"/>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740" w:type="dxa"/>
            <w:vAlign w:val="bottom"/>
          </w:tcPr>
          <w:p>
            <w:pPr>
              <w:spacing w:after="0"/>
              <w:rPr>
                <w:rFonts w:ascii="Arial" w:cs="Arial" w:eastAsia="Arial" w:hAnsi="Arial"/>
                <w:sz w:val="18"/>
                <w:szCs w:val="18"/>
                <w:color w:val="0000EE"/>
              </w:rPr>
            </w:pPr>
            <w:hyperlink w:anchor="page72">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764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8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0" w:type="dxa"/>
            <w:vAlign w:val="bottom"/>
            <w:gridSpan w:val="6"/>
          </w:tcPr>
          <w:p>
            <w:pPr>
              <w:jc w:val="center"/>
              <w:ind w:right="1640"/>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PART II — OTHER INFORMATION</w:t>
              </w:r>
            </w:hyperlink>
          </w:p>
        </w:tc>
        <w:tc>
          <w:tcPr>
            <w:tcW w:w="540" w:type="dxa"/>
            <w:vAlign w:val="bottom"/>
          </w:tcPr>
          <w:p>
            <w:pPr>
              <w:spacing w:after="0"/>
              <w:rPr>
                <w:sz w:val="24"/>
                <w:szCs w:val="24"/>
                <w:color w:val="auto"/>
              </w:rPr>
            </w:pPr>
          </w:p>
        </w:tc>
      </w:tr>
      <w:tr>
        <w:trPr>
          <w:trHeight w:val="486"/>
        </w:trPr>
        <w:tc>
          <w:tcPr>
            <w:tcW w:w="740" w:type="dxa"/>
            <w:vAlign w:val="bottom"/>
          </w:tcPr>
          <w:p>
            <w:pPr>
              <w:spacing w:after="0"/>
              <w:rPr>
                <w:rFonts w:ascii="Arial" w:cs="Arial" w:eastAsia="Arial" w:hAnsi="Arial"/>
                <w:sz w:val="18"/>
                <w:szCs w:val="18"/>
                <w:color w:val="0000EE"/>
              </w:rPr>
            </w:pPr>
            <w:hyperlink w:anchor="page73">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640" w:type="dxa"/>
            <w:vAlign w:val="bottom"/>
            <w:gridSpan w:val="8"/>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86"/>
        </w:trPr>
        <w:tc>
          <w:tcPr>
            <w:tcW w:w="74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1A.</w:t>
              </w:r>
            </w:hyperlink>
          </w:p>
        </w:tc>
        <w:tc>
          <w:tcPr>
            <w:tcW w:w="7640" w:type="dxa"/>
            <w:vAlign w:val="bottom"/>
            <w:gridSpan w:val="8"/>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7640" w:type="dxa"/>
            <w:vAlign w:val="bottom"/>
            <w:gridSpan w:val="8"/>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7640" w:type="dxa"/>
            <w:vAlign w:val="bottom"/>
            <w:gridSpan w:val="8"/>
          </w:tcPr>
          <w:p>
            <w:pPr>
              <w:spacing w:after="0"/>
              <w:rPr>
                <w:sz w:val="20"/>
                <w:szCs w:val="20"/>
                <w:color w:val="auto"/>
              </w:rPr>
            </w:pPr>
            <w:r>
              <w:rPr>
                <w:rFonts w:ascii="Arial" w:cs="Arial" w:eastAsia="Arial" w:hAnsi="Arial"/>
                <w:sz w:val="18"/>
                <w:szCs w:val="18"/>
                <w:color w:val="auto"/>
              </w:rPr>
              <w:t>Defaults Upon Senior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7640" w:type="dxa"/>
            <w:vAlign w:val="bottom"/>
            <w:gridSpan w:val="8"/>
          </w:tcPr>
          <w:p>
            <w:pPr>
              <w:spacing w:after="0"/>
              <w:rPr>
                <w:sz w:val="20"/>
                <w:szCs w:val="20"/>
                <w:color w:val="auto"/>
              </w:rPr>
            </w:pPr>
            <w:r>
              <w:rPr>
                <w:rFonts w:ascii="Arial" w:cs="Arial" w:eastAsia="Arial" w:hAnsi="Arial"/>
                <w:sz w:val="18"/>
                <w:szCs w:val="18"/>
                <w:color w:val="auto"/>
              </w:rPr>
              <w:t>Mine Safety Disclosures</w:t>
            </w: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7640" w:type="dxa"/>
            <w:vAlign w:val="bottom"/>
            <w:gridSpan w:val="8"/>
          </w:tcPr>
          <w:p>
            <w:pPr>
              <w:spacing w:after="0"/>
              <w:rPr>
                <w:sz w:val="20"/>
                <w:szCs w:val="20"/>
                <w:color w:val="auto"/>
              </w:rPr>
            </w:pPr>
            <w:r>
              <w:rPr>
                <w:rFonts w:ascii="Arial" w:cs="Arial" w:eastAsia="Arial" w:hAnsi="Arial"/>
                <w:sz w:val="18"/>
                <w:szCs w:val="18"/>
                <w:color w:val="auto"/>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86"/>
        </w:trPr>
        <w:tc>
          <w:tcPr>
            <w:tcW w:w="740" w:type="dxa"/>
            <w:vAlign w:val="bottom"/>
          </w:tcPr>
          <w:p>
            <w:pPr>
              <w:spacing w:after="0"/>
              <w:rPr>
                <w:rFonts w:ascii="Arial" w:cs="Arial" w:eastAsia="Arial" w:hAnsi="Arial"/>
                <w:sz w:val="18"/>
                <w:szCs w:val="18"/>
                <w:color w:val="0000EE"/>
              </w:rPr>
            </w:pPr>
            <w:hyperlink w:anchor="page75">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7640" w:type="dxa"/>
            <w:vAlign w:val="bottom"/>
            <w:gridSpan w:val="8"/>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86"/>
        </w:trPr>
        <w:tc>
          <w:tcPr>
            <w:tcW w:w="7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58" w:lineRule="exact"/>
        <w:rPr>
          <w:sz w:val="20"/>
          <w:szCs w:val="20"/>
          <w:color w:val="auto"/>
        </w:rPr>
      </w:pPr>
    </w:p>
    <w:p>
      <w:pPr>
        <w:ind w:left="420" w:right="399" w:hanging="37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item has been omitted pursuant to the reduced disclosure format as set forth in General Instructions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460375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ind w:left="40" w:right="379"/>
        <w:spacing w:after="0" w:line="263" w:lineRule="auto"/>
        <w:rPr>
          <w:sz w:val="20"/>
          <w:szCs w:val="20"/>
          <w:color w:val="auto"/>
        </w:rPr>
      </w:pPr>
      <w:r>
        <w:rPr>
          <w:rFonts w:ascii="Arial" w:cs="Arial" w:eastAsia="Arial" w:hAnsi="Arial"/>
          <w:sz w:val="18"/>
          <w:szCs w:val="18"/>
          <w:color w:val="auto"/>
        </w:rPr>
        <w:t>Unless otherwise required by the context, in this report, the words “DISH DBS,” the “Company,” “we,” “our” and “us” refer to DISH DBS Corporation and its subsidiaries, “DISH Network” refers to DISH Network Corporation, our parent company, and its subsidiaries, including us.</w:t>
      </w:r>
    </w:p>
    <w:p>
      <w:pPr>
        <w:spacing w:after="0" w:line="184"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the following:</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 and Economic Risks</w:t>
      </w:r>
    </w:p>
    <w:p>
      <w:pPr>
        <w:spacing w:after="0" w:line="229" w:lineRule="exact"/>
        <w:rPr>
          <w:sz w:val="20"/>
          <w:szCs w:val="20"/>
          <w:color w:val="auto"/>
        </w:rPr>
      </w:pPr>
    </w:p>
    <w:p>
      <w:pPr>
        <w:ind w:left="1040" w:right="99" w:hanging="321"/>
        <w:spacing w:after="0" w:line="30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the pay-TV industry has matured and bundled offers combining video, broadband and/or wireless services have become more prevalent and competitive, 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157" w:lineRule="exact"/>
        <w:rPr>
          <w:rFonts w:ascii="Arial" w:cs="Arial" w:eastAsia="Arial" w:hAnsi="Arial"/>
          <w:sz w:val="16"/>
          <w:szCs w:val="16"/>
          <w:color w:val="auto"/>
        </w:rPr>
      </w:pPr>
    </w:p>
    <w:p>
      <w:pPr>
        <w:ind w:left="1040" w:right="239" w:hanging="321"/>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consumer behavior and competition from digital media companies that provide or facilitate the delivery of video content via the Internet may reduce our subscriber activations and may cause our subscribers to purchase fewer services from us or to cancel our services altogether, resulting in less revenue to us.</w:t>
      </w:r>
    </w:p>
    <w:p>
      <w:pPr>
        <w:spacing w:after="0" w:line="186"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weakness and uncertainty may adversely affect our ability to grow or maintain our business.</w:t>
      </w:r>
    </w:p>
    <w:p>
      <w:pPr>
        <w:spacing w:after="0" w:line="236" w:lineRule="exact"/>
        <w:rPr>
          <w:rFonts w:ascii="Arial" w:cs="Arial" w:eastAsia="Arial" w:hAnsi="Arial"/>
          <w:sz w:val="17"/>
          <w:szCs w:val="17"/>
          <w:color w:val="auto"/>
        </w:rPr>
      </w:pPr>
    </w:p>
    <w:p>
      <w:pPr>
        <w:ind w:left="1040" w:right="79" w:hanging="321"/>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impact on the economic environment generally, and on us specifically, have adversely impacted our business. Furthermore, any continuation or worsening of the pandemic and economic environment could have a material adverse effect on our business, financial condition and results of operations.</w:t>
      </w:r>
    </w:p>
    <w:p>
      <w:pPr>
        <w:spacing w:after="0" w:line="186" w:lineRule="exact"/>
        <w:rPr>
          <w:rFonts w:ascii="Arial" w:cs="Arial" w:eastAsia="Arial" w:hAnsi="Arial"/>
          <w:sz w:val="18"/>
          <w:szCs w:val="18"/>
          <w:color w:val="auto"/>
        </w:rPr>
      </w:pPr>
    </w:p>
    <w:p>
      <w:pPr>
        <w:ind w:left="1040" w:right="239" w:hanging="321"/>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competitors may be able to leverage their relationships with programmers to reduce their programming costs and/or offer exclusive content that will place them at a competitive advantage to us.</w:t>
      </w:r>
    </w:p>
    <w:p>
      <w:pPr>
        <w:spacing w:after="0" w:line="123" w:lineRule="exact"/>
        <w:rPr>
          <w:rFonts w:ascii="Arial" w:cs="Arial" w:eastAsia="Arial" w:hAnsi="Arial"/>
          <w:sz w:val="16"/>
          <w:szCs w:val="16"/>
          <w:color w:val="auto"/>
        </w:rPr>
      </w:pPr>
    </w:p>
    <w:p>
      <w:pPr>
        <w:ind w:left="1040" w:right="53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over-the-top (“OTT”) Sling TV Internet-based services face certain risks, including, among others, significant competition.</w:t>
      </w:r>
    </w:p>
    <w:p>
      <w:pPr>
        <w:spacing w:after="0" w:line="170" w:lineRule="exact"/>
        <w:rPr>
          <w:rFonts w:ascii="Arial" w:cs="Arial" w:eastAsia="Arial" w:hAnsi="Arial"/>
          <w:sz w:val="18"/>
          <w:szCs w:val="18"/>
          <w:color w:val="auto"/>
        </w:rPr>
      </w:pPr>
    </w:p>
    <w:p>
      <w:pPr>
        <w:ind w:left="1040" w:right="379" w:hanging="321"/>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government regulations relating to the Internet change, we may need to alter the manner in which we conduct our Sling TV business, and/or incur greater operating expenses to comply with those regulations.</w:t>
      </w:r>
    </w:p>
    <w:p>
      <w:pPr>
        <w:spacing w:after="0" w:line="123" w:lineRule="exact"/>
        <w:rPr>
          <w:rFonts w:ascii="Arial" w:cs="Arial" w:eastAsia="Arial" w:hAnsi="Arial"/>
          <w:sz w:val="16"/>
          <w:szCs w:val="16"/>
          <w:color w:val="auto"/>
        </w:rPr>
      </w:pPr>
    </w:p>
    <w:p>
      <w:pPr>
        <w:ind w:left="1040" w:right="41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how network operators handle and charge for access to data that travels across their networks could adversely impact our business.</w:t>
      </w:r>
    </w:p>
    <w:p>
      <w:pPr>
        <w:spacing w:after="0" w:line="170" w:lineRule="exact"/>
        <w:rPr>
          <w:rFonts w:ascii="Arial" w:cs="Arial" w:eastAsia="Arial" w:hAnsi="Arial"/>
          <w:sz w:val="18"/>
          <w:szCs w:val="18"/>
          <w:color w:val="auto"/>
        </w:rPr>
      </w:pPr>
    </w:p>
    <w:p>
      <w:pPr>
        <w:ind w:left="1040" w:right="419" w:hanging="321"/>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increasing competition from other distributors of unique programming services such as foreign language, sports programming and original content that may limit our ability to maintain subscribers that desire these unique programming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29" w:lineRule="exact"/>
        <w:rPr>
          <w:sz w:val="20"/>
          <w:szCs w:val="20"/>
          <w:color w:val="auto"/>
        </w:rPr>
      </w:pPr>
    </w:p>
    <w:p>
      <w:pPr>
        <w:ind w:left="1040" w:right="259" w:hanging="321"/>
        <w:spacing w:after="0" w:line="34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operational performance and customer satisfaction were to deteriorate, our subscriber activations and our subscriber churn rate may be negatively impacted, which could in turn adversely affect our revenue.</w:t>
      </w:r>
    </w:p>
    <w:p>
      <w:pPr>
        <w:spacing w:after="0" w:line="123" w:lineRule="exact"/>
        <w:rPr>
          <w:rFonts w:ascii="Arial" w:cs="Arial" w:eastAsia="Arial" w:hAnsi="Arial"/>
          <w:sz w:val="16"/>
          <w:szCs w:val="16"/>
          <w:color w:val="auto"/>
        </w:rPr>
      </w:pPr>
    </w:p>
    <w:p>
      <w:pPr>
        <w:ind w:left="1040" w:right="11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subscriber activations decrease, or if our subscriber churn rate, subscriber acquisition costs or retention costs increase, our financial performance will be adversely affected.</w:t>
      </w:r>
    </w:p>
    <w:p>
      <w:pPr>
        <w:spacing w:after="0" w:line="170" w:lineRule="exact"/>
        <w:rPr>
          <w:rFonts w:ascii="Arial" w:cs="Arial" w:eastAsia="Arial" w:hAnsi="Arial"/>
          <w:sz w:val="18"/>
          <w:szCs w:val="18"/>
          <w:color w:val="auto"/>
        </w:rPr>
      </w:pPr>
    </w:p>
    <w:p>
      <w:pPr>
        <w:ind w:left="1040" w:right="21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Programming expenses are increasing and may adversely affect our future financial condition and results of operations.</w:t>
      </w:r>
    </w:p>
    <w:p>
      <w:pPr>
        <w:spacing w:after="0" w:line="170" w:lineRule="exact"/>
        <w:rPr>
          <w:rFonts w:ascii="Arial" w:cs="Arial" w:eastAsia="Arial" w:hAnsi="Arial"/>
          <w:sz w:val="18"/>
          <w:szCs w:val="18"/>
          <w:color w:val="auto"/>
        </w:rPr>
      </w:pPr>
    </w:p>
    <w:p>
      <w:pPr>
        <w:ind w:left="1040" w:right="199" w:hanging="321"/>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others to provide the programming that we offer to our subscribers and, if we fail to obtain or lose access to certain programming, our subscriber activations and our subscriber churn rate may be negatively impacted.</w:t>
      </w:r>
    </w:p>
    <w:p>
      <w:pPr>
        <w:spacing w:after="0" w:line="183" w:lineRule="exact"/>
        <w:rPr>
          <w:rFonts w:ascii="Arial" w:cs="Arial" w:eastAsia="Arial" w:hAnsi="Arial"/>
          <w:sz w:val="18"/>
          <w:szCs w:val="18"/>
          <w:color w:val="auto"/>
        </w:rPr>
      </w:pPr>
    </w:p>
    <w:p>
      <w:pPr>
        <w:ind w:left="1040" w:right="13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obtain necessary retransmission consent agreements at acceptable rates, or at all, from local network stations.</w:t>
      </w:r>
    </w:p>
    <w:p>
      <w:pPr>
        <w:spacing w:after="0" w:line="170" w:lineRule="exact"/>
        <w:rPr>
          <w:rFonts w:ascii="Arial" w:cs="Arial" w:eastAsia="Arial" w:hAnsi="Arial"/>
          <w:sz w:val="18"/>
          <w:szCs w:val="18"/>
          <w:color w:val="auto"/>
        </w:rPr>
      </w:pPr>
    </w:p>
    <w:p>
      <w:pPr>
        <w:ind w:left="1040" w:right="63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required to make substantial additional investments to maintain competitive programming offerings.</w:t>
      </w:r>
    </w:p>
    <w:p>
      <w:pPr>
        <w:spacing w:after="0" w:line="170" w:lineRule="exact"/>
        <w:rPr>
          <w:rFonts w:ascii="Arial" w:cs="Arial" w:eastAsia="Arial" w:hAnsi="Arial"/>
          <w:sz w:val="18"/>
          <w:szCs w:val="18"/>
          <w:color w:val="auto"/>
        </w:rPr>
      </w:pPr>
    </w:p>
    <w:p>
      <w:pPr>
        <w:ind w:left="1040" w:right="79" w:hanging="321"/>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83" w:lineRule="exact"/>
        <w:rPr>
          <w:rFonts w:ascii="Arial" w:cs="Arial" w:eastAsia="Arial" w:hAnsi="Arial"/>
          <w:sz w:val="18"/>
          <w:szCs w:val="18"/>
          <w:color w:val="auto"/>
        </w:rPr>
      </w:pPr>
    </w:p>
    <w:p>
      <w:pPr>
        <w:ind w:left="1040" w:right="159" w:hanging="321"/>
        <w:spacing w:after="0" w:line="31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p>
      <w:pPr>
        <w:spacing w:after="0" w:line="148" w:lineRule="exact"/>
        <w:rPr>
          <w:rFonts w:ascii="Arial" w:cs="Arial" w:eastAsia="Arial" w:hAnsi="Arial"/>
          <w:sz w:val="16"/>
          <w:szCs w:val="16"/>
          <w:color w:val="auto"/>
        </w:rPr>
      </w:pPr>
    </w:p>
    <w:p>
      <w:pPr>
        <w:ind w:left="1040" w:right="199" w:hanging="321"/>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in the pay-TV industry changes rapidly, and our success may depend in part on our timely introduction and implementation of, and effective investment in, new competitive products and services and our failure to do so could cause our products and services to become obsolete and could negatively impact our business.</w:t>
      </w:r>
    </w:p>
    <w:p>
      <w:pPr>
        <w:spacing w:after="0" w:line="186" w:lineRule="exact"/>
        <w:rPr>
          <w:rFonts w:ascii="Arial" w:cs="Arial" w:eastAsia="Arial" w:hAnsi="Arial"/>
          <w:sz w:val="18"/>
          <w:szCs w:val="18"/>
          <w:color w:val="auto"/>
        </w:rPr>
      </w:pPr>
    </w:p>
    <w:p>
      <w:pPr>
        <w:ind w:left="1040" w:right="79" w:hanging="321"/>
        <w:spacing w:after="0" w:line="286"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a single vendor or a limited number of vendors to provide certain key products or services to us such as information technology support, billing systems and security access devices, and the inability of these key vendors to meet our needs could have a material adverse effect on our business.</w:t>
      </w:r>
    </w:p>
    <w:p>
      <w:pPr>
        <w:spacing w:after="0" w:line="165" w:lineRule="exact"/>
        <w:rPr>
          <w:rFonts w:ascii="Arial" w:cs="Arial" w:eastAsia="Arial" w:hAnsi="Arial"/>
          <w:sz w:val="17"/>
          <w:szCs w:val="17"/>
          <w:color w:val="auto"/>
        </w:rPr>
      </w:pPr>
    </w:p>
    <w:p>
      <w:pPr>
        <w:ind w:left="1040" w:right="119" w:hanging="321"/>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 few suppliers and in some cases a single supplier for many components of our new set-top boxes, and any reduction or interruption in supplies or significant increase in the price of supplies could have a negative impact on our business.</w:t>
      </w:r>
    </w:p>
    <w:p>
      <w:pPr>
        <w:spacing w:after="0" w:line="183"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programming signals are subject to theft, and we are vulnerable to other forms of fraud that could require us to make significant expenditures to remedy.</w:t>
      </w:r>
    </w:p>
    <w:p>
      <w:pPr>
        <w:spacing w:after="0" w:line="170" w:lineRule="exact"/>
        <w:rPr>
          <w:rFonts w:ascii="Arial" w:cs="Arial" w:eastAsia="Arial" w:hAnsi="Arial"/>
          <w:sz w:val="18"/>
          <w:szCs w:val="18"/>
          <w:color w:val="auto"/>
        </w:rPr>
      </w:pPr>
    </w:p>
    <w:p>
      <w:pPr>
        <w:ind w:left="1040" w:right="899" w:hanging="321"/>
        <w:spacing w:after="0" w:line="308"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independent third parties to solicit orders for our DISH TV services that represent a meaningful percentage of our total gross new DISH TV subscriber activations.</w:t>
      </w:r>
    </w:p>
    <w:p>
      <w:pPr>
        <w:spacing w:after="0" w:line="146" w:lineRule="exact"/>
        <w:rPr>
          <w:rFonts w:ascii="Arial" w:cs="Arial" w:eastAsia="Arial" w:hAnsi="Arial"/>
          <w:sz w:val="17"/>
          <w:szCs w:val="17"/>
          <w:color w:val="auto"/>
        </w:rPr>
      </w:pPr>
    </w:p>
    <w:p>
      <w:pPr>
        <w:ind w:left="1040" w:right="53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satellite capacity and failures or reduced capacity could adversely affect our DISH TV services.</w:t>
      </w:r>
    </w:p>
    <w:p>
      <w:pPr>
        <w:spacing w:after="0" w:line="170" w:lineRule="exact"/>
        <w:rPr>
          <w:rFonts w:ascii="Arial" w:cs="Arial" w:eastAsia="Arial" w:hAnsi="Arial"/>
          <w:sz w:val="18"/>
          <w:szCs w:val="18"/>
          <w:color w:val="auto"/>
        </w:rPr>
      </w:pPr>
    </w:p>
    <w:p>
      <w:pPr>
        <w:ind w:left="1040" w:right="19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owned and leased satellites are subject to construction, launch, operational and environmental risks that could limit our ability to utilize these satellites.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79" w:hanging="321"/>
        <w:spacing w:after="0" w:line="296"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Satellite anomalies or technological failures could adversely affect the value of a particular satellite or result in a complete loss. Some of the satellites DISH Network acquired pursuant to the Master Transaction Agreement have experienced anomalies that may affect their useful lives or prohibit us from operating them to their currently expected capacity, and one or more of the satellites may suffer a technological failure, either of which could have an adverse effect on our business, financial condition and results of operations.</w:t>
      </w:r>
    </w:p>
    <w:p>
      <w:pPr>
        <w:spacing w:after="0" w:line="161" w:lineRule="exact"/>
        <w:rPr>
          <w:rFonts w:ascii="Arial" w:cs="Arial" w:eastAsia="Arial" w:hAnsi="Arial"/>
          <w:sz w:val="16"/>
          <w:szCs w:val="16"/>
          <w:color w:val="auto"/>
        </w:rPr>
      </w:pPr>
    </w:p>
    <w:p>
      <w:pPr>
        <w:ind w:left="1040" w:right="21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generally do not carry commercial in-orbit insurance on any of the satellites that we own and could face significant impairment charges if any of our owned satellites fail.</w:t>
      </w:r>
    </w:p>
    <w:p>
      <w:pPr>
        <w:spacing w:after="0" w:line="170" w:lineRule="exact"/>
        <w:rPr>
          <w:rFonts w:ascii="Arial" w:cs="Arial" w:eastAsia="Arial" w:hAnsi="Arial"/>
          <w:sz w:val="18"/>
          <w:szCs w:val="18"/>
          <w:color w:val="auto"/>
        </w:rPr>
      </w:pPr>
    </w:p>
    <w:p>
      <w:pPr>
        <w:ind w:left="1040" w:right="37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have potential conflicts of interest with EchoStar Corporation (“EchoStar”) due to our and DISH Network’s common ownership and management.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key personnel and the loss of their services may negatively affect our business.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29" w:lineRule="exact"/>
        <w:rPr>
          <w:sz w:val="20"/>
          <w:szCs w:val="20"/>
          <w:color w:val="auto"/>
        </w:rPr>
      </w:pPr>
    </w:p>
    <w:p>
      <w:pPr>
        <w:ind w:left="1040" w:right="139" w:hanging="321"/>
        <w:spacing w:after="0" w:line="286"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parent, DISH Network, has made substantial investments to acquire certain wireless spectrum licenses and other related assets. In addition, DISH Network has made substantial non-controlling investments in the Northstar Entities and the SNR Entities related to AWS-3 wireless spectrum licenses.</w:t>
      </w:r>
    </w:p>
    <w:p>
      <w:pPr>
        <w:spacing w:after="0" w:line="165" w:lineRule="exact"/>
        <w:rPr>
          <w:rFonts w:ascii="Arial" w:cs="Arial" w:eastAsia="Arial" w:hAnsi="Arial"/>
          <w:sz w:val="17"/>
          <w:szCs w:val="17"/>
          <w:color w:val="auto"/>
        </w:rPr>
      </w:pPr>
    </w:p>
    <w:p>
      <w:pPr>
        <w:ind w:left="1040" w:right="4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parent, DISH Network, faces certain risks related to its non-controlling investments in the Northstar Entities and the SNR Entities.</w:t>
      </w:r>
    </w:p>
    <w:p>
      <w:pPr>
        <w:spacing w:after="0" w:line="170" w:lineRule="exact"/>
        <w:rPr>
          <w:rFonts w:ascii="Arial" w:cs="Arial" w:eastAsia="Arial" w:hAnsi="Arial"/>
          <w:sz w:val="18"/>
          <w:szCs w:val="18"/>
          <w:color w:val="auto"/>
        </w:rPr>
      </w:pPr>
    </w:p>
    <w:p>
      <w:pPr>
        <w:ind w:left="1040" w:right="519" w:hanging="321"/>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that our parent, DISH Network, commercializes its wireless spectrum licenses, it will face certain risks entering and competing in the wireless services industry and operating a wireless services business.</w:t>
      </w:r>
    </w:p>
    <w:p>
      <w:pPr>
        <w:spacing w:after="0" w:line="183" w:lineRule="exact"/>
        <w:rPr>
          <w:rFonts w:ascii="Arial" w:cs="Arial" w:eastAsia="Arial" w:hAnsi="Arial"/>
          <w:sz w:val="18"/>
          <w:szCs w:val="18"/>
          <w:color w:val="auto"/>
        </w:rPr>
      </w:pPr>
    </w:p>
    <w:p>
      <w:pPr>
        <w:ind w:left="1040" w:right="199" w:hanging="321"/>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pursue acquisitions and other strategic transactions to complement or expand our business that may not be successful, and we may lose up to the entire value of our investment in these acquisitions and transactions.</w:t>
      </w:r>
    </w:p>
    <w:p>
      <w:pPr>
        <w:spacing w:after="0" w:line="183" w:lineRule="exact"/>
        <w:rPr>
          <w:rFonts w:ascii="Arial" w:cs="Arial" w:eastAsia="Arial" w:hAnsi="Arial"/>
          <w:sz w:val="18"/>
          <w:szCs w:val="18"/>
          <w:color w:val="auto"/>
        </w:rPr>
      </w:pPr>
    </w:p>
    <w:p>
      <w:pPr>
        <w:ind w:left="1040" w:right="679" w:hanging="321"/>
        <w:spacing w:after="0" w:line="30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need additional capital, which may not be available on acceptable terms or at all, to continue investing in our business and to finance acquisitions and other strategic transactions.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substantial debt outstanding and may incur additional debt.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parent, DISH Network, is controlled by one principal stockholder who is also our Chairman.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jc w:val="both"/>
        <w:ind w:left="1040" w:right="79" w:hanging="321"/>
        <w:spacing w:after="0" w:line="286"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rulings in the Telemarketing litigation requiring us to pay up to an aggregate amount of $280 million and imposing certain injunctive relief against us, if upheld, would have a material adverse effect on our cash, cash equivalents and marketable investment securities balances and our business operations.</w:t>
      </w:r>
    </w:p>
    <w:p>
      <w:pPr>
        <w:spacing w:after="0" w:line="165" w:lineRule="exact"/>
        <w:rPr>
          <w:rFonts w:ascii="Arial" w:cs="Arial" w:eastAsia="Arial" w:hAnsi="Arial"/>
          <w:sz w:val="17"/>
          <w:szCs w:val="17"/>
          <w:color w:val="auto"/>
        </w:rPr>
      </w:pPr>
    </w:p>
    <w:p>
      <w:pPr>
        <w:ind w:left="1040" w:right="139" w:hanging="321"/>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may be materially affected by the Tax Cuts and Jobs Act of 2017 (the “Tax Reform Act”). Negative or unexpected tax consequences could adversely affect our business, financial condition and results of operations.</w:t>
      </w:r>
    </w:p>
    <w:p>
      <w:pPr>
        <w:spacing w:after="0" w:line="183" w:lineRule="exact"/>
        <w:rPr>
          <w:rFonts w:ascii="Arial" w:cs="Arial" w:eastAsia="Arial" w:hAnsi="Arial"/>
          <w:sz w:val="18"/>
          <w:szCs w:val="18"/>
          <w:color w:val="auto"/>
        </w:rPr>
      </w:pPr>
    </w:p>
    <w:p>
      <w:pPr>
        <w:ind w:left="1040" w:right="359" w:hanging="321"/>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79" w:hanging="321"/>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146" w:lineRule="exact"/>
        <w:rPr>
          <w:rFonts w:ascii="Arial" w:cs="Arial" w:eastAsia="Arial" w:hAnsi="Arial"/>
          <w:sz w:val="17"/>
          <w:szCs w:val="17"/>
          <w:color w:val="auto"/>
        </w:rPr>
      </w:pPr>
    </w:p>
    <w:p>
      <w:pPr>
        <w:ind w:left="1040" w:right="25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distribute video content via the Internet, including our Sling TV services, involves regulatory risk.</w:t>
      </w:r>
    </w:p>
    <w:p>
      <w:pPr>
        <w:spacing w:after="0" w:line="170" w:lineRule="exact"/>
        <w:rPr>
          <w:rFonts w:ascii="Arial" w:cs="Arial" w:eastAsia="Arial" w:hAnsi="Arial"/>
          <w:sz w:val="18"/>
          <w:szCs w:val="18"/>
          <w:color w:val="auto"/>
        </w:rPr>
      </w:pPr>
    </w:p>
    <w:p>
      <w:pPr>
        <w:ind w:left="1040" w:right="79" w:hanging="321"/>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Cable Act of 1992 (“Cable Act”), and/or the rules of the Federal Communications Commission (“FCC”) that implement the Cable Act, may limit our ability to access programming from cable-affiliated programmers at nondiscriminatory rates.</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injunction against our retransmission of distant networks, which is currently waived, may be reinstated.</w:t>
      </w:r>
    </w:p>
    <w:p>
      <w:pPr>
        <w:spacing w:after="0" w:line="248" w:lineRule="exact"/>
        <w:rPr>
          <w:rFonts w:ascii="Arial" w:cs="Arial" w:eastAsia="Arial" w:hAnsi="Arial"/>
          <w:sz w:val="16"/>
          <w:szCs w:val="16"/>
          <w:color w:val="auto"/>
        </w:rPr>
      </w:pPr>
    </w:p>
    <w:p>
      <w:pPr>
        <w:ind w:left="1040" w:right="219" w:hanging="321"/>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significant regulatory oversight, and changes in applicable regulatory requirements, including any adoption or modification of laws or regulations relating to the Internet, could adversely affect our business.</w:t>
      </w:r>
    </w:p>
    <w:p>
      <w:pPr>
        <w:spacing w:after="0" w:line="183" w:lineRule="exact"/>
        <w:rPr>
          <w:rFonts w:ascii="Arial" w:cs="Arial" w:eastAsia="Arial" w:hAnsi="Arial"/>
          <w:sz w:val="18"/>
          <w:szCs w:val="18"/>
          <w:color w:val="auto"/>
        </w:rPr>
      </w:pPr>
    </w:p>
    <w:p>
      <w:pPr>
        <w:ind w:left="1040" w:right="27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DISH TV services depend on FCC licenses that can expire or be revoked or modified and applications for FCC licenses that may not be granted.</w:t>
      </w:r>
    </w:p>
    <w:p>
      <w:pPr>
        <w:spacing w:after="0" w:line="170" w:lineRule="exact"/>
        <w:rPr>
          <w:rFonts w:ascii="Arial" w:cs="Arial" w:eastAsia="Arial" w:hAnsi="Arial"/>
          <w:sz w:val="18"/>
          <w:szCs w:val="18"/>
          <w:color w:val="auto"/>
        </w:rPr>
      </w:pPr>
    </w:p>
    <w:p>
      <w:pPr>
        <w:ind w:left="1040" w:right="53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digital high-definition (“HD”) “carry-one, carry-all” requirements that cause capacity constraints.</w:t>
      </w:r>
    </w:p>
    <w:p>
      <w:pPr>
        <w:spacing w:after="0" w:line="170" w:lineRule="exact"/>
        <w:rPr>
          <w:rFonts w:ascii="Arial" w:cs="Arial" w:eastAsia="Arial" w:hAnsi="Arial"/>
          <w:sz w:val="18"/>
          <w:szCs w:val="18"/>
          <w:color w:val="auto"/>
        </w:rPr>
      </w:pPr>
    </w:p>
    <w:p>
      <w:pPr>
        <w:ind w:left="1040" w:right="17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investor confidence in our financial results and DISH Network’s stock price may be adversely affected if our internal controls are not effective.</w:t>
      </w:r>
    </w:p>
    <w:p>
      <w:pPr>
        <w:spacing w:after="0" w:line="170" w:lineRule="exact"/>
        <w:rPr>
          <w:rFonts w:ascii="Arial" w:cs="Arial" w:eastAsia="Arial" w:hAnsi="Arial"/>
          <w:sz w:val="18"/>
          <w:szCs w:val="18"/>
          <w:color w:val="auto"/>
        </w:rPr>
      </w:pPr>
    </w:p>
    <w:p>
      <w:pPr>
        <w:ind w:left="1040" w:right="799" w:hanging="32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face other risks described from time to time in periodic and current reports we file with the Securities and Exchange Commission (“SEC”).</w:t>
      </w:r>
    </w:p>
    <w:p>
      <w:pPr>
        <w:spacing w:after="0" w:line="170"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 those discussed in “Management’s Narrative Analysis of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820"/>
              <w:spacing w:after="0"/>
              <w:rPr>
                <w:sz w:val="20"/>
                <w:szCs w:val="20"/>
                <w:color w:val="auto"/>
              </w:rPr>
            </w:pPr>
            <w:r>
              <w:rPr>
                <w:rFonts w:ascii="Arial" w:cs="Arial" w:eastAsia="Arial" w:hAnsi="Arial"/>
                <w:sz w:val="15"/>
                <w:szCs w:val="15"/>
                <w:b w:val="1"/>
                <w:bCs w:val="1"/>
                <w:color w:val="auto"/>
              </w:rPr>
              <w:t>As of</w:t>
            </w:r>
          </w:p>
        </w:tc>
      </w:tr>
      <w:tr>
        <w:trPr>
          <w:trHeight w:val="145"/>
        </w:trPr>
        <w:tc>
          <w:tcPr>
            <w:tcW w:w="6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40"/>
              <w:spacing w:after="0" w:line="145" w:lineRule="exact"/>
              <w:rPr>
                <w:sz w:val="20"/>
                <w:szCs w:val="20"/>
                <w:color w:val="auto"/>
              </w:rPr>
            </w:pPr>
            <w:r>
              <w:rPr>
                <w:rFonts w:ascii="Arial" w:cs="Arial" w:eastAsia="Arial" w:hAnsi="Arial"/>
                <w:sz w:val="15"/>
                <w:szCs w:val="15"/>
                <w:b w:val="1"/>
                <w:bCs w:val="1"/>
                <w:color w:val="auto"/>
              </w:rPr>
              <w:t>March 31,</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4"/>
              <w:spacing w:after="0" w:line="145" w:lineRule="exact"/>
              <w:rPr>
                <w:sz w:val="20"/>
                <w:szCs w:val="20"/>
                <w:color w:val="auto"/>
              </w:rPr>
            </w:pPr>
            <w:r>
              <w:rPr>
                <w:rFonts w:ascii="Arial" w:cs="Arial" w:eastAsia="Arial" w:hAnsi="Arial"/>
                <w:sz w:val="15"/>
                <w:szCs w:val="15"/>
                <w:b w:val="1"/>
                <w:bCs w:val="1"/>
                <w:color w:val="auto"/>
                <w:w w:val="90"/>
              </w:rPr>
              <w:t>December 31,</w:t>
            </w:r>
          </w:p>
        </w:tc>
        <w:tc>
          <w:tcPr>
            <w:tcW w:w="160" w:type="dxa"/>
            <w:vAlign w:val="bottom"/>
          </w:tcPr>
          <w:p>
            <w:pPr>
              <w:spacing w:after="0"/>
              <w:rPr>
                <w:sz w:val="12"/>
                <w:szCs w:val="12"/>
                <w:color w:val="auto"/>
              </w:rPr>
            </w:pPr>
          </w:p>
        </w:tc>
      </w:tr>
      <w:tr>
        <w:trPr>
          <w:trHeight w:val="179"/>
        </w:trPr>
        <w:tc>
          <w:tcPr>
            <w:tcW w:w="6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156"/>
        </w:trPr>
        <w:tc>
          <w:tcPr>
            <w:tcW w:w="652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i w:val="1"/>
                <w:iCs w:val="1"/>
                <w:color w:val="auto"/>
              </w:rPr>
              <w:t>Current Assets: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323,902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17,426</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Marketable investment securities</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60,532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r>
      <w:tr>
        <w:trPr>
          <w:trHeight w:val="149"/>
        </w:trPr>
        <w:tc>
          <w:tcPr>
            <w:tcW w:w="652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Trade accounts receivable, net of allowance for credit losses and allowance for doubtful</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5"/>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of $38,806 and $19,280, respectively</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519,759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568,679</w:t>
            </w:r>
          </w:p>
        </w:tc>
        <w:tc>
          <w:tcPr>
            <w:tcW w:w="160" w:type="dxa"/>
            <w:vAlign w:val="bottom"/>
            <w:shd w:val="clear" w:color="auto" w:fill="CCEEFF"/>
          </w:tcPr>
          <w:p>
            <w:pPr>
              <w:spacing w:after="0"/>
              <w:rPr>
                <w:sz w:val="15"/>
                <w:szCs w:val="15"/>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324,709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321,983</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current assets</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174,293</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164,767</w:t>
            </w:r>
          </w:p>
        </w:tc>
        <w:tc>
          <w:tcPr>
            <w:tcW w:w="160" w:type="dxa"/>
            <w:vAlign w:val="bottom"/>
            <w:shd w:val="clear" w:color="auto" w:fill="CCEEFF"/>
          </w:tcPr>
          <w:p>
            <w:pPr>
              <w:spacing w:after="0"/>
              <w:rPr>
                <w:sz w:val="14"/>
                <w:szCs w:val="14"/>
                <w:color w:val="auto"/>
              </w:rPr>
            </w:pPr>
          </w:p>
        </w:tc>
      </w:tr>
      <w:tr>
        <w:trPr>
          <w:trHeight w:val="156"/>
        </w:trPr>
        <w:tc>
          <w:tcPr>
            <w:tcW w:w="652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Total current assets</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1,403,195</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1,072,855</w:t>
            </w:r>
          </w:p>
        </w:tc>
        <w:tc>
          <w:tcPr>
            <w:tcW w:w="160" w:type="dxa"/>
            <w:vAlign w:val="bottom"/>
            <w:tcBorders>
              <w:bottom w:val="single" w:sz="8" w:color="CCEEFF"/>
            </w:tcBorders>
          </w:tcPr>
          <w:p>
            <w:pPr>
              <w:spacing w:after="0"/>
              <w:rPr>
                <w:sz w:val="13"/>
                <w:szCs w:val="13"/>
                <w:color w:val="auto"/>
              </w:rPr>
            </w:pPr>
          </w:p>
        </w:tc>
      </w:tr>
      <w:tr>
        <w:trPr>
          <w:trHeight w:val="156"/>
        </w:trPr>
        <w:tc>
          <w:tcPr>
            <w:tcW w:w="6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i w:val="1"/>
                <w:iCs w:val="1"/>
                <w:color w:val="auto"/>
              </w:rPr>
              <w:t>Noncurrent Assets: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Restricted cash, cash equivalents and marketable investment securities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61,293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61,067</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Property and equipment, net</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1,704,970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1,751,573</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FCC authorizations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611,794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611,794</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Other investment securities</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107,203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106,874</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Operating lease assets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516,318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553,576</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5"/>
                <w:szCs w:val="15"/>
                <w:color w:val="auto"/>
              </w:rPr>
              <w:t>Other noncurrent assets, net</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229,117</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228,820</w:t>
            </w:r>
          </w:p>
        </w:tc>
        <w:tc>
          <w:tcPr>
            <w:tcW w:w="160" w:type="dxa"/>
            <w:vAlign w:val="bottom"/>
            <w:tcBorders>
              <w:bottom w:val="single" w:sz="8" w:color="CCEEFF"/>
            </w:tcBorders>
          </w:tcPr>
          <w:p>
            <w:pPr>
              <w:spacing w:after="0"/>
              <w:rPr>
                <w:sz w:val="14"/>
                <w:szCs w:val="14"/>
                <w:color w:val="auto"/>
              </w:rPr>
            </w:pPr>
          </w:p>
        </w:tc>
      </w:tr>
      <w:tr>
        <w:trPr>
          <w:trHeight w:val="155"/>
        </w:trPr>
        <w:tc>
          <w:tcPr>
            <w:tcW w:w="65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Total noncurrent assets</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3,230,695</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3,313,704</w:t>
            </w:r>
          </w:p>
        </w:tc>
        <w:tc>
          <w:tcPr>
            <w:tcW w:w="160" w:type="dxa"/>
            <w:vAlign w:val="bottom"/>
            <w:shd w:val="clear" w:color="auto" w:fill="CCEEFF"/>
          </w:tcPr>
          <w:p>
            <w:pPr>
              <w:spacing w:after="0"/>
              <w:rPr>
                <w:sz w:val="13"/>
                <w:szCs w:val="13"/>
                <w:color w:val="auto"/>
              </w:rPr>
            </w:pPr>
          </w:p>
        </w:tc>
      </w:tr>
      <w:tr>
        <w:trPr>
          <w:trHeight w:val="195"/>
        </w:trPr>
        <w:tc>
          <w:tcPr>
            <w:tcW w:w="6520" w:type="dxa"/>
            <w:vAlign w:val="bottom"/>
            <w:tcBorders>
              <w:bottom w:val="single" w:sz="8" w:color="CCEEFF"/>
            </w:tcBorders>
          </w:tcPr>
          <w:p>
            <w:pPr>
              <w:ind w:left="340"/>
              <w:spacing w:after="0" w:line="156" w:lineRule="exact"/>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4,633,890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4,386,559</w:t>
            </w:r>
          </w:p>
        </w:tc>
        <w:tc>
          <w:tcPr>
            <w:tcW w:w="160" w:type="dxa"/>
            <w:vAlign w:val="bottom"/>
            <w:tcBorders>
              <w:bottom w:val="single" w:sz="8" w:color="CCEEFF"/>
            </w:tcBorders>
          </w:tcPr>
          <w:p>
            <w:pPr>
              <w:spacing w:after="0"/>
              <w:rPr>
                <w:sz w:val="17"/>
                <w:szCs w:val="17"/>
                <w:color w:val="auto"/>
              </w:rPr>
            </w:pPr>
          </w:p>
        </w:tc>
      </w:tr>
      <w:tr>
        <w:trPr>
          <w:trHeight w:val="143"/>
        </w:trPr>
        <w:tc>
          <w:tcPr>
            <w:tcW w:w="6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b w:val="1"/>
                <w:bCs w:val="1"/>
                <w:color w:val="auto"/>
              </w:rPr>
              <w:t>Liabilities and Stockholder's Equity (Deficit)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spacing w:after="0" w:line="162" w:lineRule="exact"/>
              <w:rPr>
                <w:sz w:val="20"/>
                <w:szCs w:val="20"/>
                <w:color w:val="auto"/>
              </w:rPr>
            </w:pPr>
            <w:r>
              <w:rPr>
                <w:rFonts w:ascii="Arial" w:cs="Arial" w:eastAsia="Arial" w:hAnsi="Arial"/>
                <w:sz w:val="15"/>
                <w:szCs w:val="15"/>
                <w:i w:val="1"/>
                <w:iCs w:val="1"/>
                <w:color w:val="auto"/>
              </w:rPr>
              <w:t>Current Liabilities: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Trade accounts payable</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324,379</w:t>
            </w:r>
          </w:p>
        </w:tc>
        <w:tc>
          <w:tcPr>
            <w:tcW w:w="16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266,417</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Advances from affiliates</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82,415</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Deferred revenue and other</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676,017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674,079</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programming</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1,432,580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1,308,531</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Accrued interest</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179,711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189,039</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accrued expenses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880,722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918,333</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5"/>
                <w:szCs w:val="15"/>
                <w:color w:val="auto"/>
              </w:rPr>
              <w:t>Current portion of long-term debt and finance lease obligations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1,152,173</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1,151,108</w:t>
            </w:r>
          </w:p>
        </w:tc>
        <w:tc>
          <w:tcPr>
            <w:tcW w:w="160" w:type="dxa"/>
            <w:vAlign w:val="bottom"/>
            <w:tcBorders>
              <w:bottom w:val="single" w:sz="8" w:color="CCEEFF"/>
            </w:tcBorders>
          </w:tcPr>
          <w:p>
            <w:pPr>
              <w:spacing w:after="0"/>
              <w:rPr>
                <w:sz w:val="14"/>
                <w:szCs w:val="14"/>
                <w:color w:val="auto"/>
              </w:rPr>
            </w:pPr>
          </w:p>
        </w:tc>
      </w:tr>
      <w:tr>
        <w:trPr>
          <w:trHeight w:val="155"/>
        </w:trPr>
        <w:tc>
          <w:tcPr>
            <w:tcW w:w="65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Total current liabilities</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4,645,582</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4,589,922</w:t>
            </w:r>
          </w:p>
        </w:tc>
        <w:tc>
          <w:tcPr>
            <w:tcW w:w="160" w:type="dxa"/>
            <w:vAlign w:val="bottom"/>
            <w:shd w:val="clear" w:color="auto" w:fill="CCEEFF"/>
          </w:tcPr>
          <w:p>
            <w:pPr>
              <w:spacing w:after="0"/>
              <w:rPr>
                <w:sz w:val="13"/>
                <w:szCs w:val="13"/>
                <w:color w:val="auto"/>
              </w:rPr>
            </w:pPr>
          </w:p>
        </w:tc>
      </w:tr>
      <w:tr>
        <w:trPr>
          <w:trHeight w:val="155"/>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6520" w:type="dxa"/>
            <w:vAlign w:val="bottom"/>
            <w:shd w:val="clear" w:color="auto" w:fill="CCEEFF"/>
          </w:tcPr>
          <w:p>
            <w:pPr>
              <w:spacing w:after="0" w:line="162" w:lineRule="exact"/>
              <w:rPr>
                <w:sz w:val="20"/>
                <w:szCs w:val="20"/>
                <w:color w:val="auto"/>
              </w:rPr>
            </w:pPr>
            <w:r>
              <w:rPr>
                <w:rFonts w:ascii="Arial" w:cs="Arial" w:eastAsia="Arial" w:hAnsi="Arial"/>
                <w:sz w:val="15"/>
                <w:szCs w:val="15"/>
                <w:i w:val="1"/>
                <w:iCs w:val="1"/>
                <w:color w:val="auto"/>
              </w:rPr>
              <w:t>Long-Term Obligations, Net of Current Portion:</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Long-term debt and finance lease obligations, net of current portion</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9,660,119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9,671,255</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Deferred tax liabilities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488,338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501,857</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Operating lease liabilities</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310,710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350,155</w:t>
            </w: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Long-term deferred revenue and other long-term liabilities</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213,020</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207,992</w:t>
            </w:r>
          </w:p>
        </w:tc>
        <w:tc>
          <w:tcPr>
            <w:tcW w:w="160" w:type="dxa"/>
            <w:vAlign w:val="bottom"/>
            <w:shd w:val="clear" w:color="auto" w:fill="CCEEFF"/>
          </w:tcPr>
          <w:p>
            <w:pPr>
              <w:spacing w:after="0"/>
              <w:rPr>
                <w:sz w:val="14"/>
                <w:szCs w:val="14"/>
                <w:color w:val="auto"/>
              </w:rPr>
            </w:pPr>
          </w:p>
        </w:tc>
      </w:tr>
      <w:tr>
        <w:trPr>
          <w:trHeight w:val="155"/>
        </w:trPr>
        <w:tc>
          <w:tcPr>
            <w:tcW w:w="652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Total long-term obligations, net of current portion</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10,672,187</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10,731,259</w:t>
            </w:r>
          </w:p>
        </w:tc>
        <w:tc>
          <w:tcPr>
            <w:tcW w:w="160" w:type="dxa"/>
            <w:vAlign w:val="bottom"/>
            <w:tcBorders>
              <w:bottom w:val="single" w:sz="8" w:color="CCEEFF"/>
            </w:tcBorders>
          </w:tcPr>
          <w:p>
            <w:pPr>
              <w:spacing w:after="0"/>
              <w:rPr>
                <w:sz w:val="13"/>
                <w:szCs w:val="13"/>
                <w:color w:val="auto"/>
              </w:rPr>
            </w:pPr>
          </w:p>
        </w:tc>
      </w:tr>
      <w:tr>
        <w:trPr>
          <w:trHeight w:val="155"/>
        </w:trPr>
        <w:tc>
          <w:tcPr>
            <w:tcW w:w="6520" w:type="dxa"/>
            <w:vAlign w:val="bottom"/>
            <w:shd w:val="clear" w:color="auto" w:fill="CCEEFF"/>
          </w:tcPr>
          <w:p>
            <w:pPr>
              <w:ind w:left="340"/>
              <w:spacing w:after="0" w:line="156" w:lineRule="exact"/>
              <w:rPr>
                <w:sz w:val="20"/>
                <w:szCs w:val="20"/>
                <w:color w:val="auto"/>
              </w:rPr>
            </w:pPr>
            <w:r>
              <w:rPr>
                <w:rFonts w:ascii="Arial" w:cs="Arial" w:eastAsia="Arial" w:hAnsi="Arial"/>
                <w:sz w:val="15"/>
                <w:szCs w:val="15"/>
                <w:color w:val="auto"/>
              </w:rPr>
              <w:t>Total liabilities</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15,317,769</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15,321,181</w:t>
            </w:r>
          </w:p>
        </w:tc>
        <w:tc>
          <w:tcPr>
            <w:tcW w:w="160" w:type="dxa"/>
            <w:vAlign w:val="bottom"/>
            <w:shd w:val="clear" w:color="auto" w:fill="CCEEFF"/>
          </w:tcPr>
          <w:p>
            <w:pPr>
              <w:spacing w:after="0"/>
              <w:rPr>
                <w:sz w:val="13"/>
                <w:szCs w:val="13"/>
                <w:color w:val="auto"/>
              </w:rPr>
            </w:pPr>
          </w:p>
        </w:tc>
      </w:tr>
      <w:tr>
        <w:trPr>
          <w:trHeight w:val="155"/>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65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Commitments and Contingencies (Note 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520" w:type="dxa"/>
            <w:vAlign w:val="bottom"/>
            <w:shd w:val="clear" w:color="auto" w:fill="CCEEFF"/>
          </w:tcPr>
          <w:p>
            <w:pPr>
              <w:spacing w:after="0" w:line="162" w:lineRule="exact"/>
              <w:rPr>
                <w:sz w:val="20"/>
                <w:szCs w:val="20"/>
                <w:color w:val="auto"/>
              </w:rPr>
            </w:pPr>
            <w:r>
              <w:rPr>
                <w:rFonts w:ascii="Arial" w:cs="Arial" w:eastAsia="Arial" w:hAnsi="Arial"/>
                <w:sz w:val="15"/>
                <w:szCs w:val="15"/>
                <w:i w:val="1"/>
                <w:iCs w:val="1"/>
                <w:color w:val="auto"/>
              </w:rPr>
              <w:t>Stockholder’s Equity (Deficit):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6520" w:type="dxa"/>
            <w:vAlign w:val="bottom"/>
          </w:tcPr>
          <w:p>
            <w:pPr>
              <w:ind w:left="220"/>
              <w:spacing w:after="0" w:line="149" w:lineRule="exact"/>
              <w:rPr>
                <w:sz w:val="20"/>
                <w:szCs w:val="20"/>
                <w:color w:val="auto"/>
              </w:rPr>
            </w:pPr>
            <w:r>
              <w:rPr>
                <w:rFonts w:ascii="Arial" w:cs="Arial" w:eastAsia="Arial" w:hAnsi="Arial"/>
                <w:sz w:val="15"/>
                <w:szCs w:val="15"/>
                <w:color w:val="auto"/>
              </w:rPr>
              <w:t>Common stock, $.01 par value, 1,000,000 shares authorized, 1,015 shares issued and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6520" w:type="dxa"/>
            <w:vAlign w:val="bottom"/>
          </w:tcPr>
          <w:p>
            <w:pPr>
              <w:ind w:left="220"/>
              <w:spacing w:after="0"/>
              <w:rPr>
                <w:sz w:val="20"/>
                <w:szCs w:val="20"/>
                <w:color w:val="auto"/>
              </w:rPr>
            </w:pPr>
            <w:r>
              <w:rPr>
                <w:rFonts w:ascii="Arial" w:cs="Arial" w:eastAsia="Arial" w:hAnsi="Arial"/>
                <w:sz w:val="15"/>
                <w:szCs w:val="15"/>
                <w:color w:val="auto"/>
              </w:rPr>
              <w:t>outstanding</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r>
      <w:tr>
        <w:trPr>
          <w:trHeight w:val="162"/>
        </w:trPr>
        <w:tc>
          <w:tcPr>
            <w:tcW w:w="652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1,439,689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1,432,736</w:t>
            </w:r>
          </w:p>
        </w:tc>
        <w:tc>
          <w:tcPr>
            <w:tcW w:w="160" w:type="dxa"/>
            <w:vAlign w:val="bottom"/>
            <w:shd w:val="clear" w:color="auto" w:fill="CCEEFF"/>
          </w:tcPr>
          <w:p>
            <w:pPr>
              <w:spacing w:after="0"/>
              <w:rPr>
                <w:sz w:val="14"/>
                <w:szCs w:val="14"/>
                <w:color w:val="auto"/>
              </w:rPr>
            </w:pPr>
          </w:p>
        </w:tc>
      </w:tr>
      <w:tr>
        <w:trPr>
          <w:trHeight w:val="162"/>
        </w:trPr>
        <w:tc>
          <w:tcPr>
            <w:tcW w:w="6520" w:type="dxa"/>
            <w:vAlign w:val="bottom"/>
          </w:tcPr>
          <w:p>
            <w:pPr>
              <w:ind w:left="220"/>
              <w:spacing w:after="0" w:line="162" w:lineRule="exact"/>
              <w:rPr>
                <w:sz w:val="20"/>
                <w:szCs w:val="20"/>
                <w:color w:val="auto"/>
              </w:rPr>
            </w:pPr>
            <w:r>
              <w:rPr>
                <w:rFonts w:ascii="Arial" w:cs="Arial" w:eastAsia="Arial" w:hAnsi="Arial"/>
                <w:sz w:val="15"/>
                <w:szCs w:val="15"/>
                <w:color w:val="auto"/>
              </w:rPr>
              <w:t>Accumulated other comprehensive income (loss)</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(812)</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(449)</w:t>
            </w:r>
          </w:p>
        </w:tc>
      </w:tr>
      <w:tr>
        <w:trPr>
          <w:trHeight w:val="162"/>
        </w:trPr>
        <w:tc>
          <w:tcPr>
            <w:tcW w:w="652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Accumulated earnings (deficit)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(12,122,756)</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(12,366,909)</w:t>
            </w:r>
          </w:p>
        </w:tc>
      </w:tr>
      <w:tr>
        <w:trPr>
          <w:trHeight w:val="155"/>
        </w:trPr>
        <w:tc>
          <w:tcPr>
            <w:tcW w:w="652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Total stockholder’s equity (deficit)</w:t>
            </w: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(10,683,879)</w:t>
            </w:r>
          </w:p>
        </w:tc>
        <w:tc>
          <w:tcPr>
            <w:tcW w:w="1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(10,934,622)</w:t>
            </w:r>
          </w:p>
        </w:tc>
        <w:tc>
          <w:tcPr>
            <w:tcW w:w="160" w:type="dxa"/>
            <w:vAlign w:val="bottom"/>
            <w:tcBorders>
              <w:bottom w:val="single" w:sz="8" w:color="CCEEFF"/>
            </w:tcBorders>
          </w:tcPr>
          <w:p>
            <w:pPr>
              <w:spacing w:after="0"/>
              <w:rPr>
                <w:sz w:val="13"/>
                <w:szCs w:val="13"/>
                <w:color w:val="auto"/>
              </w:rPr>
            </w:pPr>
          </w:p>
        </w:tc>
      </w:tr>
      <w:tr>
        <w:trPr>
          <w:trHeight w:val="155"/>
        </w:trPr>
        <w:tc>
          <w:tcPr>
            <w:tcW w:w="6520" w:type="dxa"/>
            <w:vAlign w:val="bottom"/>
            <w:tcBorders>
              <w:bottom w:val="single" w:sz="8" w:color="CCEEFF"/>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Total liabilities and stockholder’s equity (deficit)</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4,633,890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4,386,559</w:t>
            </w:r>
          </w:p>
        </w:tc>
        <w:tc>
          <w:tcPr>
            <w:tcW w:w="160" w:type="dxa"/>
            <w:vAlign w:val="bottom"/>
            <w:tcBorders>
              <w:bottom w:val="single" w:sz="8" w:color="CCEEFF"/>
            </w:tcBorders>
            <w:shd w:val="clear" w:color="auto" w:fill="CCEEFF"/>
          </w:tcPr>
          <w:p>
            <w:pPr>
              <w:spacing w:after="0"/>
              <w:rPr>
                <w:sz w:val="13"/>
                <w:szCs w:val="13"/>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9"/>
              </w:rPr>
              <w:t>For the Three Months Ended</w:t>
            </w:r>
          </w:p>
        </w:tc>
      </w:tr>
      <w:tr>
        <w:trPr>
          <w:trHeight w:val="223"/>
        </w:trPr>
        <w:tc>
          <w:tcPr>
            <w:tcW w:w="5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5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Subscriber-related revenue</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3,130,900</w:t>
            </w:r>
          </w:p>
        </w:tc>
        <w:tc>
          <w:tcPr>
            <w:tcW w:w="160" w:type="dxa"/>
            <w:vAlign w:val="bottom"/>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3,097,936</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40,064</w:t>
            </w:r>
          </w:p>
        </w:tc>
        <w:tc>
          <w:tcPr>
            <w:tcW w:w="60" w:type="dxa"/>
            <w:vAlign w:val="bottom"/>
            <w:shd w:val="clear" w:color="auto" w:fill="CCEEFF"/>
          </w:tcPr>
          <w:p>
            <w:pPr>
              <w:spacing w:after="0"/>
              <w:rPr>
                <w:sz w:val="17"/>
                <w:szCs w:val="17"/>
                <w:color w:val="auto"/>
              </w:rPr>
            </w:pPr>
          </w:p>
        </w:tc>
      </w:tr>
      <w:tr>
        <w:trPr>
          <w:trHeight w:val="196"/>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3,167,782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3,138,000</w:t>
            </w:r>
          </w:p>
        </w:tc>
        <w:tc>
          <w:tcPr>
            <w:tcW w:w="6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b w:val="1"/>
                <w:bCs w:val="1"/>
                <w:color w:val="auto"/>
              </w:rPr>
              <w:t xml:space="preserve">Costs and Expenses </w:t>
            </w:r>
            <w:r>
              <w:rPr>
                <w:rFonts w:ascii="Arial" w:cs="Arial" w:eastAsia="Arial" w:hAnsi="Arial"/>
                <w:sz w:val="16"/>
                <w:szCs w:val="16"/>
                <w:color w:val="auto"/>
              </w:rPr>
              <w:t>(exclusive of depreciation shown separately below - Note 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Subscriber-related expenses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1,933,823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1,976,436</w:t>
            </w: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Satellite and transmission expenses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122,061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154,897</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equipment and other</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40,341</w:t>
            </w: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i w:val="1"/>
                <w:iCs w:val="1"/>
                <w:color w:val="auto"/>
              </w:rPr>
              <w:t>Subscriber acquisition costs: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sales - subscriber promotion subsidies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w:t>
            </w: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ind w:left="180"/>
              <w:spacing w:after="0"/>
              <w:rPr>
                <w:sz w:val="20"/>
                <w:szCs w:val="20"/>
                <w:color w:val="auto"/>
              </w:rPr>
            </w:pPr>
            <w:r>
              <w:rPr>
                <w:rFonts w:ascii="Arial" w:cs="Arial" w:eastAsia="Arial" w:hAnsi="Arial"/>
                <w:sz w:val="16"/>
                <w:szCs w:val="16"/>
                <w:color w:val="auto"/>
              </w:rPr>
              <w:t>Other subscriber acquisition costs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113,902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80,475</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Subscriber acquisition advertising</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106,907</w:t>
            </w:r>
          </w:p>
        </w:tc>
        <w:tc>
          <w:tcPr>
            <w:tcW w:w="60" w:type="dxa"/>
            <w:vAlign w:val="bottom"/>
            <w:shd w:val="clear" w:color="auto" w:fill="CCEEFF"/>
          </w:tcPr>
          <w:p>
            <w:pPr>
              <w:spacing w:after="0"/>
              <w:rPr>
                <w:sz w:val="17"/>
                <w:szCs w:val="17"/>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6"/>
                <w:szCs w:val="16"/>
                <w:color w:val="auto"/>
              </w:rPr>
              <w:t>Total subscriber acquisition costs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253,873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193,899</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184,924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186,577</w:t>
            </w:r>
          </w:p>
        </w:tc>
        <w:tc>
          <w:tcPr>
            <w:tcW w:w="60" w:type="dxa"/>
            <w:vAlign w:val="bottom"/>
            <w:shd w:val="clear" w:color="auto" w:fill="CCEEFF"/>
          </w:tcPr>
          <w:p>
            <w:pPr>
              <w:spacing w:after="0"/>
              <w:rPr>
                <w:sz w:val="17"/>
                <w:szCs w:val="17"/>
                <w:color w:val="auto"/>
              </w:rPr>
            </w:pPr>
          </w:p>
        </w:tc>
      </w:tr>
      <w:tr>
        <w:trPr>
          <w:trHeight w:val="203"/>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and amortization (Note 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135,085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155,115</w:t>
            </w:r>
          </w:p>
        </w:tc>
        <w:tc>
          <w:tcPr>
            <w:tcW w:w="6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Total costs and expenses</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2,660,580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2,707,265</w:t>
            </w:r>
          </w:p>
        </w:tc>
        <w:tc>
          <w:tcPr>
            <w:tcW w:w="60" w:type="dxa"/>
            <w:vAlign w:val="bottom"/>
            <w:shd w:val="clear" w:color="auto" w:fill="CCEEFF"/>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507,202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430,735</w:t>
            </w:r>
          </w:p>
        </w:tc>
        <w:tc>
          <w:tcPr>
            <w:tcW w:w="60" w:type="dxa"/>
            <w:vAlign w:val="bottom"/>
            <w:shd w:val="clear" w:color="auto" w:fill="CCEEFF"/>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2,935</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 of amounts capitalized</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(182,340)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(195,645)</w:t>
            </w:r>
          </w:p>
        </w:tc>
      </w:tr>
      <w:tr>
        <w:trPr>
          <w:trHeight w:val="202"/>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6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(180,545)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(191,277)</w:t>
            </w:r>
          </w:p>
        </w:tc>
        <w:tc>
          <w:tcPr>
            <w:tcW w:w="60" w:type="dxa"/>
            <w:vAlign w:val="bottom"/>
            <w:shd w:val="clear" w:color="auto" w:fill="CCEEFF"/>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326,657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239,458</w:t>
            </w: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Income tax (provision) benefit, net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(82,504)</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(61,822)</w:t>
            </w:r>
          </w:p>
        </w:tc>
      </w:tr>
      <w:tr>
        <w:trPr>
          <w:trHeight w:val="196"/>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244,153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177,636</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ind w:left="180"/>
              <w:spacing w:after="0"/>
              <w:rPr>
                <w:sz w:val="20"/>
                <w:szCs w:val="20"/>
                <w:color w:val="auto"/>
              </w:rPr>
            </w:pPr>
            <w:r>
              <w:rPr>
                <w:rFonts w:ascii="Arial" w:cs="Arial" w:eastAsia="Arial" w:hAnsi="Arial"/>
                <w:sz w:val="16"/>
                <w:szCs w:val="16"/>
                <w:color w:val="auto"/>
              </w:rPr>
              <w:t>Less: Net income (loss) attributable to noncontrolling interests, net of tax</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r>
      <w:tr>
        <w:trPr>
          <w:trHeight w:val="19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DISH DBS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244,153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177,760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Comprehensive Income (Loss):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Net income (loss)</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244,153</w:t>
            </w:r>
          </w:p>
        </w:tc>
        <w:tc>
          <w:tcPr>
            <w:tcW w:w="160" w:type="dxa"/>
            <w:vAlign w:val="bottom"/>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177,636</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Other comprehensive income (loss):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holding gains (losses) on available-for-sale debt securities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ind w:left="180"/>
              <w:spacing w:after="0"/>
              <w:rPr>
                <w:sz w:val="20"/>
                <w:szCs w:val="20"/>
                <w:color w:val="auto"/>
              </w:rPr>
            </w:pPr>
            <w:r>
              <w:rPr>
                <w:rFonts w:ascii="Arial" w:cs="Arial" w:eastAsia="Arial" w:hAnsi="Arial"/>
                <w:sz w:val="16"/>
                <w:szCs w:val="16"/>
                <w:color w:val="auto"/>
              </w:rPr>
              <w:t>Deferred income tax (expense) benefit, net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r>
      <w:tr>
        <w:trPr>
          <w:trHeight w:val="196"/>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Total other comprehensive income (loss), net of tax</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60" w:type="dxa"/>
            <w:vAlign w:val="bottom"/>
            <w:tcBorders>
              <w:top w:val="single" w:sz="8" w:color="CCEEFF"/>
            </w:tcBorders>
            <w:shd w:val="clear" w:color="auto" w:fill="CCEEFF"/>
          </w:tcPr>
          <w:p>
            <w:pPr>
              <w:spacing w:after="0"/>
              <w:rPr>
                <w:sz w:val="17"/>
                <w:szCs w:val="17"/>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243,790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177,797</w:t>
            </w: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Less: Comprehensive income (loss) attributable to noncontrolling interests, net of tax</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w:t>
            </w:r>
          </w:p>
        </w:tc>
      </w:tr>
      <w:tr>
        <w:trPr>
          <w:trHeight w:val="196"/>
        </w:trPr>
        <w:tc>
          <w:tcPr>
            <w:tcW w:w="5900" w:type="dxa"/>
            <w:vAlign w:val="bottom"/>
          </w:tcPr>
          <w:p>
            <w:pPr>
              <w:spacing w:after="0"/>
              <w:rPr>
                <w:sz w:val="20"/>
                <w:szCs w:val="20"/>
                <w:color w:val="auto"/>
              </w:rPr>
            </w:pPr>
            <w:r>
              <w:rPr>
                <w:rFonts w:ascii="Arial" w:cs="Arial" w:eastAsia="Arial" w:hAnsi="Arial"/>
                <w:sz w:val="16"/>
                <w:szCs w:val="16"/>
                <w:color w:val="auto"/>
              </w:rPr>
              <w:t>Comprehensive income (loss) attributable to DISH DBS</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243,790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177,921</w:t>
            </w:r>
          </w:p>
        </w:tc>
        <w:tc>
          <w:tcPr>
            <w:tcW w:w="6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(Unaudited</w:t>
      </w:r>
      <w:r>
        <w:rPr>
          <w:rFonts w:ascii="Arial" w:cs="Arial" w:eastAsia="Arial" w:hAnsi="Arial"/>
          <w:sz w:val="17"/>
          <w:szCs w:val="17"/>
          <w:color w:val="auto"/>
        </w:rPr>
        <w:t>)</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2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2018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$ 1,152,369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(13,194,440)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(12,042,160)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line="142" w:lineRule="exact"/>
              <w:rPr>
                <w:sz w:val="20"/>
                <w:szCs w:val="20"/>
                <w:color w:val="auto"/>
              </w:rPr>
            </w:pPr>
            <w:r>
              <w:rPr>
                <w:rFonts w:ascii="Arial" w:cs="Arial" w:eastAsia="Arial" w:hAnsi="Arial"/>
                <w:sz w:val="14"/>
                <w:szCs w:val="14"/>
                <w:color w:val="auto"/>
              </w:rPr>
              <w:t>Non-cash, stock-based compensation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11,003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unrealized holding gains (losses) on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available-for-sale debt securities,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w w:val="95"/>
              </w:rPr>
              <w:t>Deferred income tax (expense) benefit attributable to</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unrealized gains (losses) on available-for-sale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60" w:type="dxa"/>
            <w:vAlign w:val="bottom"/>
            <w:gridSpan w:val="2"/>
          </w:tcPr>
          <w:p>
            <w:pPr>
              <w:spacing w:after="0"/>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Net income (loss) attributable to noncontrolling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2"/>
          </w:tcPr>
          <w:p>
            <w:pPr>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DISH DBS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177,760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March 31, 2019</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$ 1,163,372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w:t>
            </w: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(13,016,680)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(11,853,360)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2019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$ 1,432,736</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w:t>
            </w:r>
          </w:p>
        </w:tc>
        <w:tc>
          <w:tcPr>
            <w:tcW w:w="14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(12,366,909)</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(10,934,622)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line="142" w:lineRule="exact"/>
              <w:rPr>
                <w:sz w:val="20"/>
                <w:szCs w:val="20"/>
                <w:color w:val="auto"/>
              </w:rPr>
            </w:pPr>
            <w:r>
              <w:rPr>
                <w:rFonts w:ascii="Arial" w:cs="Arial" w:eastAsia="Arial" w:hAnsi="Arial"/>
                <w:sz w:val="14"/>
                <w:szCs w:val="14"/>
                <w:color w:val="auto"/>
              </w:rPr>
              <w:t>Non-cash, stock-based compensation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6,953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6,953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unrealized holding gains (losses) on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available-for-sale debt securities,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DISH DBS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244,153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March 31, 2020</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$ 1,439,689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(812)</w:t>
            </w: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(12,122,756)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(10,683,879)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244,153</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177,636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Adjustments to reconcile net income (loss) to net cash flows from operating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activities: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155,115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Realized and unrealized losses (gains) on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expense (benefit)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(13,519)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(23,218)</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w w:val="98"/>
              </w:rPr>
              <w:t>Allowance for credit losses and allowance for doubtful accounts, respectively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current assets and current liabilities, net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137,511</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84,379</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flows from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534,513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396,049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(Purchases) Sales and maturities of marketable investment securities, net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(60,543)</w:t>
            </w:r>
          </w:p>
        </w:tc>
        <w:tc>
          <w:tcPr>
            <w:tcW w:w="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(33,401)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(75,421)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(93,803)</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9,425</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flows from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(133,947)</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(117,779)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Redemption and repurchases of senior notes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(22,365)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Advances to/from affiliates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(82,415)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Repayment of long-term debt and finance lease obligations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(11,452)</w:t>
            </w:r>
          </w:p>
        </w:tc>
        <w:tc>
          <w:tcPr>
            <w:tcW w:w="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flows from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(93,867)</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(28,997)</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4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Net increase (decrease) in cash, cash equivalents, restricted cash and cash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equivalents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306,699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249,273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cash equivalents, restricted cash and cash equivalents, beginning of period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78,103</w:t>
            </w:r>
          </w:p>
        </w:tc>
        <w:tc>
          <w:tcPr>
            <w:tcW w:w="1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130,076</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140" w:type="dxa"/>
            <w:vAlign w:val="bottom"/>
          </w:tcPr>
          <w:p>
            <w:pPr>
              <w:spacing w:after="0" w:line="182" w:lineRule="exact"/>
              <w:rPr>
                <w:sz w:val="20"/>
                <w:szCs w:val="20"/>
                <w:color w:val="auto"/>
              </w:rPr>
            </w:pPr>
            <w:r>
              <w:rPr>
                <w:rFonts w:ascii="Arial" w:cs="Arial" w:eastAsia="Arial" w:hAnsi="Arial"/>
                <w:sz w:val="18"/>
                <w:szCs w:val="18"/>
                <w:color w:val="auto"/>
                <w:w w:val="93"/>
              </w:rPr>
              <w:t>Cash, cash equivalents, restricted cash and cash equivalents, end of period (Note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384,802</w:t>
            </w:r>
          </w:p>
        </w:tc>
        <w:tc>
          <w:tcPr>
            <w:tcW w:w="18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379,349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60" w:hanging="316"/>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225" w:lineRule="exact"/>
        <w:rPr>
          <w:sz w:val="20"/>
          <w:szCs w:val="20"/>
          <w:color w:val="auto"/>
        </w:rPr>
      </w:pPr>
    </w:p>
    <w:p>
      <w:pPr>
        <w:ind w:left="40" w:right="219"/>
        <w:spacing w:after="0" w:line="257" w:lineRule="auto"/>
        <w:rPr>
          <w:sz w:val="20"/>
          <w:szCs w:val="20"/>
          <w:color w:val="auto"/>
        </w:rPr>
      </w:pPr>
      <w:r>
        <w:rPr>
          <w:rFonts w:ascii="Arial" w:cs="Arial" w:eastAsia="Arial" w:hAnsi="Arial"/>
          <w:sz w:val="18"/>
          <w:szCs w:val="18"/>
          <w:color w:val="auto"/>
        </w:rPr>
        <w:t>DISH DBS Corporation (which together with its subsidiaries is referred to as “DISH DBS,” the “Company,” “we,” “us” and/or “our,” unless otherwise required by the context) is a holding company and an indirect, wholly-owned subsidiary of DISH Network Corporation (“DISH Network”). DISH DBS was formed under Colorado law in January 1996 and its common stock is held by DISH Orbital Corporation (“DOC”), a direct subsidiary of DISH Network. Our subsidiaries operate one business segment.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Pay-TV</w:t>
      </w:r>
    </w:p>
    <w:p>
      <w:pPr>
        <w:spacing w:after="0" w:line="215" w:lineRule="exact"/>
        <w:rPr>
          <w:sz w:val="20"/>
          <w:szCs w:val="20"/>
          <w:color w:val="auto"/>
        </w:rPr>
      </w:pPr>
    </w:p>
    <w:p>
      <w:pPr>
        <w:ind w:left="40" w:right="99"/>
        <w:spacing w:after="0" w:line="257" w:lineRule="auto"/>
        <w:rPr>
          <w:sz w:val="20"/>
          <w:szCs w:val="20"/>
          <w:color w:val="auto"/>
        </w:rPr>
      </w:pPr>
      <w:r>
        <w:rPr>
          <w:rFonts w:ascii="Arial" w:cs="Arial" w:eastAsia="Arial" w:hAnsi="Arial"/>
          <w:sz w:val="17"/>
          <w:szCs w:val="17"/>
          <w:color w:val="auto"/>
        </w:rPr>
        <w:t>We offer pay-TV services under the DISH</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 and the Sling</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 (collectively “Pay-TV” services). The DISH branded pay-TV service consists of, among other things, FCC licenses authorizing us to use direct broadcast satellite (“DBS”) and Fixed Satellite Service (“FSS”) spectrum, our owned and leased satellites, receiver systems, broadcast operations, customer service facilities,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streaming OTT Internet-based domestic, international and Latino video programming services (“Sling TV”). As of March 31, 2020, we had 11.323 million Pay-TV subscribers in the United States, including 9.012 million DISH TV subscribers and 2.311 million Sling TV subscribers.</w:t>
      </w:r>
    </w:p>
    <w:p>
      <w:pPr>
        <w:spacing w:after="0" w:line="190" w:lineRule="exact"/>
        <w:rPr>
          <w:sz w:val="20"/>
          <w:szCs w:val="20"/>
          <w:color w:val="auto"/>
        </w:rPr>
      </w:pPr>
    </w:p>
    <w:p>
      <w:pPr>
        <w:ind w:left="360" w:hanging="316"/>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39"/>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2019. Certain prior period amounts have been reclassified to conform to the current period presentation.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40" w:right="99"/>
        <w:spacing w:after="0" w:line="290" w:lineRule="auto"/>
        <w:rPr>
          <w:sz w:val="20"/>
          <w:szCs w:val="20"/>
          <w:color w:val="auto"/>
        </w:rPr>
      </w:pPr>
      <w:r>
        <w:rPr>
          <w:rFonts w:ascii="Arial" w:cs="Arial" w:eastAsia="Arial" w:hAnsi="Arial"/>
          <w:sz w:val="16"/>
          <w:szCs w:val="16"/>
          <w:color w:val="auto"/>
        </w:rPr>
        <w:t>We consolidate all majority owned subsidiaries, investments in entities in which we have controlling influence and variable interest entities where we have been determined to be the primary beneficiary. Minority interests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and recorded at fair value with changes recognized in “Other, net” within “Other Income (Expense)” on our Condensed Consolidated Statements of Operations and Comprehensive Income (Loss). All significant intercompany accounts and transactions have been eliminated in consolidation.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0" w:right="179"/>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 and expense for each reporting period. Estimates are used in accounting for, among other things, allowances for credit losses, self-insurance obligations, deferred taxes and related valuation allowances, uncertain tax positions, loss contingencies, fair value of financial instruments, fair value of options granted under our stock-based compensation plans, fair value of assets and liabilities acquired in business combinations, relative standalone selling prices of performance obligations, finance leases, asset impairments, estimates of future cash flows used to evaluate and recognize impairments, useful lives of property, equipment and intangible assets, independent third-party retailer incentives, programming expenses and subscriber lives.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58" w:lineRule="exact"/>
        <w:rPr>
          <w:sz w:val="20"/>
          <w:szCs w:val="20"/>
          <w:color w:val="auto"/>
        </w:rPr>
      </w:pPr>
    </w:p>
    <w:p>
      <w:pPr>
        <w:ind w:left="40" w:right="299"/>
        <w:spacing w:after="0" w:line="308" w:lineRule="auto"/>
        <w:rPr>
          <w:sz w:val="20"/>
          <w:szCs w:val="20"/>
          <w:color w:val="auto"/>
        </w:rPr>
      </w:pPr>
      <w:r>
        <w:rPr>
          <w:rFonts w:ascii="Arial" w:cs="Arial" w:eastAsia="Arial" w:hAnsi="Arial"/>
          <w:sz w:val="17"/>
          <w:szCs w:val="17"/>
          <w:color w:val="auto"/>
        </w:rPr>
        <w:t>All equity securities are carried at fair value, with changes in fair value recognized in “Other, net” within “Other Income (Expense)” on our Condensed Consolidated Statements of Operations and Comprehensive Income (Loss).</w:t>
      </w:r>
    </w:p>
    <w:p>
      <w:pPr>
        <w:spacing w:after="0" w:line="79"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 xml:space="preserve">All debt securities are classified as available-for-sale and are recorded at fair value. Historically, we reported temporary unrealized gains and losses as a separate component of “Accumulated other comprehensive income (loss)” within “Total stockholder’s equity (deficit),” net of related deferred income tax on our Condensed Consolidated Balance Sheets. Subsequent to the adoption of ASU 2016-13 </w:t>
      </w:r>
      <w:r>
        <w:rPr>
          <w:rFonts w:ascii="Arial" w:cs="Arial" w:eastAsia="Arial" w:hAnsi="Arial"/>
          <w:sz w:val="16"/>
          <w:szCs w:val="16"/>
          <w:i w:val="1"/>
          <w:iCs w:val="1"/>
          <w:color w:val="auto"/>
        </w:rPr>
        <w:t>Financial Instruments – 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during the first quarter of 2020, we report the temporary unrealized gains and losses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market conditions of marketable debt securities as a separate component of “Accumulated other comprehensive income (loss)” within “Total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decrease in credit ratings or an entities ability to pay.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58"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Prior to January 1, 2020, management estimated the amount of allowance for doubtful accounts for potential non-collectability of accounts receivable based upon past collection experience and consideration of other relevant factors. Subsequent to January 1, 2020 due to the adoption of ASU 2016-13, trade accounts receivable are recorded at amortized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In determining the allowance for credit losses management groups similar types of financial assets with consistent risk characteristics. Pools identified by management include but are not limited to residential customers, commercial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40" w:right="239"/>
        <w:spacing w:after="0" w:line="257"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88" w:lineRule="exact"/>
        <w:rPr>
          <w:sz w:val="20"/>
          <w:szCs w:val="20"/>
          <w:color w:val="auto"/>
        </w:rPr>
      </w:pPr>
    </w:p>
    <w:p>
      <w:pPr>
        <w:ind w:left="720" w:hanging="32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3" w:lineRule="exact"/>
        <w:rPr>
          <w:rFonts w:ascii="Arial" w:cs="Arial" w:eastAsia="Arial" w:hAnsi="Arial"/>
          <w:sz w:val="18"/>
          <w:szCs w:val="18"/>
          <w:color w:val="auto"/>
        </w:rPr>
      </w:pPr>
    </w:p>
    <w:p>
      <w:pPr>
        <w:jc w:val="both"/>
        <w:ind w:left="720" w:right="339" w:hanging="325"/>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w:t>
      </w:r>
    </w:p>
    <w:p>
      <w:pPr>
        <w:spacing w:after="0" w:line="1" w:lineRule="exact"/>
        <w:rPr>
          <w:rFonts w:ascii="Arial" w:cs="Arial" w:eastAsia="Arial" w:hAnsi="Arial"/>
          <w:sz w:val="18"/>
          <w:szCs w:val="18"/>
          <w:color w:val="auto"/>
        </w:rPr>
      </w:pPr>
    </w:p>
    <w:p>
      <w:pPr>
        <w:ind w:left="720" w:right="259" w:hanging="325"/>
        <w:spacing w:after="0" w:line="25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90"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As of March 31, 2020 and December 31, 2019, the carrying amount for cash and cash equivalents, trade accounts receivable (net of allowance for credit losses or net of allowance for doubtful accounts) and current liabilities (excluding the “Current portion of long-term debt and finance lease obligations”) was equal to or approximated fair value due to their short-term nature or proximity to current market rates. See Note 4 for the fair value of our marketable investment securities.</w:t>
      </w:r>
    </w:p>
    <w:p>
      <w:pPr>
        <w:spacing w:after="0" w:line="188" w:lineRule="exact"/>
        <w:rPr>
          <w:sz w:val="20"/>
          <w:szCs w:val="20"/>
          <w:color w:val="auto"/>
        </w:rPr>
      </w:pPr>
    </w:p>
    <w:p>
      <w:pPr>
        <w:ind w:left="40" w:right="139"/>
        <w:spacing w:after="0" w:line="275" w:lineRule="auto"/>
        <w:rPr>
          <w:sz w:val="20"/>
          <w:szCs w:val="20"/>
          <w:color w:val="auto"/>
        </w:rPr>
      </w:pPr>
      <w:r>
        <w:rPr>
          <w:rFonts w:ascii="Arial" w:cs="Arial" w:eastAsia="Arial" w:hAnsi="Arial"/>
          <w:sz w:val="17"/>
          <w:szCs w:val="17"/>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8 for the fair value of our long-term debt.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Our revenue is primarily derived from Pay-TV programming services that we provide to our subscribers. We also generate revenue from equipment rental fees and other hardware related fees, including DVRs and fees from subscribers with multiple receivers; advertising services; fees earned from our in-home service operations; warranty services; sales of digital receivers and related equipment to third-party pay-TV providers; satellite uplink and telemetry, tracking and control (“TT&amp;C”) services; and revenue from in-home services. See Note 11 for further information, including revenue disaggregated by major source.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59"/>
        <w:spacing w:after="0" w:line="291" w:lineRule="auto"/>
        <w:rPr>
          <w:sz w:val="20"/>
          <w:szCs w:val="20"/>
          <w:color w:val="auto"/>
        </w:rPr>
      </w:pPr>
      <w:r>
        <w:rPr>
          <w:rFonts w:ascii="Arial" w:cs="Arial" w:eastAsia="Arial" w:hAnsi="Arial"/>
          <w:sz w:val="16"/>
          <w:szCs w:val="16"/>
          <w:color w:val="auto"/>
        </w:rPr>
        <w:t>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w:t>
      </w:r>
    </w:p>
    <w:p>
      <w:pPr>
        <w:spacing w:after="0" w:line="166" w:lineRule="exact"/>
        <w:rPr>
          <w:sz w:val="20"/>
          <w:szCs w:val="20"/>
          <w:color w:val="auto"/>
        </w:rPr>
      </w:pPr>
    </w:p>
    <w:p>
      <w:pPr>
        <w:ind w:left="40" w:right="59"/>
        <w:spacing w:after="0" w:line="255" w:lineRule="auto"/>
        <w:rPr>
          <w:sz w:val="20"/>
          <w:szCs w:val="20"/>
          <w:color w:val="auto"/>
        </w:rPr>
      </w:pPr>
      <w:r>
        <w:rPr>
          <w:rFonts w:ascii="Arial" w:cs="Arial" w:eastAsia="Arial" w:hAnsi="Arial"/>
          <w:sz w:val="18"/>
          <w:szCs w:val="18"/>
          <w:color w:val="auto"/>
        </w:rPr>
        <w:t>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w:t>
      </w:r>
    </w:p>
    <w:p>
      <w:pPr>
        <w:spacing w:after="0" w:line="192"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 xml:space="preserve">For our residential video subscribers, we have concluded that the contract term under Accounting Standard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is one month and as a result the revenue recognized for these subscribers for a given month is equal to the amount billed in that month, except for certain nonrefundable upfront fees that are accounted for as material rights, as discussed above.</w:t>
      </w:r>
    </w:p>
    <w:p>
      <w:pPr>
        <w:spacing w:after="0" w:line="187"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 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40" w:right="259"/>
        <w:spacing w:after="0" w:line="254" w:lineRule="auto"/>
        <w:rPr>
          <w:sz w:val="20"/>
          <w:szCs w:val="20"/>
          <w:color w:val="auto"/>
        </w:rPr>
      </w:pPr>
      <w:r>
        <w:rPr>
          <w:rFonts w:ascii="Arial" w:cs="Arial" w:eastAsia="Arial" w:hAnsi="Arial"/>
          <w:sz w:val="18"/>
          <w:szCs w:val="18"/>
          <w:color w:val="auto"/>
        </w:rPr>
        <w:t>The timing of revenue recognition generally differs from the timing of invoicing to customers. When revenue is recognized prior to invoicing, we record a receivable. When revenue is recognized subsequent to invoicing, we record deferred revenue. Our residential video subscribers are typically billed monthly, and the contract balances for those customers arise from the timing of the monthly billing cycle. We do not adjust the amount of consideration for financing impacts as we apply a practical expedient when we anticipate that the period between transfer of goods and services and eventual payment for those goods and services will be less than one year. See Note 12 for further information, including balance and activity detail about our allowance for doubtful accounts and deferred revenue related to contracts with subscribers.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Assets Recognized Related to the Costs to Obtain a Contract with a Subscriber</w:t>
      </w:r>
    </w:p>
    <w:p>
      <w:pPr>
        <w:spacing w:after="0" w:line="225"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We recognize an asset for the incremental costs of obtaining a contract with a subscriber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subscriber life. During the three months ended March 31, 2020 and 2019, we capitalized $38 million and $37 million, respectively, under these programs. The amortization expense related to these programs was $27 million and $14 million for the three months ended March 31, 2020 and 2019, respectively. As of March 31, 2020 and December 31, 2019, we had a total of $311 million and $300 million, respectively, capitalized on our Condensed Consolidated Balance Sheets. These amounts are capitalized in “Other current assets” and “Other noncurrent assets, net” on our Condensed Consolidated Balance Sheets, and then amortized in “Other subscriber acquisition costs” on our Condensed Consolidated Statements of Operations and Comprehensive Income (Loss).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40" w:right="59"/>
        <w:spacing w:after="0" w:line="286" w:lineRule="auto"/>
        <w:rPr>
          <w:sz w:val="20"/>
          <w:szCs w:val="20"/>
          <w:color w:val="auto"/>
        </w:rPr>
      </w:pPr>
      <w:r>
        <w:rPr>
          <w:rFonts w:ascii="Arial" w:cs="Arial" w:eastAsia="Arial" w:hAnsi="Arial"/>
          <w:sz w:val="17"/>
          <w:szCs w:val="17"/>
          <w:color w:val="auto"/>
        </w:rPr>
        <w:t>We enter into operating and finance leases for, among other things, satellites, office space, warehouses and distribution centers, vehicles, and other equipment. Our leases have remaining lease terms from one to 12 years, some of which include renewal options, and some of which include options to terminate the leases within one year.</w:t>
      </w:r>
    </w:p>
    <w:p>
      <w:pPr>
        <w:spacing w:after="0" w:line="165"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We determine if an arrangement is a lease and classify that lease as either an operating or finance lease at inception. Operating leases are included in “Operating lease assets,” “Other accrued expenses” and “Operating lease liabilities” on our Condensed Consolidated Balance Sheets. Finance leases are included in “Property and equipment, net,” “Current portion of long-term debt and finance lease obligations” and “Long-term debt and finance lease obligations, net of current portion” on our Condensed Consolidated Balance Sheets. Leases with an initial term of 12 months or less are not recorded on the balance sheet and we recognize lease expense for these leases on a straight-line basis over the lease term on our Condensed Consolidated Statements of Operations and Comprehensive Income (Loss). See Note 7 for further information on our lease expenses.</w:t>
      </w:r>
    </w:p>
    <w:p>
      <w:pPr>
        <w:spacing w:after="0" w:line="192" w:lineRule="exact"/>
        <w:rPr>
          <w:sz w:val="20"/>
          <w:szCs w:val="20"/>
          <w:color w:val="auto"/>
        </w:rPr>
      </w:pPr>
    </w:p>
    <w:p>
      <w:pPr>
        <w:ind w:left="40" w:right="159"/>
        <w:spacing w:after="0" w:line="271" w:lineRule="auto"/>
        <w:rPr>
          <w:sz w:val="20"/>
          <w:szCs w:val="20"/>
          <w:color w:val="auto"/>
        </w:rPr>
      </w:pPr>
      <w:r>
        <w:rPr>
          <w:rFonts w:ascii="Arial" w:cs="Arial" w:eastAsia="Arial" w:hAnsi="Arial"/>
          <w:sz w:val="17"/>
          <w:szCs w:val="17"/>
          <w:color w:val="auto"/>
        </w:rPr>
        <w:t>Right of use (“ROU”)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When our leases do not provide an implicit rate, we use our incremental borrowing rate based on the information available at commencement date in determining the present value of lease payments. The operating lease ROU asset also includes the impact of prepaid or deferred lease payments.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178" w:lineRule="exact"/>
        <w:rPr>
          <w:sz w:val="20"/>
          <w:szCs w:val="20"/>
          <w:color w:val="auto"/>
        </w:rPr>
      </w:pPr>
    </w:p>
    <w:p>
      <w:pPr>
        <w:ind w:left="40" w:right="319"/>
        <w:spacing w:after="0" w:line="293" w:lineRule="auto"/>
        <w:rPr>
          <w:sz w:val="20"/>
          <w:szCs w:val="20"/>
          <w:color w:val="auto"/>
        </w:rPr>
      </w:pPr>
      <w:r>
        <w:rPr>
          <w:rFonts w:ascii="Arial" w:cs="Arial" w:eastAsia="Arial" w:hAnsi="Arial"/>
          <w:sz w:val="16"/>
          <w:szCs w:val="16"/>
          <w:color w:val="auto"/>
        </w:rPr>
        <w:t>We currently lease and historically have leased certain assets from EchoStar, including, among other things, satellites, office space and data centers. See Note 13 for further information on our Related Party Transactions with EchoStar. On May 19, 2019, DISH Network entered into a Master Transaction Agreement with EchoStar and effective September 10, 2019, certain satellites and real estate assets leased from EchoStar were transferred to DISH Network. See Note 13 “</w:t>
      </w:r>
      <w:r>
        <w:rPr>
          <w:rFonts w:ascii="Arial" w:cs="Arial" w:eastAsia="Arial" w:hAnsi="Arial"/>
          <w:sz w:val="16"/>
          <w:szCs w:val="16"/>
          <w:i w:val="1"/>
          <w:iCs w:val="1"/>
          <w:color w:val="auto"/>
        </w:rPr>
        <w:t>Related Party Transactions – Master Transaction Agreement”</w:t>
      </w:r>
      <w:r>
        <w:rPr>
          <w:rFonts w:ascii="Arial" w:cs="Arial" w:eastAsia="Arial" w:hAnsi="Arial"/>
          <w:sz w:val="16"/>
          <w:szCs w:val="16"/>
          <w:color w:val="auto"/>
        </w:rPr>
        <w:t xml:space="preserve"> in the Notes to DISH Network’s Quarterly Report on Form 10-Q for the quarter ended March 31, 2020 for further information on the Master Transaction Agreement.</w:t>
      </w:r>
    </w:p>
    <w:p>
      <w:pPr>
        <w:spacing w:after="0" w:line="164"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Our variable lease payments are immaterial and our lease agreements do not contain any material residual value guarantees or material restrictive covenants.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spacing w:after="0" w:line="187" w:lineRule="exact"/>
        <w:rPr>
          <w:sz w:val="20"/>
          <w:szCs w:val="20"/>
          <w:color w:val="auto"/>
        </w:rPr>
      </w:pPr>
    </w:p>
    <w:p>
      <w:pPr>
        <w:ind w:left="40" w:right="239"/>
        <w:spacing w:after="0" w:line="301" w:lineRule="auto"/>
        <w:rPr>
          <w:sz w:val="20"/>
          <w:szCs w:val="20"/>
          <w:color w:val="auto"/>
        </w:rPr>
      </w:pPr>
      <w:r>
        <w:rPr>
          <w:rFonts w:ascii="Arial" w:cs="Arial" w:eastAsia="Arial" w:hAnsi="Arial"/>
          <w:sz w:val="16"/>
          <w:szCs w:val="16"/>
          <w:color w:val="auto"/>
        </w:rPr>
        <w:t>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revenue related to equipment leased to new and existing DISH TV subscribers would have otherwise been accounted for as an operating lease.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Impact of Adoption of ASU 2016-02</w:t>
      </w:r>
    </w:p>
    <w:p>
      <w:pPr>
        <w:spacing w:after="0" w:line="225"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and has modified the standard thereafter. We adopted ASU 2016-02, as modified, on January 1, 2019 using the modified retrospective method. Under the modified retrospective method, we applied the new guidance to all leases that commenced before and were existing as of January 1, 2019.</w:t>
      </w:r>
    </w:p>
    <w:p>
      <w:pPr>
        <w:spacing w:after="0" w:line="187" w:lineRule="exact"/>
        <w:rPr>
          <w:sz w:val="20"/>
          <w:szCs w:val="20"/>
          <w:color w:val="auto"/>
        </w:rPr>
      </w:pPr>
    </w:p>
    <w:p>
      <w:pPr>
        <w:ind w:left="40" w:right="699"/>
        <w:spacing w:after="0" w:line="263" w:lineRule="auto"/>
        <w:rPr>
          <w:sz w:val="20"/>
          <w:szCs w:val="20"/>
          <w:color w:val="auto"/>
        </w:rPr>
      </w:pPr>
      <w:r>
        <w:rPr>
          <w:rFonts w:ascii="Arial" w:cs="Arial" w:eastAsia="Arial" w:hAnsi="Arial"/>
          <w:sz w:val="18"/>
          <w:szCs w:val="18"/>
          <w:color w:val="auto"/>
        </w:rPr>
        <w:t>The adoption of ASU 2016-02 had no impact on our Condensed Consolidated Statements of Operations and Comprehensive Income (Loss) and cash flows from operating, investing and financing activities on our Condensed Consolidated Statements of Cash Flows.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totaled $6 million and $5 million for the three months ended March 31, 2020 and 2019, respectively.</w:t>
      </w:r>
    </w:p>
    <w:p>
      <w:pPr>
        <w:spacing w:after="0" w:line="315" w:lineRule="exact"/>
        <w:rPr>
          <w:sz w:val="20"/>
          <w:szCs w:val="20"/>
          <w:color w:val="auto"/>
        </w:rPr>
      </w:pPr>
    </w:p>
    <w:p>
      <w:pPr>
        <w:ind w:left="360" w:hanging="316"/>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162" w:lineRule="exact"/>
        <w:rPr>
          <w:sz w:val="20"/>
          <w:szCs w:val="20"/>
          <w:color w:val="auto"/>
        </w:rPr>
      </w:pPr>
    </w:p>
    <w:p>
      <w:pPr>
        <w:ind w:left="40" w:right="339"/>
        <w:spacing w:after="0" w:line="258"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4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r>
      <w:tr>
        <w:trPr>
          <w:trHeight w:val="210"/>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left="670"/>
              <w:spacing w:after="0"/>
              <w:rPr>
                <w:sz w:val="20"/>
                <w:szCs w:val="20"/>
                <w:color w:val="auto"/>
              </w:rPr>
            </w:pPr>
            <w:r>
              <w:rPr>
                <w:rFonts w:ascii="Arial" w:cs="Arial" w:eastAsia="Arial" w:hAnsi="Arial"/>
                <w:sz w:val="18"/>
                <w:szCs w:val="18"/>
                <w:color w:val="auto"/>
                <w:w w:val="90"/>
              </w:rPr>
              <w:t>(In thousands)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174,647</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226,535</w:t>
            </w: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 received for interest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2,935</w:t>
            </w: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 paid for income taxes to DISH Network</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90,617</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78,143</w:t>
            </w: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2"/>
              </w:rPr>
              <w:t>Reclassification of a receivable from noncurrent to current</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138,210</w:t>
            </w:r>
          </w:p>
        </w:tc>
        <w:tc>
          <w:tcPr>
            <w:tcW w:w="200" w:type="dxa"/>
            <w:vAlign w:val="bottom"/>
          </w:tcPr>
          <w:p>
            <w:pPr>
              <w:spacing w:after="0"/>
              <w:rPr>
                <w:sz w:val="20"/>
                <w:szCs w:val="20"/>
                <w:color w:val="auto"/>
              </w:rPr>
            </w:pPr>
          </w:p>
        </w:tc>
      </w:tr>
      <w:tr>
        <w:trPr>
          <w:trHeight w:val="782"/>
        </w:trPr>
        <w:tc>
          <w:tcPr>
            <w:tcW w:w="4300" w:type="dxa"/>
            <w:vAlign w:val="bottom"/>
          </w:tcPr>
          <w:p>
            <w:pPr>
              <w:spacing w:after="0"/>
              <w:rPr>
                <w:sz w:val="24"/>
                <w:szCs w:val="24"/>
                <w:color w:val="auto"/>
              </w:rPr>
            </w:pPr>
          </w:p>
        </w:tc>
        <w:tc>
          <w:tcPr>
            <w:tcW w:w="1080" w:type="dxa"/>
            <w:vAlign w:val="bottom"/>
          </w:tcPr>
          <w:p>
            <w:pPr>
              <w:jc w:val="right"/>
              <w:ind w:right="73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7"/>
        </w:trPr>
        <w:tc>
          <w:tcPr>
            <w:tcW w:w="4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Our parent, DISH Network, provides a centralized system for the management of our cash and marketable investment securities as it does for all of its subsidiaries to, among other reasons, maximize yield of the portfolio. As a result, the cash and marketable investment securities included on our Condensed Consolidated Balance Sheets is a component or portion of the overall cash and marketable investment securities portfolio included on DISH Network’s Condensed Consolidated Balance Sheets and managed by DISH Network. We are reflecting the purchases and sales of marketable investment securities on a net basis for each period presented on our Condensed Consolidated Statements of Cash Flows as we believe the net presentation is more meaningful to our cash flows from investing activities.</w:t>
      </w:r>
    </w:p>
    <w:p>
      <w:pPr>
        <w:spacing w:after="0" w:line="230" w:lineRule="exact"/>
        <w:rPr>
          <w:sz w:val="20"/>
          <w:szCs w:val="20"/>
          <w:color w:val="auto"/>
        </w:rPr>
      </w:pPr>
    </w:p>
    <w:p>
      <w:pPr>
        <w:ind w:left="360" w:hanging="316"/>
        <w:spacing w:after="0"/>
        <w:tabs>
          <w:tab w:leader="none" w:pos="3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Investment Securities, Restricted Cash and Cash Equivalents, and Other Investment Securities</w:t>
      </w:r>
    </w:p>
    <w:p>
      <w:pPr>
        <w:spacing w:after="0" w:line="173" w:lineRule="exact"/>
        <w:rPr>
          <w:sz w:val="20"/>
          <w:szCs w:val="20"/>
          <w:color w:val="auto"/>
        </w:rPr>
      </w:pPr>
    </w:p>
    <w:p>
      <w:pPr>
        <w:ind w:left="40" w:right="139"/>
        <w:spacing w:after="0" w:line="258" w:lineRule="auto"/>
        <w:rPr>
          <w:sz w:val="20"/>
          <w:szCs w:val="20"/>
          <w:color w:val="auto"/>
        </w:rPr>
      </w:pPr>
      <w:r>
        <w:rPr>
          <w:rFonts w:ascii="Arial" w:cs="Arial" w:eastAsia="Arial" w:hAnsi="Arial"/>
          <w:sz w:val="18"/>
          <w:szCs w:val="18"/>
          <w:color w:val="auto"/>
        </w:rPr>
        <w:t>Our marketable investment securities, restricted cash and cash equivalents, and other investment securities consisted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As of</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32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4"/>
          </w:tcPr>
          <w:p>
            <w:pPr>
              <w:jc w:val="right"/>
              <w:ind w:right="9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marketable investment securities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60,532</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marketable investment securities (1)</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marketable investment securities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Restricted cash and cash equivalents (1)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60,900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Other investment securities: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securities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investment securities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Pr>
          <w:p>
            <w:pPr>
              <w:spacing w:after="0" w:line="198" w:lineRule="exact"/>
              <w:rPr>
                <w:sz w:val="20"/>
                <w:szCs w:val="20"/>
                <w:color w:val="auto"/>
              </w:rPr>
            </w:pPr>
            <w:r>
              <w:rPr>
                <w:rFonts w:ascii="Arial" w:cs="Arial" w:eastAsia="Arial" w:hAnsi="Arial"/>
                <w:sz w:val="18"/>
                <w:szCs w:val="18"/>
                <w:b w:val="1"/>
                <w:bCs w:val="1"/>
                <w:color w:val="auto"/>
              </w:rPr>
              <w:t>Total marketable investment securities, restricted cash and cash</w:t>
            </w:r>
          </w:p>
        </w:tc>
        <w:tc>
          <w:tcPr>
            <w:tcW w:w="220" w:type="dxa"/>
            <w:vAlign w:val="bottom"/>
            <w:vMerge w:val="restart"/>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229,028</w:t>
            </w:r>
          </w:p>
        </w:tc>
        <w:tc>
          <w:tcPr>
            <w:tcW w:w="180" w:type="dxa"/>
            <w:vAlign w:val="bottom"/>
          </w:tcPr>
          <w:p>
            <w:pPr>
              <w:spacing w:after="0"/>
              <w:rPr>
                <w:sz w:val="17"/>
                <w:szCs w:val="17"/>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167,941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80" w:type="dxa"/>
            <w:vAlign w:val="bottom"/>
          </w:tcPr>
          <w:p>
            <w:pPr>
              <w:spacing w:after="0"/>
              <w:rPr>
                <w:sz w:val="20"/>
                <w:szCs w:val="20"/>
                <w:color w:val="auto"/>
              </w:rPr>
            </w:pPr>
            <w:r>
              <w:rPr>
                <w:rFonts w:ascii="Arial" w:cs="Arial" w:eastAsia="Arial" w:hAnsi="Arial"/>
                <w:sz w:val="18"/>
                <w:szCs w:val="18"/>
                <w:b w:val="1"/>
                <w:bCs w:val="1"/>
                <w:color w:val="auto"/>
              </w:rPr>
              <w:t>equivalents, and other investment securities</w:t>
            </w:r>
          </w:p>
        </w:tc>
        <w:tc>
          <w:tcPr>
            <w:tcW w:w="2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219" w:hanging="316"/>
        <w:spacing w:after="0" w:line="308" w:lineRule="auto"/>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Restricted marketable investment securities and restricted cash and cash equivalents are included in “Restricted cash, cash equivalents and marketable investment securities” on our Condensed Consolidated Balance Sheets.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58"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“Total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Marketable Investment Securities</w:t>
      </w:r>
    </w:p>
    <w:p>
      <w:pPr>
        <w:spacing w:after="0" w:line="225" w:lineRule="exact"/>
        <w:rPr>
          <w:sz w:val="20"/>
          <w:szCs w:val="20"/>
          <w:color w:val="auto"/>
        </w:rPr>
      </w:pPr>
    </w:p>
    <w:p>
      <w:pPr>
        <w:ind w:left="40" w:right="519"/>
        <w:spacing w:after="0" w:line="342" w:lineRule="auto"/>
        <w:rPr>
          <w:sz w:val="20"/>
          <w:szCs w:val="20"/>
          <w:color w:val="auto"/>
        </w:rPr>
      </w:pPr>
      <w:r>
        <w:rPr>
          <w:rFonts w:ascii="Arial" w:cs="Arial" w:eastAsia="Arial" w:hAnsi="Arial"/>
          <w:sz w:val="16"/>
          <w:szCs w:val="16"/>
          <w:color w:val="auto"/>
        </w:rPr>
        <w:t>Our current marketable investment securities portfolio can include investments in various debt instruments including, among others, commercial paper, corporate securities and United States treasury and/or agency securities.</w:t>
      </w:r>
    </w:p>
    <w:p>
      <w:pPr>
        <w:spacing w:after="0" w:line="124" w:lineRule="exact"/>
        <w:rPr>
          <w:sz w:val="20"/>
          <w:szCs w:val="20"/>
          <w:color w:val="auto"/>
        </w:rPr>
      </w:pPr>
    </w:p>
    <w:p>
      <w:pPr>
        <w:ind w:left="40" w:right="399"/>
        <w:spacing w:after="0" w:line="259" w:lineRule="auto"/>
        <w:rPr>
          <w:sz w:val="20"/>
          <w:szCs w:val="20"/>
          <w:color w:val="auto"/>
        </w:rPr>
      </w:pPr>
      <w:r>
        <w:rPr>
          <w:rFonts w:ascii="Arial" w:cs="Arial" w:eastAsia="Arial" w:hAnsi="Arial"/>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225" w:lineRule="exact"/>
        <w:rPr>
          <w:sz w:val="20"/>
          <w:szCs w:val="20"/>
          <w:color w:val="auto"/>
        </w:rPr>
      </w:pPr>
    </w:p>
    <w:p>
      <w:pPr>
        <w:ind w:left="40" w:right="139"/>
        <w:spacing w:after="0" w:line="308" w:lineRule="auto"/>
        <w:rPr>
          <w:sz w:val="20"/>
          <w:szCs w:val="20"/>
          <w:color w:val="auto"/>
        </w:rPr>
      </w:pPr>
      <w:r>
        <w:rPr>
          <w:rFonts w:ascii="Arial" w:cs="Arial" w:eastAsia="Arial" w:hAnsi="Arial"/>
          <w:sz w:val="17"/>
          <w:szCs w:val="17"/>
          <w:color w:val="auto"/>
        </w:rPr>
        <w:t>As of March 31, 2020 and December 31, 2019, our restricted marketable investment securities, together with our restricted cash and cash equivalents, included amounts required as collateral for our letters of credit and trusts.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Investment Securities</w:t>
      </w:r>
    </w:p>
    <w:p>
      <w:pPr>
        <w:spacing w:after="0" w:line="225"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 securities” on our Condensed Consolidated Balance Sheets. Our debt securities are classified as available-for-sale and our equity securities are accounted for using the equity method of accounting or recorded at fair value. Certain of our equity method investments are detailed below.</w:t>
      </w:r>
    </w:p>
    <w:p>
      <w:pPr>
        <w:spacing w:after="0" w:line="187" w:lineRule="exact"/>
        <w:rPr>
          <w:sz w:val="20"/>
          <w:szCs w:val="20"/>
          <w:color w:val="auto"/>
        </w:rPr>
      </w:pPr>
    </w:p>
    <w:p>
      <w:pPr>
        <w:jc w:val="both"/>
        <w:ind w:left="40" w:right="419"/>
        <w:spacing w:after="0" w:line="286" w:lineRule="auto"/>
        <w:rPr>
          <w:sz w:val="20"/>
          <w:szCs w:val="20"/>
          <w:color w:val="auto"/>
        </w:rPr>
      </w:pPr>
      <w:r>
        <w:rPr>
          <w:rFonts w:ascii="Arial" w:cs="Arial" w:eastAsia="Arial" w:hAnsi="Arial"/>
          <w:sz w:val="17"/>
          <w:szCs w:val="17"/>
          <w:i w:val="1"/>
          <w:iCs w:val="1"/>
          <w:color w:val="auto"/>
        </w:rPr>
        <w:t xml:space="preserve">NagraStar L.L.C. </w:t>
      </w:r>
      <w:r>
        <w:rPr>
          <w:rFonts w:ascii="Arial" w:cs="Arial" w:eastAsia="Arial" w:hAnsi="Arial"/>
          <w:sz w:val="17"/>
          <w:szCs w:val="17"/>
          <w:color w:val="auto"/>
        </w:rPr>
        <w:t>As a result of the completion of the share exchange on February 28, 2017, we own a 50%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NagraStar L.L.C. (“NagraStar”), a joint venture that is our primary provider of encryption and related security systems intended to assure that only authorized customers have access to our programming.</w:t>
      </w:r>
    </w:p>
    <w:p>
      <w:pPr>
        <w:spacing w:after="0" w:line="16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In November 2016, we, DIRECTV, LLC, a wholly-owned indirect subsidiary of AT&amp;T</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Cavendish Square Holding B.V., an affiliate of WPP plc, entered into a series of agreements to acquire Invidi Technologies Corporation (“Invidi”), an entity that provides proprietary software for the addressable advertising market. The transaction closed in January 2017.</w:t>
      </w:r>
    </w:p>
    <w:p>
      <w:pPr>
        <w:spacing w:after="0" w:line="187"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Our ability to realize value from our strategic investments in securities that are not publicly traded depends on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Gains (Losses) on Marketable Investment Securities</w:t>
      </w:r>
    </w:p>
    <w:p>
      <w:pPr>
        <w:spacing w:after="0" w:line="225"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As of March 31, 2020 and December 31, 2019, we had accumulated net unrealized losses of less than $1 million and zero, respectively. These amounts, net of related tax effect, were accumulated net unrealized losses of less than $1 million and zero, respectively. All of these amounts are included in “Accumulated other comprehensive income (loss)” within “Total stockholder’s equity (deficit).” The components of our available-for-sale investments are summarized in the table below.</w:t>
      </w:r>
    </w:p>
    <w:tbl>
      <w:tblPr>
        <w:tblLayout w:type="fixed"/>
        <w:tblInd w:w="4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March 31, 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8"/>
              </w:rPr>
              <w:t>As of December 31, 2019</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Marketable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1"/>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r>
      <w:tr>
        <w:trPr>
          <w:trHeight w:val="196"/>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5"/>
          </w:tcPr>
          <w:p>
            <w:pPr>
              <w:jc w:val="right"/>
              <w:ind w:right="308"/>
              <w:spacing w:after="0"/>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9"/>
              </w:rPr>
              <w:t>Debt securities (including restricted):</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500" w:type="dxa"/>
            <w:vAlign w:val="bottom"/>
          </w:tcPr>
          <w:p>
            <w:pPr>
              <w:ind w:left="120"/>
              <w:spacing w:after="0"/>
              <w:rPr>
                <w:sz w:val="20"/>
                <w:szCs w:val="20"/>
                <w:color w:val="auto"/>
              </w:rPr>
            </w:pPr>
            <w:r>
              <w:rPr>
                <w:rFonts w:ascii="Arial" w:cs="Arial" w:eastAsia="Arial" w:hAnsi="Arial"/>
                <w:sz w:val="14"/>
                <w:szCs w:val="14"/>
                <w:color w:val="auto"/>
              </w:rPr>
              <w:t>U.S. Treasury and agency securities</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paper</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r>
      <w:tr>
        <w:trPr>
          <w:trHeight w:val="216"/>
        </w:trPr>
        <w:tc>
          <w:tcPr>
            <w:tcW w:w="2500" w:type="dxa"/>
            <w:vAlign w:val="bottom"/>
          </w:tcPr>
          <w:p>
            <w:pPr>
              <w:ind w:left="120"/>
              <w:spacing w:after="0"/>
              <w:rPr>
                <w:sz w:val="20"/>
                <w:szCs w:val="20"/>
                <w:color w:val="auto"/>
              </w:rPr>
            </w:pPr>
            <w:r>
              <w:rPr>
                <w:rFonts w:ascii="Arial" w:cs="Arial" w:eastAsia="Arial" w:hAnsi="Arial"/>
                <w:sz w:val="14"/>
                <w:szCs w:val="14"/>
                <w:color w:val="auto"/>
              </w:rPr>
              <w:t>Corporate securities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r>
      <w:tr>
        <w:trPr>
          <w:trHeight w:val="183"/>
        </w:trPr>
        <w:tc>
          <w:tcPr>
            <w:tcW w:w="25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60,925</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r>
      <w:tr>
        <w:trPr>
          <w:trHeight w:val="20"/>
        </w:trPr>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As of March 31, 2020, restricted and non-restricted marketable investment securities included debt securities of $61 million with contractual maturities within one year. Actual maturities may differ from contractual maturities as a result of our ability to sell these securities prior to maturity.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4"/>
          </w:tcPr>
          <w:p>
            <w:pPr>
              <w:jc w:val="right"/>
              <w:ind w:right="168"/>
              <w:spacing w:after="0"/>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7"/>
              </w:rPr>
              <w:t>Cash equivalents (including restricted)</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301,922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90,375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211,547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60,677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56"/>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Debt securities (including restricted):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4"/>
                <w:szCs w:val="14"/>
                <w:color w:val="auto"/>
              </w:rPr>
              <w:t>U.S. Treasury and agency securities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890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390</w:t>
            </w:r>
          </w:p>
        </w:tc>
        <w:tc>
          <w:tcPr>
            <w:tcW w:w="14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203"/>
        </w:trPr>
        <w:tc>
          <w:tcPr>
            <w:tcW w:w="2540" w:type="dxa"/>
            <w:vAlign w:val="bottom"/>
          </w:tcPr>
          <w:p>
            <w:pPr>
              <w:spacing w:after="0"/>
              <w:rPr>
                <w:sz w:val="20"/>
                <w:szCs w:val="20"/>
                <w:color w:val="auto"/>
              </w:rPr>
            </w:pPr>
            <w:r>
              <w:rPr>
                <w:rFonts w:ascii="Arial" w:cs="Arial" w:eastAsia="Arial" w:hAnsi="Arial"/>
                <w:sz w:val="14"/>
                <w:szCs w:val="14"/>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7,473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r>
      <w:tr>
        <w:trPr>
          <w:trHeight w:val="202"/>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r>
      <w:tr>
        <w:trPr>
          <w:trHeight w:val="169"/>
        </w:trPr>
        <w:tc>
          <w:tcPr>
            <w:tcW w:w="25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60,925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60,035</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390</w:t>
            </w:r>
          </w:p>
        </w:tc>
        <w:tc>
          <w:tcPr>
            <w:tcW w:w="14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net” within “Other Income (Expense)” included on our Condensed Consolidated Statements of Operations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Comprehensive Income (Loss) is as follows: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net: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Pr>
          <w:p>
            <w:pPr>
              <w:spacing w:after="0"/>
              <w:rPr>
                <w:sz w:val="18"/>
                <w:szCs w:val="18"/>
                <w:color w:val="auto"/>
              </w:rPr>
            </w:pP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center"/>
              <w:ind w:right="30"/>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Marketable investment securities - realized and unrealized gains (losses)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Costs related to early redemption of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0" w:type="dxa"/>
            <w:vAlign w:val="bottom"/>
            <w:shd w:val="clear" w:color="auto" w:fill="CCEEFF"/>
          </w:tcPr>
          <w:p>
            <w:pPr>
              <w:spacing w:after="0"/>
              <w:rPr>
                <w:sz w:val="18"/>
                <w:szCs w:val="18"/>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tcPr>
          <w:p>
            <w:pPr>
              <w:spacing w:after="0"/>
              <w:rPr>
                <w:sz w:val="18"/>
                <w:szCs w:val="18"/>
                <w:color w:val="auto"/>
              </w:rPr>
            </w:pPr>
          </w:p>
        </w:tc>
      </w:tr>
      <w:tr>
        <w:trPr>
          <w:trHeight w:val="210"/>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5.  Inventory</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40" w:type="dxa"/>
            <w:vAlign w:val="bottom"/>
          </w:tcPr>
          <w:p>
            <w:pPr>
              <w:spacing w:after="0"/>
              <w:rPr>
                <w:sz w:val="20"/>
                <w:szCs w:val="20"/>
                <w:color w:val="auto"/>
              </w:rPr>
            </w:pPr>
            <w:r>
              <w:rPr>
                <w:rFonts w:ascii="Arial" w:cs="Arial" w:eastAsia="Arial" w:hAnsi="Arial"/>
                <w:sz w:val="18"/>
                <w:szCs w:val="18"/>
                <w:color w:val="auto"/>
              </w:rPr>
              <w:t>Inventory consisted of the following:</w:t>
            </w:r>
          </w:p>
        </w:tc>
        <w:tc>
          <w:tcPr>
            <w:tcW w:w="320" w:type="dxa"/>
            <w:vAlign w:val="bottom"/>
          </w:tcPr>
          <w:p>
            <w:pPr>
              <w:spacing w:after="0"/>
              <w:rPr>
                <w:sz w:val="24"/>
                <w:szCs w:val="24"/>
                <w:color w:val="auto"/>
              </w:rPr>
            </w:pPr>
          </w:p>
        </w:tc>
        <w:tc>
          <w:tcPr>
            <w:tcW w:w="2200" w:type="dxa"/>
            <w:vAlign w:val="bottom"/>
            <w:gridSpan w:val="4"/>
            <w:vMerge w:val="restart"/>
          </w:tcPr>
          <w:p>
            <w:pPr>
              <w:jc w:val="right"/>
              <w:ind w:right="289"/>
              <w:spacing w:after="0"/>
              <w:rPr>
                <w:sz w:val="20"/>
                <w:szCs w:val="20"/>
                <w:color w:val="auto"/>
              </w:rPr>
            </w:pPr>
            <w:r>
              <w:rPr>
                <w:rFonts w:ascii="Arial" w:cs="Arial" w:eastAsia="Arial" w:hAnsi="Arial"/>
                <w:sz w:val="18"/>
                <w:szCs w:val="18"/>
                <w:b w:val="1"/>
                <w:bCs w:val="1"/>
                <w:color w:val="auto"/>
              </w:rPr>
              <w:t>As of</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vMerge w:val="continue"/>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35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276,874</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Work-in-process and service repairs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26,954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inventory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324,709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4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Depreciable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1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Life</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93"/>
              </w:rPr>
              <w:t>March 31,</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(In Years)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6"/>
          </w:tcPr>
          <w:p>
            <w:pPr>
              <w:jc w:val="right"/>
              <w:ind w:right="920"/>
              <w:spacing w:after="0"/>
              <w:rPr>
                <w:sz w:val="20"/>
                <w:szCs w:val="20"/>
                <w:color w:val="auto"/>
              </w:rPr>
            </w:pPr>
            <w:r>
              <w:rPr>
                <w:rFonts w:ascii="Arial" w:cs="Arial" w:eastAsia="Arial" w:hAnsi="Arial"/>
                <w:sz w:val="18"/>
                <w:szCs w:val="18"/>
                <w:color w:val="auto"/>
                <w:w w:val="88"/>
              </w:rPr>
              <w:t>(In thousands)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1,797,144</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EchoStar XV</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277,658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277,658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EchoStar XVIII</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411,255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Satellites acquired under finance lease agreements</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398,107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398,107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2-20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1,925,852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1,894,629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4"/>
              </w:rPr>
              <w:t>5-40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291,882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289,421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13,186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58,638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5,173,722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5,191,840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5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(3,468,752)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(3,440,267)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5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1,704,970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1,751,573</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Depreciation and amortization expense consisted of the following:</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00" w:type="dxa"/>
            <w:vAlign w:val="bottom"/>
            <w:gridSpan w:val="11"/>
          </w:tcPr>
          <w:p>
            <w:pPr>
              <w:jc w:val="center"/>
              <w:ind w:right="70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93"/>
              </w:rPr>
              <w:t>March 31,</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2020</w:t>
            </w: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6"/>
          </w:tcPr>
          <w:p>
            <w:pPr>
              <w:jc w:val="center"/>
              <w:ind w:left="90"/>
              <w:spacing w:after="0"/>
              <w:rPr>
                <w:sz w:val="20"/>
                <w:szCs w:val="20"/>
                <w:color w:val="auto"/>
              </w:rPr>
            </w:pPr>
            <w:r>
              <w:rPr>
                <w:rFonts w:ascii="Arial" w:cs="Arial" w:eastAsia="Arial" w:hAnsi="Arial"/>
                <w:sz w:val="18"/>
                <w:szCs w:val="18"/>
                <w:color w:val="auto"/>
                <w:w w:val="90"/>
              </w:rPr>
              <w:t>(In thousands)</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w:t>
            </w:r>
          </w:p>
        </w:tc>
        <w:tc>
          <w:tcPr>
            <w:tcW w:w="11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79,682</w:t>
            </w:r>
          </w:p>
        </w:tc>
        <w:tc>
          <w:tcPr>
            <w:tcW w:w="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Satellites</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fixtures, equipment and other</w:t>
            </w:r>
          </w:p>
        </w:tc>
        <w:tc>
          <w:tcPr>
            <w:tcW w:w="5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560" w:type="dxa"/>
            <w:vAlign w:val="bottom"/>
          </w:tcPr>
          <w:p>
            <w:pPr>
              <w:spacing w:after="0"/>
              <w:rPr>
                <w:sz w:val="18"/>
                <w:szCs w:val="18"/>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135,085</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expense related to satellites or equipment leased to customers.</w:t>
      </w:r>
    </w:p>
    <w:p>
      <w:pPr>
        <w:spacing w:after="0" w:line="184"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b w:val="1"/>
          <w:bCs w:val="1"/>
          <w:i w:val="1"/>
          <w:iCs w:val="1"/>
          <w:color w:val="auto"/>
        </w:rPr>
        <w:t xml:space="preserve">Pay-TV Satellites. </w:t>
      </w:r>
      <w:r>
        <w:rPr>
          <w:rFonts w:ascii="Arial" w:cs="Arial" w:eastAsia="Arial" w:hAnsi="Arial"/>
          <w:sz w:val="18"/>
          <w:szCs w:val="18"/>
          <w:color w:val="auto"/>
        </w:rPr>
        <w:t>We currently utilize 11 satellites in geostationary orbit approximately 22,300 miles above the equator,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of which we own and depreciate over their estimated useful life. We currently utilize certain capacity on six satellites that we lease from DISH Network, one satellite that we lease from EchoStar, and two satellites that we lease from third parties. All leased satellites are accounted for as operating leases except Nimiq 5 and Anik F3, which are accounted for as financing leases and are depreciated over their economic life.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March 31, 2020, our pay-TV satellite fleet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Degree</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Launch</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Orbital</w:t>
            </w:r>
          </w:p>
        </w:tc>
        <w:tc>
          <w:tcPr>
            <w:tcW w:w="21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Satellites</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Location</w:t>
            </w:r>
          </w:p>
        </w:tc>
        <w:tc>
          <w:tcPr>
            <w:tcW w:w="21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Termination Date</w:t>
            </w:r>
          </w:p>
        </w:tc>
      </w:tr>
      <w:tr>
        <w:trPr>
          <w:trHeight w:val="209"/>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Owned:</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EchoStar XV</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July 2010</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61.5</w:t>
            </w:r>
          </w:p>
        </w:tc>
        <w:tc>
          <w:tcPr>
            <w:tcW w:w="20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rPr>
              <w:t>N/A</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XVIII</w:t>
            </w:r>
          </w:p>
        </w:tc>
        <w:tc>
          <w:tcPr>
            <w:tcW w:w="2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June 2016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61.5</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N/A</w:t>
            </w: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Leased from EchoStar (1):</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EchoStar IX</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August 2003</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121</w:t>
            </w:r>
          </w:p>
        </w:tc>
        <w:tc>
          <w:tcPr>
            <w:tcW w:w="20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Month to month</w:t>
            </w: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Leased from DISH Network (2):</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w:t>
            </w:r>
          </w:p>
        </w:tc>
        <w:tc>
          <w:tcPr>
            <w:tcW w:w="2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February 2006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February 2021</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EchoStar XI</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July 2008</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20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September 2021</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XIV</w:t>
            </w:r>
          </w:p>
        </w:tc>
        <w:tc>
          <w:tcPr>
            <w:tcW w:w="2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March 2010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February 2023</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EchoStar XVI</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November 2012</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61.5</w:t>
            </w:r>
          </w:p>
        </w:tc>
        <w:tc>
          <w:tcPr>
            <w:tcW w:w="20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January 2023</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Nimiq 5 (3)</w:t>
            </w:r>
          </w:p>
        </w:tc>
        <w:tc>
          <w:tcPr>
            <w:tcW w:w="2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September 2009</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72.7</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September 2020</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QuetzSat-1</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2011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0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November 2021</w:t>
            </w: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Leased from Other Third Party:</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Anik F3</w:t>
            </w:r>
          </w:p>
        </w:tc>
        <w:tc>
          <w:tcPr>
            <w:tcW w:w="2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April 2007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118.7</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8"/>
              </w:rPr>
              <w:t>April 2022</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Ciel II</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December 2008</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129</w:t>
            </w:r>
          </w:p>
        </w:tc>
        <w:tc>
          <w:tcPr>
            <w:tcW w:w="200" w:type="dxa"/>
            <w:vAlign w:val="bottom"/>
          </w:tcPr>
          <w:p>
            <w:pPr>
              <w:spacing w:after="0"/>
              <w:rPr>
                <w:sz w:val="20"/>
                <w:szCs w:val="20"/>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January 2021</w:t>
            </w:r>
          </w:p>
        </w:tc>
      </w:tr>
    </w:tbl>
    <w:p>
      <w:pPr>
        <w:spacing w:after="0" w:line="187" w:lineRule="exact"/>
        <w:rPr>
          <w:sz w:val="20"/>
          <w:szCs w:val="20"/>
          <w:color w:val="auto"/>
        </w:rPr>
      </w:pPr>
    </w:p>
    <w:p>
      <w:pPr>
        <w:ind w:left="360" w:hanging="31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13 for further information on our Related Party Transactions with EchoStar.</w:t>
      </w:r>
    </w:p>
    <w:p>
      <w:pPr>
        <w:spacing w:after="0" w:line="23" w:lineRule="exact"/>
        <w:rPr>
          <w:rFonts w:ascii="Arial" w:cs="Arial" w:eastAsia="Arial" w:hAnsi="Arial"/>
          <w:sz w:val="18"/>
          <w:szCs w:val="18"/>
          <w:color w:val="auto"/>
        </w:rPr>
      </w:pPr>
    </w:p>
    <w:p>
      <w:pPr>
        <w:ind w:left="360" w:hanging="31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13 for further information on our Related Party Transactions with DISH Network.</w:t>
      </w:r>
    </w:p>
    <w:p>
      <w:pPr>
        <w:spacing w:after="0" w:line="9" w:lineRule="exact"/>
        <w:rPr>
          <w:rFonts w:ascii="Arial" w:cs="Arial" w:eastAsia="Arial" w:hAnsi="Arial"/>
          <w:sz w:val="18"/>
          <w:szCs w:val="18"/>
          <w:color w:val="auto"/>
        </w:rPr>
      </w:pPr>
    </w:p>
    <w:p>
      <w:pPr>
        <w:ind w:left="360" w:right="119" w:hanging="316"/>
        <w:spacing w:after="0" w:line="253"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Nimiq 5 satellite, for which we have the option to renew on a year-to-year basis through September 2024 (when DISH Network’s lease term expires) was previously classified as an operating lease. As a result of the Master Transaction Agreement and expiration of the initial lease term, we now include our options to renew the lease through September 2024 in the lease term as we are reasonably certain to exercise those options. Accordingly, Nimiq 5 is now accounted for as a finance lease.</w:t>
      </w:r>
    </w:p>
    <w:p>
      <w:pPr>
        <w:spacing w:after="0" w:line="123" w:lineRule="exact"/>
        <w:rPr>
          <w:sz w:val="20"/>
          <w:szCs w:val="20"/>
          <w:color w:val="auto"/>
        </w:rPr>
      </w:pPr>
    </w:p>
    <w:p>
      <w:pPr>
        <w:ind w:left="40" w:right="159"/>
        <w:spacing w:after="0" w:line="290" w:lineRule="auto"/>
        <w:rPr>
          <w:sz w:val="20"/>
          <w:szCs w:val="20"/>
          <w:color w:val="auto"/>
        </w:rPr>
      </w:pPr>
      <w:r>
        <w:rPr>
          <w:rFonts w:ascii="Arial" w:cs="Arial" w:eastAsia="Arial" w:hAnsi="Arial"/>
          <w:sz w:val="16"/>
          <w:szCs w:val="16"/>
          <w:color w:val="auto"/>
        </w:rPr>
        <w:t>On May 14, 2019, we and DISH Orbital II L.L.C (“DOLLC II”), an indirect wholly-owned subsidiary of DISH Network, entered into an agreement to sell our interests in the Local Multipoint Distribution Service (“LMDS”) and MVDDS licenses in exchange for the EchoStar XVIII satellite, including its related in-orbit incentive obligations of approximately $18 million (the “Satellite and Spectrum Transaction”). As the Satellite and Spectrum Transaction is among entities under common control, we recorded the EchoStar XVIII Satellite at DOLLC II’s net historical cost basis of $320 million. The difference between the net historical cost basis of EchoStar XVIII and our net carrying value of the LMDS and MVDDS licenses of $26 million, resulted in a $267 million capital transaction, net of tax, that was recorded in “Additional paid-in capital” on our Condensed Consolidated Balance Sheets during the second quarter of 2019.</w:t>
      </w:r>
    </w:p>
    <w:p>
      <w:pPr>
        <w:spacing w:after="0" w:line="107" w:lineRule="exact"/>
        <w:rPr>
          <w:sz w:val="20"/>
          <w:szCs w:val="20"/>
          <w:color w:val="auto"/>
        </w:rPr>
      </w:pPr>
    </w:p>
    <w:p>
      <w:pPr>
        <w:ind w:left="360" w:hanging="316"/>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left="40" w:right="59"/>
        <w:spacing w:after="0" w:line="286" w:lineRule="auto"/>
        <w:rPr>
          <w:sz w:val="20"/>
          <w:szCs w:val="20"/>
          <w:color w:val="auto"/>
        </w:rPr>
      </w:pPr>
      <w:r>
        <w:rPr>
          <w:rFonts w:ascii="Arial" w:cs="Arial" w:eastAsia="Arial" w:hAnsi="Arial"/>
          <w:sz w:val="17"/>
          <w:szCs w:val="17"/>
          <w:color w:val="auto"/>
        </w:rPr>
        <w:t>We enter into operating and finance leases for, among other things, satellites, office space, warehouses and distribution centers, vehicles, and other equipment. Our leases have remaining lease terms from one to 12 years, some of which include renewal options, and some of which include options to terminate the leases within one year.</w:t>
      </w:r>
    </w:p>
    <w:p>
      <w:pPr>
        <w:spacing w:after="0" w:line="98"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Our Anik F3 and Nimiq 5 satellites are accounted for as financing leases. Substantially all of our remaining leases are accounted for as operating leases, including the remainder of our satellite fleet.</w:t>
      </w:r>
    </w:p>
    <w:p>
      <w:pPr>
        <w:sectPr>
          <w:pgSz w:w="11900" w:h="16838" w:orient="portrait"/>
          <w:cols w:equalWidth="0" w:num="1">
            <w:col w:w="9019"/>
          </w:cols>
          <w:pgMar w:left="1440" w:top="517"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gridSpan w:val="9"/>
            <w:vMerge w:val="restart"/>
          </w:tcPr>
          <w:p>
            <w:pPr>
              <w:ind w:left="3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March 31,</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61,715</w:t>
            </w:r>
          </w:p>
        </w:tc>
        <w:tc>
          <w:tcPr>
            <w:tcW w:w="620" w:type="dxa"/>
            <w:vAlign w:val="bottom"/>
            <w:gridSpan w:val="3"/>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 (1)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Amortization of right-of-use assets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lease liabilities</w:t>
            </w:r>
          </w:p>
        </w:tc>
        <w:tc>
          <w:tcPr>
            <w:tcW w:w="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finance lease cost</w:t>
            </w: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17,246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81,628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340"/>
              <w:spacing w:after="0"/>
              <w:rPr>
                <w:sz w:val="20"/>
                <w:szCs w:val="20"/>
                <w:color w:val="auto"/>
              </w:rPr>
            </w:pPr>
            <w:r>
              <w:rPr>
                <w:rFonts w:ascii="Arial" w:cs="Arial" w:eastAsia="Arial" w:hAnsi="Arial"/>
                <w:sz w:val="18"/>
                <w:szCs w:val="18"/>
                <w:color w:val="auto"/>
              </w:rPr>
              <w:t>(1) Leases that have terms of 12 months or less.</w:t>
            </w: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000" w:type="dxa"/>
            <w:vAlign w:val="bottom"/>
            <w:gridSpan w:val="2"/>
          </w:tcPr>
          <w:p>
            <w:pPr>
              <w:spacing w:after="0"/>
              <w:rPr>
                <w:sz w:val="20"/>
                <w:szCs w:val="20"/>
                <w:color w:val="auto"/>
              </w:rPr>
            </w:pPr>
            <w:r>
              <w:rPr>
                <w:rFonts w:ascii="Arial" w:cs="Arial" w:eastAsia="Arial" w:hAnsi="Arial"/>
                <w:sz w:val="18"/>
                <w:szCs w:val="18"/>
                <w:color w:val="auto"/>
                <w:w w:val="90"/>
              </w:rPr>
              <w:t>Supplemental cash flow information related to leases was as follows:</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2"/>
              </w:rPr>
              <w:t>For the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5"/>
          </w:tcPr>
          <w:p>
            <w:pPr>
              <w:jc w:val="center"/>
              <w:ind w:right="840"/>
              <w:spacing w:after="0"/>
              <w:rPr>
                <w:sz w:val="20"/>
                <w:szCs w:val="20"/>
                <w:color w:val="auto"/>
              </w:rPr>
            </w:pPr>
            <w:r>
              <w:rPr>
                <w:rFonts w:ascii="Arial" w:cs="Arial" w:eastAsia="Arial" w:hAnsi="Arial"/>
                <w:sz w:val="18"/>
                <w:szCs w:val="18"/>
                <w:color w:val="auto"/>
                <w:w w:val="88"/>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7"/>
              <w:spacing w:after="0"/>
              <w:rPr>
                <w:sz w:val="20"/>
                <w:szCs w:val="20"/>
                <w:color w:val="auto"/>
              </w:rPr>
            </w:pPr>
            <w:r>
              <w:rPr>
                <w:rFonts w:ascii="Arial" w:cs="Arial" w:eastAsia="Arial" w:hAnsi="Arial"/>
                <w:sz w:val="17"/>
                <w:szCs w:val="17"/>
                <w:color w:val="auto"/>
                <w:w w:val="92"/>
              </w:rPr>
              <w:t>61,808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81,012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4,798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7"/>
              <w:spacing w:after="0"/>
              <w:rPr>
                <w:sz w:val="20"/>
                <w:szCs w:val="20"/>
                <w:color w:val="auto"/>
              </w:rPr>
            </w:pPr>
            <w:r>
              <w:rPr>
                <w:rFonts w:ascii="Arial" w:cs="Arial" w:eastAsia="Arial" w:hAnsi="Arial"/>
                <w:sz w:val="17"/>
                <w:szCs w:val="17"/>
                <w:color w:val="auto"/>
                <w:w w:val="92"/>
              </w:rPr>
              <w:t>11,466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6,055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8"/>
              </w:rPr>
              <w:t>Right-of-use assets obtained in exchange for lease obligations: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6,749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gridSpan w:val="4"/>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20" w:type="dxa"/>
            <w:vAlign w:val="bottom"/>
            <w:gridSpan w:val="5"/>
          </w:tcPr>
          <w:p>
            <w:pPr>
              <w:spacing w:after="0" w:line="201" w:lineRule="exact"/>
              <w:rPr>
                <w:sz w:val="20"/>
                <w:szCs w:val="20"/>
                <w:color w:val="auto"/>
              </w:rPr>
            </w:pPr>
            <w:r>
              <w:rPr>
                <w:rFonts w:ascii="Arial" w:cs="Arial" w:eastAsia="Arial" w:hAnsi="Arial"/>
                <w:sz w:val="18"/>
                <w:szCs w:val="18"/>
                <w:color w:val="auto"/>
              </w:rPr>
              <w:t>Right-of-use assets and liabilities recognized at January 1, 2019 upon adoption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ASC 842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730,180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As of</w:t>
            </w: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March 31, 2020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December 31, 2019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320"/>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516,318</w:t>
            </w: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553,576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205,068</w:t>
            </w: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310,710</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20" w:type="dxa"/>
            <w:vAlign w:val="bottom"/>
            <w:gridSpan w:val="2"/>
          </w:tcPr>
          <w:p>
            <w:pPr>
              <w:spacing w:after="0"/>
              <w:rPr>
                <w:sz w:val="20"/>
                <w:szCs w:val="20"/>
                <w:color w:val="auto"/>
              </w:rPr>
            </w:pPr>
            <w:r>
              <w:rPr>
                <w:rFonts w:ascii="Arial" w:cs="Arial" w:eastAsia="Arial" w:hAnsi="Arial"/>
                <w:sz w:val="18"/>
                <w:szCs w:val="18"/>
                <w:color w:val="auto"/>
              </w:rPr>
              <w:t>Total operating lease liabilities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Borders>
              <w:bottom w:val="single" w:sz="8" w:color="auto"/>
            </w:tcBorders>
          </w:tcPr>
          <w:p>
            <w:pPr>
              <w:jc w:val="right"/>
              <w:ind w:right="72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515,778</w:t>
            </w: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399,764</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399,764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(214,322)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(201,873)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185,442</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49,743</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163,939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lease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201,164</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212,617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7"/>
              </w:rPr>
              <w:t>3.2 years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ind w:left="240"/>
              <w:spacing w:after="0"/>
              <w:rPr>
                <w:sz w:val="20"/>
                <w:szCs w:val="20"/>
                <w:color w:val="auto"/>
              </w:rPr>
            </w:pPr>
            <w:r>
              <w:rPr>
                <w:rFonts w:ascii="Arial" w:cs="Arial" w:eastAsia="Arial" w:hAnsi="Arial"/>
                <w:sz w:val="18"/>
                <w:szCs w:val="18"/>
                <w:color w:val="auto"/>
              </w:rPr>
              <w:t>3.4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leases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 years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4.2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Discount Rate: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leases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60" w:type="dxa"/>
            <w:vAlign w:val="bottom"/>
            <w:gridSpan w:val="6"/>
          </w:tcPr>
          <w:p>
            <w:pPr>
              <w:spacing w:after="0"/>
              <w:rPr>
                <w:sz w:val="20"/>
                <w:szCs w:val="20"/>
                <w:color w:val="auto"/>
              </w:rPr>
            </w:pPr>
            <w:r>
              <w:rPr>
                <w:rFonts w:ascii="Arial" w:cs="Arial" w:eastAsia="Arial" w:hAnsi="Arial"/>
                <w:sz w:val="18"/>
                <w:szCs w:val="18"/>
                <w:color w:val="auto"/>
              </w:rPr>
              <w:t>Maturities of lease liabilities as of March 31, 2020 were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ind w:right="27"/>
              <w:spacing w:after="0"/>
              <w:rPr>
                <w:sz w:val="20"/>
                <w:szCs w:val="20"/>
                <w:color w:val="auto"/>
              </w:rPr>
            </w:pPr>
            <w:r>
              <w:rPr>
                <w:rFonts w:ascii="Arial" w:cs="Arial" w:eastAsia="Arial" w:hAnsi="Arial"/>
                <w:sz w:val="18"/>
                <w:szCs w:val="18"/>
                <w:b w:val="1"/>
                <w:bCs w:val="1"/>
                <w:color w:val="auto"/>
              </w:rPr>
              <w:t>Maturities of Lease Liabilities</w:t>
            </w: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rPr>
              <w:t>Operating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ind w:left="320"/>
              <w:spacing w:after="0" w:line="198" w:lineRule="exact"/>
              <w:rPr>
                <w:sz w:val="20"/>
                <w:szCs w:val="20"/>
                <w:color w:val="auto"/>
              </w:rPr>
            </w:pPr>
            <w:r>
              <w:rPr>
                <w:rFonts w:ascii="Arial" w:cs="Arial" w:eastAsia="Arial" w:hAnsi="Arial"/>
                <w:sz w:val="18"/>
                <w:szCs w:val="18"/>
                <w:b w:val="1"/>
                <w:bCs w:val="1"/>
                <w:color w:val="auto"/>
              </w:rPr>
              <w:t>Finance</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Ending December 31,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Leases</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2"/>
              </w:rPr>
              <w:t>(In thousands)</w:t>
            </w: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2020 (remaining nine months)</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50,056</w:t>
            </w:r>
          </w:p>
        </w:tc>
        <w:tc>
          <w:tcPr>
            <w:tcW w:w="4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231,762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203,198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66,279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269,477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50,227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180,797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26,599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42,862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32,147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42,350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241,571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(79,757)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(40,407)</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(120,164)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201,164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(205,068)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(49,743)</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(254,811)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310,710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151,421</w:t>
            </w: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462,131</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360" w:hanging="316"/>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Finance Lease Obligations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summarizes the carrying amount and fair value of our debt facilities as of March 31, 2020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2019:</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5</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 Senior Notes due 2020 (1)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1,097,173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6</w:t>
            </w:r>
          </w:p>
        </w:tc>
        <w:tc>
          <w:tcPr>
            <w:tcW w:w="3360" w:type="dxa"/>
            <w:vAlign w:val="bottom"/>
          </w:tcPr>
          <w:p>
            <w:pPr>
              <w:ind w:left="20"/>
              <w:spacing w:after="0"/>
              <w:rPr>
                <w:sz w:val="20"/>
                <w:szCs w:val="20"/>
                <w:color w:val="auto"/>
              </w:rPr>
            </w:pPr>
            <w:r>
              <w:rPr>
                <w:rFonts w:ascii="Arial" w:cs="Arial" w:eastAsia="Arial" w:hAnsi="Arial"/>
                <w:sz w:val="18"/>
                <w:szCs w:val="18"/>
                <w:color w:val="auto"/>
              </w:rPr>
              <w:t>3/4% Senior Notes due 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2,022,220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2,109,420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5</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7/8% Senior Notes due 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5 % Senior Notes due 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1,446,765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1,543,770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5</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7/8% Senior Notes due 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3360" w:type="dxa"/>
            <w:vAlign w:val="bottom"/>
          </w:tcPr>
          <w:p>
            <w:pPr>
              <w:ind w:left="20"/>
              <w:spacing w:after="0"/>
              <w:rPr>
                <w:sz w:val="20"/>
                <w:szCs w:val="20"/>
                <w:color w:val="auto"/>
              </w:rPr>
            </w:pPr>
            <w:r>
              <w:rPr>
                <w:rFonts w:ascii="Arial" w:cs="Arial" w:eastAsia="Arial" w:hAnsi="Arial"/>
                <w:sz w:val="18"/>
                <w:szCs w:val="18"/>
                <w:color w:val="auto"/>
              </w:rPr>
              <w:t>3/4% Senior Notes due 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2,058,380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2,128,900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notes payable</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Subtotal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10,625,996</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10,574,894</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10,625,996</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11,096,954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48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w w:val="98"/>
              </w:rPr>
              <w:t>Unamortized deferred financing costs and debt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discounts, net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(14,868)</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(16,250)</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obligations (2)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201,164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48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long-term debt and finance lease</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10,812,292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10,822,363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obligations (including current portion)</w:t>
            </w:r>
          </w:p>
        </w:tc>
        <w:tc>
          <w:tcPr>
            <w:tcW w:w="26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hanging="356"/>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May 1, 2020, we redeemed the principal balance of our 5 1/8% Senior Notes due 2020.</w:t>
      </w:r>
    </w:p>
    <w:p>
      <w:pPr>
        <w:spacing w:after="0" w:line="23" w:lineRule="exact"/>
        <w:rPr>
          <w:rFonts w:ascii="Arial" w:cs="Arial" w:eastAsia="Arial" w:hAnsi="Arial"/>
          <w:sz w:val="18"/>
          <w:szCs w:val="18"/>
          <w:color w:val="auto"/>
        </w:rPr>
      </w:pPr>
    </w:p>
    <w:p>
      <w:pPr>
        <w:ind w:left="400" w:hanging="356"/>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estimated the fair value of our publicly traded long-term debt using market prices in less active markets (Level 2).</w:t>
      </w:r>
    </w:p>
    <w:p>
      <w:pPr>
        <w:spacing w:after="0" w:line="165" w:lineRule="exact"/>
        <w:rPr>
          <w:sz w:val="20"/>
          <w:szCs w:val="20"/>
          <w:color w:val="auto"/>
        </w:rPr>
      </w:pPr>
    </w:p>
    <w:p>
      <w:pPr>
        <w:ind w:left="40" w:right="6099" w:firstLine="4"/>
        <w:spacing w:after="0" w:line="424" w:lineRule="auto"/>
        <w:tabs>
          <w:tab w:leader="none" w:pos="36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DISH Network Spectrum</w:t>
      </w:r>
    </w:p>
    <w:p>
      <w:pPr>
        <w:spacing w:after="0" w:line="225"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Since 2008, DISH Network has directly invested over $11 billion to acquire certain wireless spectrum licenses and related assets and made over $10 billion in non-controlling investments in certain entities, for a total of over $21 billion, as described further below.</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99"/>
        <w:spacing w:after="0" w:line="284" w:lineRule="auto"/>
        <w:rPr>
          <w:sz w:val="20"/>
          <w:szCs w:val="20"/>
          <w:color w:val="auto"/>
        </w:rPr>
      </w:pPr>
      <w:r>
        <w:rPr>
          <w:rFonts w:ascii="Arial" w:cs="Arial" w:eastAsia="Arial" w:hAnsi="Arial"/>
          <w:sz w:val="16"/>
          <w:szCs w:val="16"/>
          <w:color w:val="auto"/>
        </w:rPr>
        <w:t>DISH Network has directly invested over $11 billion to acquire certain wireless spectrum licenses and related assets. These wireless spectrum licenses are subject to certain interim and final build-out requirements, as well as certain renewal requirements. In March 2017, DISH Network notified the FCC that it planned to deploy a narrowband Internet of Things (“IoT”) network on certain of these wireless licenses, which was to be the first phase of its network deployment (“First Phase”). DISH Network expected to complete the First Phase by March 2020, with subsequent phases to be completed thereafter. DISH Network has entered into vendor contracts with multiple parties for, among other things, base stations, chipsets, modules, tower leases, the core network, radio frequency (“RF”) design, and deployment services for the First Phase. Among other things, initial RF design in connection with the First Phase was complete, DISH Network had secured certain tower sites, and was in the process of identifying and securing additional tower sites. The core network had been installed and commissioned. DISH Network installed the first base stations on sites in 2018 and was in the process of deploying the remaining base stations. During October 2019, DISH Network paused work on its narrowband IoT deployment due to its March 2020 build-out deadlines being tolled. In light of, among other things, certain developments related to the Sprint-TMUS merger, during the first quarter 2020, DISH Network determined that the revision of certain of its buildout deadlines was probable and, therefore, DISH Network no longer intends to complete its narrowband IoT deployment. DISH Network has issued requests for information and proposals (“RFI/Ps”) to various vendors in the wireless industry as it moves forward with its 5G broadband network deployment (“5G Network Deployment”). DISH Network currently expects expenditures for its wireless projects to be between $250 million and $500 million during 2020, excluding capitalized interest. DISH Network currently expects expenditures for its 5G Network Deployment to be approximately $10 billion, excluding capitalized interest. DISH Network will need to make significant additional investments or partner with others to, among other things, commercialize, build-out, and integrate these licenses and related assets, and any additional acquired licenses and related assets; and comply with regulations applicable to such licenses. Depending on the nature and scope of such commercialization, build-out, integration efforts, and regulatory compliance, any such investments or partnerships could vary significantly.</w:t>
      </w:r>
    </w:p>
    <w:p>
      <w:pPr>
        <w:spacing w:after="0" w:line="109" w:lineRule="exact"/>
        <w:rPr>
          <w:sz w:val="20"/>
          <w:szCs w:val="20"/>
          <w:color w:val="auto"/>
        </w:rPr>
      </w:pPr>
    </w:p>
    <w:p>
      <w:pPr>
        <w:ind w:left="40" w:right="219"/>
        <w:spacing w:after="0" w:line="257" w:lineRule="auto"/>
        <w:rPr>
          <w:sz w:val="20"/>
          <w:szCs w:val="20"/>
          <w:color w:val="auto"/>
        </w:rPr>
      </w:pPr>
      <w:r>
        <w:rPr>
          <w:rFonts w:ascii="Arial" w:cs="Arial" w:eastAsia="Arial" w:hAnsi="Arial"/>
          <w:sz w:val="18"/>
          <w:szCs w:val="18"/>
          <w:color w:val="auto"/>
        </w:rPr>
        <w:t>In addition, as DISH Network considers its options for the commercialization of its wireless spectrum, it will incur significant additional expenses and will have to make significant investments related to, among other things, research and development, wireless testing and wireless network infrastructure. DISH Network may also determine that additional wireless spectrum licenses may be required to commercialize its wireless business and to compete with other wireless service providers.</w:t>
      </w:r>
    </w:p>
    <w:p>
      <w:pPr>
        <w:spacing w:after="0" w:line="120"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i w:val="1"/>
          <w:iCs w:val="1"/>
          <w:color w:val="auto"/>
        </w:rPr>
        <w:t xml:space="preserve">Asset Purchase Agreement. </w:t>
      </w:r>
      <w:r>
        <w:rPr>
          <w:rFonts w:ascii="Arial" w:cs="Arial" w:eastAsia="Arial" w:hAnsi="Arial"/>
          <w:sz w:val="18"/>
          <w:szCs w:val="18"/>
          <w:color w:val="auto"/>
        </w:rPr>
        <w:t>On July 26, 2019, DISH Network entered into an Asset Purchase Agreement (the “APA”) with</w:t>
      </w:r>
      <w:r>
        <w:rPr>
          <w:rFonts w:ascii="Arial" w:cs="Arial" w:eastAsia="Arial" w:hAnsi="Arial"/>
          <w:sz w:val="18"/>
          <w:szCs w:val="18"/>
          <w:i w:val="1"/>
          <w:iCs w:val="1"/>
          <w:color w:val="auto"/>
        </w:rPr>
        <w:t xml:space="preserve"> </w:t>
      </w:r>
      <w:r>
        <w:rPr>
          <w:rFonts w:ascii="Arial" w:cs="Arial" w:eastAsia="Arial" w:hAnsi="Arial"/>
          <w:sz w:val="18"/>
          <w:szCs w:val="18"/>
          <w:color w:val="auto"/>
        </w:rPr>
        <w:t>T-Mobile US, Inc. (“TMUS”) and Sprint Corporation (“Sprint” and together with TMUS, the “Sellers” and given the consummation of the Sprint-TMUS merger, sometimes referred to as “NTM”).</w:t>
      </w:r>
    </w:p>
    <w:p>
      <w:pPr>
        <w:spacing w:after="0" w:line="116" w:lineRule="exact"/>
        <w:rPr>
          <w:sz w:val="20"/>
          <w:szCs w:val="20"/>
          <w:color w:val="auto"/>
        </w:rPr>
      </w:pPr>
    </w:p>
    <w:p>
      <w:pPr>
        <w:ind w:left="40" w:right="159"/>
        <w:spacing w:after="0" w:line="279" w:lineRule="auto"/>
        <w:rPr>
          <w:sz w:val="20"/>
          <w:szCs w:val="20"/>
          <w:color w:val="auto"/>
        </w:rPr>
      </w:pPr>
      <w:r>
        <w:rPr>
          <w:rFonts w:ascii="Arial" w:cs="Arial" w:eastAsia="Arial" w:hAnsi="Arial"/>
          <w:sz w:val="17"/>
          <w:szCs w:val="17"/>
          <w:color w:val="auto"/>
        </w:rPr>
        <w:t>Pursuant to the APA, at the closing of the transaction, NTM will sell to DISH Network and DISH Network will acquire from NTM certain assets and liabilities associated with Sprint’s Boost Mobile, Virgin Mobile and Sprint-branded prepaid mobile services businesses (the “Prepaid Business”) for an aggregate purchase price of $1.4 billion as adjusted for specific categories of net working capital on the Closing Date (the “Prepaid Business Sale”).</w:t>
      </w:r>
    </w:p>
    <w:p>
      <w:pPr>
        <w:spacing w:after="0" w:line="104" w:lineRule="exact"/>
        <w:rPr>
          <w:sz w:val="20"/>
          <w:szCs w:val="20"/>
          <w:color w:val="auto"/>
        </w:rPr>
      </w:pPr>
    </w:p>
    <w:p>
      <w:pPr>
        <w:ind w:left="40" w:right="159"/>
        <w:spacing w:after="0" w:line="289" w:lineRule="auto"/>
        <w:rPr>
          <w:sz w:val="20"/>
          <w:szCs w:val="20"/>
          <w:color w:val="auto"/>
        </w:rPr>
      </w:pPr>
      <w:r>
        <w:rPr>
          <w:rFonts w:ascii="Arial" w:cs="Arial" w:eastAsia="Arial" w:hAnsi="Arial"/>
          <w:sz w:val="16"/>
          <w:szCs w:val="16"/>
          <w:color w:val="auto"/>
        </w:rPr>
        <w:t>At the closing of the Prepaid Business Sale, DISH Network and NTM will enter into a transition services agreement under which DISH Network will receive certain transitional services (the “TSA”), a master network services agreement for the provision of network services by NTM to DISH Network (the “MNSA”), an option agreement entitling DISH Network to acquire certain decommissioned cell sites and retail stores of NTM (the “Option Agreement”) and an agreement under which DISH Network would purchase all of Sprint’s 800 MHz spectrum licenses, totaling approximately 13.5 MHz of nationwide wireless spectrum for an additional approximately $3.59 billion (the “Spectrum Purchase Agreement” and together with the APA, the TSA, the MNSA and the Option Agreement, the “Transaction Agreements”). See Note 10 “</w:t>
      </w:r>
      <w:r>
        <w:rPr>
          <w:rFonts w:ascii="Arial" w:cs="Arial" w:eastAsia="Arial" w:hAnsi="Arial"/>
          <w:sz w:val="16"/>
          <w:szCs w:val="16"/>
          <w:i w:val="1"/>
          <w:iCs w:val="1"/>
          <w:color w:val="auto"/>
        </w:rPr>
        <w:t>Commitments and Contingencies – Commitments – Sprint Asset Acquisition</w:t>
      </w:r>
      <w:r>
        <w:rPr>
          <w:rFonts w:ascii="Arial" w:cs="Arial" w:eastAsia="Arial" w:hAnsi="Arial"/>
          <w:sz w:val="16"/>
          <w:szCs w:val="16"/>
          <w:color w:val="auto"/>
        </w:rPr>
        <w:t>” of DISH Network’s Quarterly Report on Form 10-Q for the three months ended March 31, 2020 for further information on the Transaction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Beginning on November 5, 2019, the March 7, 2020 build-out deadline for both the AWS-4 and Lower 700 MHz E Block spectrum bands is tolled; however, if the Prepaid Business Sale is not consummated, the original deadlines would be reinstated with extensions equal to the length of time the deadline was tolled. During October 2019, DISH Network paused work on its narrowband IoT deployment due to its March 2020 build-out deadlines being tolled. In light of, among other things, certain developments related to the Sprint-TMUS merger, during the first quarter 2020, DISH Network determined that the revision of certain of its buildout deadlines was probable and, therefore, DISH Network no longer intends to complete its narrowband IoT deployment. DISH Network has issued RFI/Ps to various vendors in the wireless industry as it moves forward with its 5G Network Deployment.</w:t>
      </w:r>
    </w:p>
    <w:p>
      <w:pPr>
        <w:spacing w:after="0" w:line="178"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color w:val="auto"/>
        </w:rPr>
        <w:t>In connection with the development of DISH Network’s wireless business, including, without limitation, the efforts described above, we have made cash distributions to partially finance these efforts to date and may make additional cash distributions to finance, in whole or in part, DISH Network’s future efforts. There can be no assurance that DISH Network will be able to develop and implement a business model that will realize a return on these wireless spectrum licenses or that DISH Network will be able to profitably deploy the assets represented by these wireless spectrum licenses.</w:t>
      </w:r>
    </w:p>
    <w:p>
      <w:pPr>
        <w:spacing w:after="0" w:line="161"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i w:val="1"/>
          <w:iCs w:val="1"/>
          <w:color w:val="auto"/>
        </w:rPr>
        <w:t>DISH Network Non-Controlling Investments in the Northstar Entities and the SNR Entities Related to AWS-3 Wireless Spectrum Licenses</w:t>
      </w:r>
    </w:p>
    <w:p>
      <w:pPr>
        <w:spacing w:after="0" w:line="170" w:lineRule="exact"/>
        <w:rPr>
          <w:sz w:val="20"/>
          <w:szCs w:val="20"/>
          <w:color w:val="auto"/>
        </w:rPr>
      </w:pPr>
    </w:p>
    <w:p>
      <w:pPr>
        <w:ind w:left="40" w:right="59"/>
        <w:spacing w:after="0" w:line="267" w:lineRule="auto"/>
        <w:rPr>
          <w:sz w:val="20"/>
          <w:szCs w:val="20"/>
          <w:color w:val="auto"/>
        </w:rPr>
      </w:pPr>
      <w:r>
        <w:rPr>
          <w:rFonts w:ascii="Arial" w:cs="Arial" w:eastAsia="Arial" w:hAnsi="Arial"/>
          <w:sz w:val="17"/>
          <w:szCs w:val="17"/>
          <w:color w:val="auto"/>
        </w:rPr>
        <w:t>During 2015, through its wholly-owned subsidiaries American AWS-3 Wireless II L.L.C. (“American II”) and American AWS-3 Wireless III L.L.C. (“American III”), DISH Network initially made over $10 billion in certain non-controlling investments 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(the “Northstar Licenses”) and to SNR Wireless (the “SNR Licenses”), respectively. The Northstar Entities and/or the SNR Entities may need to raise significant additional capital in the future, which may be obtained from third party sources or from DISH Network, so that the Northstar Entities and the SNR Entities may commercialize, build-out and integrate these AWS-3 Licenses, comply with regulations applicable to such AWS-3 Licenses, and make any potential payments related to the re-auction of AWS-3 licenses retained by the FCC. Depending upon the nature and scope of such commercialization, build-out, integration efforts, regulatory compliance, and potential re-auction payments, any such loans, equity contributions or partnerships could vary significantly. For further information regarding the potential re-auction of AWS-3 licenses retained by the FCC, see Note 10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 Commitments – DISH Network Non-Controlling Investments in the Northstar Entities and the SNR Entities Related to AWS-3 Wireless Spectrum Licenses” </w:t>
      </w:r>
      <w:r>
        <w:rPr>
          <w:rFonts w:ascii="Arial" w:cs="Arial" w:eastAsia="Arial" w:hAnsi="Arial"/>
          <w:sz w:val="17"/>
          <w:szCs w:val="17"/>
          <w:color w:val="auto"/>
        </w:rPr>
        <w:t>in the Notes to DISH Network’s Quarterly Report on Form 10-Q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ended March 31, 2020.</w:t>
      </w:r>
    </w:p>
    <w:p>
      <w:pPr>
        <w:spacing w:after="0" w:line="191"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We have made and may make cash distributions to finance, in whole or in part, loans that DISH Network has made or may make in the future to the Northstar Entities and the SNR Entities related to DISH Network’s non-controlling investments in these entities. There can be no assurance that DISH Network will be able to obtain a profitable return on its non-controlling investments in the Northstar Entities and the SNR Entities.</w:t>
      </w:r>
    </w:p>
    <w:p>
      <w:pPr>
        <w:spacing w:after="0" w:line="187"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color w:val="auto"/>
        </w:rPr>
        <w:t>We may need to raise significant additional capital in the future, which may not be available on acceptable terms or at all, to among other things, make additional cash distributions to DISH Network, continue investing in our business and to pursue acquisitions and other strategic transactions.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 – Commitments”</w:t>
      </w:r>
      <w:r>
        <w:rPr>
          <w:rFonts w:ascii="Arial" w:cs="Arial" w:eastAsia="Arial" w:hAnsi="Arial"/>
          <w:sz w:val="18"/>
          <w:szCs w:val="18"/>
          <w:color w:val="auto"/>
        </w:rPr>
        <w:t xml:space="preserve"> in the Notes to DISH Network’s Quarterly Report on Form 10-Q for the quarter ended March 31, 2020 for further information.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ind w:left="40" w:right="139"/>
        <w:spacing w:after="0" w:line="267" w:lineRule="auto"/>
        <w:rPr>
          <w:sz w:val="20"/>
          <w:szCs w:val="20"/>
          <w:color w:val="auto"/>
        </w:rPr>
      </w:pPr>
      <w:r>
        <w:rPr>
          <w:rFonts w:ascii="Arial" w:cs="Arial" w:eastAsia="Arial" w:hAnsi="Arial"/>
          <w:sz w:val="17"/>
          <w:szCs w:val="17"/>
          <w:color w:val="auto"/>
        </w:rPr>
        <w:t>On January 1, 2008, DISH Network completed the distribution of its technology and set-top box business and certain infrastructure assets (the “Spin-off”) into a separate publicly-traded company, EchoStar. In connection with the Spin-off, DISH Network entered into a separation agreement with EchoStar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 On February 28, 2017, DISH Network and EchoStar and certain of their respective subsidiaries completed the transactions contemplated by the Share Exchange Agreement (the “Share Exchange Agreement”) that was previously entered into on January 31, 2017 (the “Share Exchange”), pursuant to which certain assets that were transferred to EchoStar in the Spin-off were transferred back to DISH Network. On September 10, 2019, DISH Network and EchoStar and certain of their respective subsidiaries completed the transactions contemplated by the Master Transaction Agreement (the “Master Transaction Agreement”) that was previously entered into on May 19, 2019, pursuant to which certain assets that were transferred to EchoStar in the Spin-off were transferred back to DISH Network. The Share Exchange Agreement and the Master Transaction Agreement contain additional indemnification provisions between DISH Network and EchoStar for certain liabilities and legal proceedings.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40" w:right="239"/>
        <w:spacing w:after="0" w:line="293"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64" w:lineRule="exact"/>
        <w:rPr>
          <w:sz w:val="20"/>
          <w:szCs w:val="20"/>
          <w:color w:val="auto"/>
        </w:rPr>
      </w:pPr>
    </w:p>
    <w:p>
      <w:pPr>
        <w:ind w:left="40" w:right="119"/>
        <w:spacing w:after="0" w:line="271" w:lineRule="auto"/>
        <w:rPr>
          <w:sz w:val="20"/>
          <w:szCs w:val="20"/>
          <w:color w:val="auto"/>
        </w:rPr>
      </w:pPr>
      <w:r>
        <w:rPr>
          <w:rFonts w:ascii="Arial" w:cs="Arial" w:eastAsia="Arial" w:hAnsi="Arial"/>
          <w:sz w:val="17"/>
          <w:szCs w:val="17"/>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Broadband iTV</w:t>
      </w:r>
    </w:p>
    <w:p>
      <w:pPr>
        <w:spacing w:after="0" w:line="225"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On December 19, 2019, Broadband iTV, Inc. filed a complaint against our wholly-owned subsidiary DISH Network L.L.C. in the United States District Court for the Western District of Texas. The complaint alleges infringement of United States Patent No. 10,028,026 (the “026 patent”), entitled “System for addressing on-demand TV program content on TV services platform of a digital TV services provider”; United States Patent No. 10,506,269 (the “269 patent”), entitled “System for addressing on-demand TV program content on TV services platform of a digital TV services provider”; United States Patent No. 9,998,791 (“the 791 patent”), entitled “Video-on-demand content delivery method for providing video-on-demand services to TV service subscribers”; and United States Patent No. 9,648,388 (the “388 patent”), entitled “Video-on-demand content delivery system for providing video-on-demand services to TV services subscribers.” Generally, the asserted patents relate to providing video on demand content to subscribers.</w:t>
      </w:r>
    </w:p>
    <w:p>
      <w:pPr>
        <w:spacing w:after="0" w:line="181"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Each of the plaintiffs is an entity that seeks to license a patent portfolio without itself practicing any of the claims recited therein.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City of Hallandale Beach Police Officers’ and Firefighters’ Personnel Retirement Trust</w:t>
      </w:r>
    </w:p>
    <w:p>
      <w:pPr>
        <w:spacing w:after="0" w:line="225" w:lineRule="exact"/>
        <w:rPr>
          <w:sz w:val="20"/>
          <w:szCs w:val="20"/>
          <w:color w:val="auto"/>
        </w:rPr>
      </w:pPr>
    </w:p>
    <w:p>
      <w:pPr>
        <w:ind w:left="40" w:right="79"/>
        <w:spacing w:after="0" w:line="290" w:lineRule="auto"/>
        <w:rPr>
          <w:sz w:val="20"/>
          <w:szCs w:val="20"/>
          <w:color w:val="auto"/>
        </w:rPr>
      </w:pPr>
      <w:r>
        <w:rPr>
          <w:rFonts w:ascii="Arial" w:cs="Arial" w:eastAsia="Arial" w:hAnsi="Arial"/>
          <w:sz w:val="16"/>
          <w:szCs w:val="16"/>
          <w:color w:val="auto"/>
        </w:rPr>
        <w:t xml:space="preserve">On July 2, 2019, a putative class action lawsuit was filed by a purported EchoStar stockholder in the District Court of Clark County, Nevada under the caption </w:t>
      </w:r>
      <w:r>
        <w:rPr>
          <w:rFonts w:ascii="Arial" w:cs="Arial" w:eastAsia="Arial" w:hAnsi="Arial"/>
          <w:sz w:val="16"/>
          <w:szCs w:val="16"/>
          <w:i w:val="1"/>
          <w:iCs w:val="1"/>
          <w:color w:val="auto"/>
        </w:rPr>
        <w:t>City of Hallandale Beach Police Officers’ and Firefighters’ Personnel Retirement Trust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Ergen, et al., </w:t>
      </w:r>
      <w:r>
        <w:rPr>
          <w:rFonts w:ascii="Arial" w:cs="Arial" w:eastAsia="Arial" w:hAnsi="Arial"/>
          <w:sz w:val="16"/>
          <w:szCs w:val="16"/>
          <w:color w:val="auto"/>
        </w:rPr>
        <w:t>Case No. A-19-797799-B. The lawsuit named as defendants Mr. Ergen, the other members of the EchoStar</w:t>
      </w:r>
      <w:r>
        <w:rPr>
          <w:rFonts w:ascii="Arial" w:cs="Arial" w:eastAsia="Arial" w:hAnsi="Arial"/>
          <w:sz w:val="16"/>
          <w:szCs w:val="16"/>
          <w:i w:val="1"/>
          <w:iCs w:val="1"/>
          <w:color w:val="auto"/>
        </w:rPr>
        <w:t xml:space="preserve"> </w:t>
      </w:r>
      <w:r>
        <w:rPr>
          <w:rFonts w:ascii="Arial" w:cs="Arial" w:eastAsia="Arial" w:hAnsi="Arial"/>
          <w:sz w:val="16"/>
          <w:szCs w:val="16"/>
          <w:color w:val="auto"/>
        </w:rPr>
        <w:t>Board, as well as EchoStar, certain of its officers, DISH Network and certain of DISH Network’s and EchoStar’s affiliates. Plaintiff alleges, among other things, breach of fiduciary duties in approving the transactions contemplated under the Master Transaction Agreement for inadequate consideration and pursuant to an unfair and conflicted process, and that EchoStar, DISH Network and certain other defendants aided and abetted such breaches. In the operative First Amended Complaint, filed on October 11, 2019, the plaintiff dropped as defendants the EchoStar board members other than Mr. Ergen. See Note 13 “</w:t>
      </w:r>
      <w:r>
        <w:rPr>
          <w:rFonts w:ascii="Arial" w:cs="Arial" w:eastAsia="Arial" w:hAnsi="Arial"/>
          <w:sz w:val="16"/>
          <w:szCs w:val="16"/>
          <w:i w:val="1"/>
          <w:iCs w:val="1"/>
          <w:color w:val="auto"/>
        </w:rPr>
        <w:t>Related Party Transactions – Master Transaction Agreement”</w:t>
      </w:r>
      <w:r>
        <w:rPr>
          <w:rFonts w:ascii="Arial" w:cs="Arial" w:eastAsia="Arial" w:hAnsi="Arial"/>
          <w:sz w:val="16"/>
          <w:szCs w:val="16"/>
          <w:color w:val="auto"/>
        </w:rPr>
        <w:t xml:space="preserve"> in the Notes to DISH Network’s Quarterly Report on Form 10-Q for the quarter ended March 31, 2020 for further information on the Master Transaction Agreement. Plaintiff seeks equitable relief, including the issuance of additional DISH Network Class A Common Stock, monetary relief and other costs and disbursements, including attorneys’ fees.</w:t>
      </w:r>
    </w:p>
    <w:p>
      <w:pPr>
        <w:spacing w:after="0" w:line="167"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DISH Network intends to vigorously defend this case, but cannot predict with any degree of certainty the outcome of this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ClearPlay, Inc.</w:t>
      </w:r>
    </w:p>
    <w:p>
      <w:pPr>
        <w:spacing w:after="0" w:line="225" w:lineRule="exact"/>
        <w:rPr>
          <w:sz w:val="20"/>
          <w:szCs w:val="20"/>
          <w:color w:val="auto"/>
        </w:rPr>
      </w:pPr>
    </w:p>
    <w:p>
      <w:pPr>
        <w:ind w:left="40" w:right="79"/>
        <w:spacing w:after="0" w:line="259" w:lineRule="auto"/>
        <w:rPr>
          <w:sz w:val="20"/>
          <w:szCs w:val="20"/>
          <w:color w:val="auto"/>
        </w:rPr>
      </w:pPr>
      <w:r>
        <w:rPr>
          <w:rFonts w:ascii="Arial" w:cs="Arial" w:eastAsia="Arial" w:hAnsi="Arial"/>
          <w:sz w:val="17"/>
          <w:szCs w:val="17"/>
          <w:color w:val="auto"/>
        </w:rPr>
        <w:t>On March 13, 2014, ClearPlay, Inc. (“ClearPlay”) filed a complaint against DISH Network, our wholly-owned subsidiary DISH Network L.L.C., EchoStar, and its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feature of our Hopper set-top box infringes the asserted patents. On February 11, 2015, the case was stayed pending various third-party challenges before the United States Patent and Trademark Office regarding the validity of certain of the patents asserted in the action. 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The trial has been set for January 25, 2021. The report issued by ClearPlay’s damages expert contends that ClearPlay is entitled to $543 million in damages.</w:t>
      </w:r>
    </w:p>
    <w:p>
      <w:pPr>
        <w:spacing w:after="0" w:line="198"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Contemporary Display LLC</w:t>
      </w:r>
    </w:p>
    <w:p>
      <w:pPr>
        <w:spacing w:after="0" w:line="225" w:lineRule="exact"/>
        <w:rPr>
          <w:sz w:val="20"/>
          <w:szCs w:val="20"/>
          <w:color w:val="auto"/>
        </w:rPr>
      </w:pPr>
    </w:p>
    <w:p>
      <w:pPr>
        <w:ind w:left="40" w:right="119"/>
        <w:spacing w:after="0" w:line="286" w:lineRule="auto"/>
        <w:rPr>
          <w:sz w:val="20"/>
          <w:szCs w:val="20"/>
          <w:color w:val="auto"/>
        </w:rPr>
      </w:pPr>
      <w:r>
        <w:rPr>
          <w:rFonts w:ascii="Arial" w:cs="Arial" w:eastAsia="Arial" w:hAnsi="Arial"/>
          <w:sz w:val="16"/>
          <w:szCs w:val="16"/>
          <w:color w:val="auto"/>
        </w:rPr>
        <w:t>On June 4, 2018, Contemporary Display LLC (“Contemporary”) filed a complaint against DISH Network and our wholly-owned subsidiary DISH Network L.L.C. in the United States District Court for the Western District of Texas. The complaint alleges infringement of United States Patent No. 6,028,643 (the “643 patent”), entitled “Multiple-Screen Video Adapter with Television Tuner”; United States Patent No. 6,429,903 (the “903 patent”), entitled “Video Adapter for Supporting at Least One Television Monitor”; United States Patent No. 6,492,997 (the “997 patent”), entitled “Method and System for Providing Selectable Programming in a Multi-Screen Mode”; United States Patent No. 7,500,202 (the “202 patent”), “Remote Control for Navigating Through Content in an Organized and Categorized Fashion”; and United States Patent No. 7,809,842 (the “842 patent”), entitled “Transferring Sessions Between Devices.” The 643 patent and the 903 patent are directed to video adapters for use with multiple displays. The 997 patent is directed to a system for presenting multiple video programs on a display device simultaneously. The 202 patent is directed to a remote control for interacting with a set-top box having programmable features and “operational controls” on at least three sides of the remote control. The 842 patent is directed to a system for managing online communication sessions between multiple devices. Contemporary is an entity that seeks to license a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In a First Amended Complaint filed on August 6, 2018, Contemporary added our wholly-owned subsidiary DISH Network L.L.C. as a defendant. In a Second Amended Complaint filed on October 9, 2018, Contemporary named only our wholly-owned subsidiary DISH Network L.L.C. as a defendant and dropped certain indirect infringement allegations. On June 10, 2019, DISH Network L.L.C. filed petitions with the United States Patent and Trademark Office challenging the validity of the asserted claims of the 842 patent, the 903 patent, the 643 patent and the 997 patent. On December 13, 2019 and January 7, 2020, the United States Patent and Trademark Office agreed to institute proceedings on each of our petitions. On July 11, 2019, the Court entered an order staying the case pending resolution of the petitions. On January 31, 2020, pursuant to the parties’ joint motion, the Court dismissed all claims arising from the 202 patent, and extended its stay of the litigation pending non-appealable determinations on all of the petitions before the United States Patent and Trademark Office.</w:t>
      </w:r>
    </w:p>
    <w:p>
      <w:pPr>
        <w:spacing w:after="0" w:line="185"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Customedia Technologies, L.L.C.</w:t>
      </w:r>
    </w:p>
    <w:p>
      <w:pPr>
        <w:spacing w:after="0" w:line="225"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On February 10, 2016, Customedia Technologies, L.L.C. (“Customedia”) filed a complaint against DISH Network and our wholly-owned subsidiary DISH Network L.L.C. in the United States District Court for the Eastern District of Texas. The complaint alleges infringement of four patents: United States Patent No. 8,719,090 (the “090 patent”); United States Patent No. 9,053,494 (the “494 patent”); United States Patent No. 7,840,437 (the “437 patent”); and United States Patent</w:t>
      </w:r>
    </w:p>
    <w:p>
      <w:pPr>
        <w:spacing w:after="0" w:line="1"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No. 8,955,029 (the “029 patent”). Each patent is entitled “System for Data Management And On-Demand Rental And Purchase Of Digital Data Products.” Customedia alleges infringement in connection with our addressable advertising services, our DISH Anywhere feature, and our Pay-Per-View and video-on-demand offerings. Customedia is an entity that seeks to license a patent portfolio without itself practicing any of the claims recited therein.</w:t>
      </w:r>
    </w:p>
    <w:p>
      <w:pPr>
        <w:spacing w:after="0" w:line="176"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In December 2016 and January 2017, DISH Network L.L.C. filed petitions with the United States Patent and Trademark Office challenging the validity of the asserted claims of each of the asserted patents. On June 12, 2017, the United States Patent and Trademark Office agreed to institute proceedings on our petitions challenging the 090 patent and the 437 patent; on July 18, 2017, it agreed to institute proceedings on our petitions challenging the 029 patent; and on July 28, 2017, it agreed to institute proceedings on our petitions challenging the 494 patent. These instituted proceedings cover all asserted claims of each of the asserted patents. The litigation in the District Court has been stayed since August 8, 2017 pending resolution of the proceedings at the United States Patent and Trademark Office.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Pursuant to an agreement between the parties, on December 20, 2017, DISH Network L.L.C. dismissed its petitions challenging the 029 patent in the United States Patent and Trademark Office, and on January 9, 2018, the parties dismissed their claims, counterclaims and defenses as to that patent in the litigation. On March 5, 2018, the United States Patent and Trademark Office conducted a trial on the remaining petitions. On June 11, 2018, the United States Patent and Trademark Office issued final written decisions on DISH Network L.L.C.’s petitions challenging the 090 patent and it invalidated all of the asserted claims. On July 25, 2018, the United States Patent and Trademark Office issued final written decisions on DISH Network L.L.C.’s petitions challenging the 437 patent and the 494 patent and it invalidated all of the asserted claims. Customedia appealed its losses before the United States Patent and Trademark Office. The Court of Appeals for the Federal Circuit heard oral argument on November 6, 2019 on the appeal involving the 437 patent, and summarily affirmed the patent’s invalidity on November 8, 2019. On January 7, 2020, Customedia petitioned the Court of Appeals for rehearing or rehearing en banc, raising issues about the constitutionality of the appointment of the administrative patent judges that heard the petition before the Patent and Trademark Office, but the Court of Appeals denied rehearing on March 5, 2020. The Court of Appeals heard oral argument on the appeal involving the 090 patent and the 494 patent on December 3, 2019, and affirmed those patents’ invalidity on March 6, 2020. On May 5, 2020, Customedia filed petitions in the Federal Circuit for rehearing and rehearing en banc, seeking to reverse our appellate victories on the 090 and 494 patents.</w:t>
      </w:r>
    </w:p>
    <w:p>
      <w:pPr>
        <w:spacing w:after="0" w:line="171"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Innovative Foundry Technologies</w:t>
      </w:r>
    </w:p>
    <w:p>
      <w:pPr>
        <w:spacing w:after="0" w:line="225" w:lineRule="exact"/>
        <w:rPr>
          <w:sz w:val="20"/>
          <w:szCs w:val="20"/>
          <w:color w:val="auto"/>
        </w:rPr>
      </w:pPr>
    </w:p>
    <w:p>
      <w:pPr>
        <w:ind w:left="40" w:right="139"/>
        <w:spacing w:after="0" w:line="269" w:lineRule="auto"/>
        <w:rPr>
          <w:sz w:val="20"/>
          <w:szCs w:val="20"/>
          <w:color w:val="auto"/>
        </w:rPr>
      </w:pPr>
      <w:r>
        <w:rPr>
          <w:rFonts w:ascii="Arial" w:cs="Arial" w:eastAsia="Arial" w:hAnsi="Arial"/>
          <w:sz w:val="17"/>
          <w:szCs w:val="17"/>
          <w:color w:val="auto"/>
        </w:rPr>
        <w:t>On December 20, 2019, Innovative Foundry Technologies LLC filed a complaint against DISH Network (as well as Semiconductor Manufacturing International Corporation; Broadcom Incorporated; Broadcom Corporation; and Cypress Semiconductor Corporation) in the United States District Court for the Western District of Texas. The complaint alleges infringement of United States Patent No. 6,580,122 (the “122 patent”), entitled “Transistor Device Having an Enhanced Width Dimension and a Method of Making Same”; United States Patent No. 6,806,126 (the “126 patent”), entitled “Method of Manufacturing a Semiconductor Component”; United States Patent No. 6,933,620 (the “620 patent”), entitled “Semiconductor Component and Method of Manufacture”; and United States Patent No. 7,009,226 (the “226 patent”), entitled “In-Situ Nitride/Oxynitride Processing with Reduced Deposition Surface Pattern Sensitivity.” On April 9, 2020, Semiconductor Manufacturing International Corporation filed a petition with the United States Patent and Trademark Office challenging the validity of the asserted claims of the 226 patent, and on April 14, 2020, it filed petitions challenging the validity of the asserted claims of the 126 patent and 620 patent.</w:t>
      </w:r>
    </w:p>
    <w:p>
      <w:pPr>
        <w:spacing w:after="0" w:line="182" w:lineRule="exact"/>
        <w:rPr>
          <w:sz w:val="20"/>
          <w:szCs w:val="20"/>
          <w:color w:val="auto"/>
        </w:rPr>
      </w:pPr>
    </w:p>
    <w:p>
      <w:pPr>
        <w:ind w:left="40" w:right="219"/>
        <w:spacing w:after="0" w:line="296" w:lineRule="auto"/>
        <w:rPr>
          <w:sz w:val="20"/>
          <w:szCs w:val="20"/>
          <w:color w:val="auto"/>
        </w:rPr>
      </w:pPr>
      <w:r>
        <w:rPr>
          <w:rFonts w:ascii="Arial" w:cs="Arial" w:eastAsia="Arial" w:hAnsi="Arial"/>
          <w:sz w:val="16"/>
          <w:szCs w:val="16"/>
          <w:color w:val="auto"/>
        </w:rPr>
        <w:t>DISH Network intends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Each of the plaintiffs is an entity that seeks to license a patent portfolio without itself practicing any of the claims recited therein.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Mobile Networking Solutions</w:t>
      </w:r>
    </w:p>
    <w:p>
      <w:pPr>
        <w:spacing w:after="0" w:line="225"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On August 12, 2019, Mobile Networking Solutions, LLC filed a complaint against our wholly owned subsidiary Sling Media L.L.C. for infringement of two patents: U.S. Patent No. 7,543,177 (the “177 patent”) and U.S. Patent No. 7,958,388 (the “388 patent”), each entitled “Methods and Systems for a Storage System.” Mobile Networking Solutions alleges infringement in connection with Sling Media L.L.C.’s use of a Hadoop Distributed File System for storage and processing of large data files. Pursuant to a stipulation of the parties, on December 16, 2019, the Court entered an order staying the case for six months so the parties may discuss settling the case.</w:t>
      </w:r>
    </w:p>
    <w:p>
      <w:pPr>
        <w:spacing w:after="0" w:line="178"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Multimedia Content Management LLC</w:t>
      </w:r>
    </w:p>
    <w:p>
      <w:pPr>
        <w:spacing w:after="0" w:line="158"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On July 25, 2018, Multimedia Content Management LLC (“Multimedia”) filed a complaint against DISH Network in the United States District Court for the Western District of Texas. Multimedia alleges that DISH Network infringes United States Patent No. 8,799,468 (the “468 patent”), entitled “System for Regulating Access to and Distributing Content in a Network,” and United States Patent No. 9,465,925 (the “925 patent”), entitled “System for Regulating Access to and Distributing Content in a Network,” in connection with impulse pay per view content offerings on certain set-top boxes. Multimedia is an entity that seeks to license a patent portfolio without itself practicing any of the claims recited therein. On March 7, 2019, pursuant to stipulation, the Court substituted our wholly owned subsidiary DISH Network L.L.C. as the defendant in our place. On April 23, 2019, DISH Network L.L.C. filed petitions with the United States Patent and Trademark Office challenging the validity of the asserted claims of each of the asserted patents. On November 13, 2019, the United States Patent and Trademark Office denied institution on both of the petitions. On December 13, 2019, DISH Network L.L.C. filed a motion for reconsideration, which the United States Patent and Trademark Office denied on March 10, 2020. On March 26, 2020, pursuant to the parties’ joint request, the Court dismissed the matter with prejudice. This matter is now concluded.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58"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On June 6, 2017, Realtime Data LLC d/b/a IXO (“Realtime”) filed an amended complaint in the United States District Court for the Eastern District of Texas (the “Original Texas Action”) against DISH Network;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 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Realtime alleges that DISH Network, Sling TV, Sling Media and Arris streaming video products and services compliant with various versions of the H.264 video compression standard infringe the 897 patent, the 610 patent and the 535 patent, and that the data compression system in Hughes’ products and services infringe the 204 patent, the 728 patent, the 867 patent, the 707 patent and the 759 patent.</w:t>
      </w:r>
    </w:p>
    <w:p>
      <w:pPr>
        <w:spacing w:after="0" w:line="187" w:lineRule="exact"/>
        <w:rPr>
          <w:sz w:val="20"/>
          <w:szCs w:val="20"/>
          <w:color w:val="auto"/>
        </w:rPr>
      </w:pPr>
    </w:p>
    <w:p>
      <w:pPr>
        <w:ind w:left="40" w:right="99"/>
        <w:spacing w:after="0" w:line="288" w:lineRule="auto"/>
        <w:rPr>
          <w:sz w:val="20"/>
          <w:szCs w:val="20"/>
          <w:color w:val="auto"/>
        </w:rPr>
      </w:pPr>
      <w:r>
        <w:rPr>
          <w:rFonts w:ascii="Arial" w:cs="Arial" w:eastAsia="Arial" w:hAnsi="Arial"/>
          <w:sz w:val="16"/>
          <w:szCs w:val="16"/>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68"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40" w:right="219"/>
        <w:spacing w:after="0" w:line="301" w:lineRule="auto"/>
        <w:rPr>
          <w:sz w:val="20"/>
          <w:szCs w:val="20"/>
          <w:color w:val="auto"/>
        </w:rPr>
      </w:pPr>
      <w:r>
        <w:rPr>
          <w:rFonts w:ascii="Arial" w:cs="Arial" w:eastAsia="Arial" w:hAnsi="Arial"/>
          <w:sz w:val="16"/>
          <w:szCs w:val="16"/>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w:t>
      </w:r>
    </w:p>
    <w:p>
      <w:pPr>
        <w:spacing w:after="0" w:line="157" w:lineRule="exact"/>
        <w:rPr>
          <w:sz w:val="20"/>
          <w:szCs w:val="20"/>
          <w:color w:val="auto"/>
        </w:rPr>
      </w:pPr>
    </w:p>
    <w:p>
      <w:pPr>
        <w:ind w:left="40" w:right="59"/>
        <w:spacing w:after="0" w:line="253"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challenging all asserted claims of each of the asserted patents,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On March 16, 2020, Sling TV L.L.C., Sling Media L.L.C., DISH Network L.L.C., and DISH Technologies L.L.C. filed a notice of appeal from the terminated petitions. The Colorado Action in the district court has been stayed since February 26, 2019, pending resolution of the petitions.</w:t>
      </w:r>
    </w:p>
    <w:p>
      <w:pPr>
        <w:spacing w:after="0" w:line="19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Realtime Adaptive Streaming is an entity that seeks to license an acquired patent portfolio without itself practicing any of the claims recited therein.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Sound View Innovations, LLC</w:t>
      </w:r>
    </w:p>
    <w:p>
      <w:pPr>
        <w:spacing w:after="0" w:line="225" w:lineRule="exact"/>
        <w:rPr>
          <w:sz w:val="20"/>
          <w:szCs w:val="20"/>
          <w:color w:val="auto"/>
        </w:rPr>
      </w:pPr>
    </w:p>
    <w:p>
      <w:pPr>
        <w:ind w:left="40" w:right="219"/>
        <w:spacing w:after="0" w:line="289" w:lineRule="auto"/>
        <w:rPr>
          <w:sz w:val="20"/>
          <w:szCs w:val="20"/>
          <w:color w:val="auto"/>
        </w:rPr>
      </w:pPr>
      <w:r>
        <w:rPr>
          <w:rFonts w:ascii="Arial" w:cs="Arial" w:eastAsia="Arial" w:hAnsi="Arial"/>
          <w:sz w:val="16"/>
          <w:szCs w:val="16"/>
          <w:color w:val="auto"/>
        </w:rPr>
        <w:t>On December 30, 2019, Sound View Innovations, LLC filed one complaint against our wholly owned subsidiaries DISH Network L.L.C. and DISH Technologies L.L.C. and a second complaint against our wholly 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w:t>
      </w:r>
    </w:p>
    <w:p>
      <w:pPr>
        <w:spacing w:after="0" w:line="166"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Each of the plaintiffs is an entity that seeks to license a patent portfolio without itself practicing any of the claims recited therein.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Telemarketing Litigation</w:t>
      </w:r>
    </w:p>
    <w:p>
      <w:pPr>
        <w:spacing w:after="0" w:line="225" w:lineRule="exact"/>
        <w:rPr>
          <w:sz w:val="20"/>
          <w:szCs w:val="20"/>
          <w:color w:val="auto"/>
        </w:rPr>
      </w:pPr>
    </w:p>
    <w:p>
      <w:pPr>
        <w:ind w:left="40" w:right="79"/>
        <w:spacing w:after="0" w:line="284" w:lineRule="auto"/>
        <w:rPr>
          <w:sz w:val="20"/>
          <w:szCs w:val="20"/>
          <w:color w:val="auto"/>
        </w:rPr>
      </w:pPr>
      <w:r>
        <w:rPr>
          <w:rFonts w:ascii="Arial" w:cs="Arial" w:eastAsia="Arial" w:hAnsi="Arial"/>
          <w:sz w:val="16"/>
          <w:szCs w:val="16"/>
          <w:color w:val="auto"/>
        </w:rPr>
        <w:t>On March 25, 2009, our wholly-owned subsidiary DISH Network L.L.C. was sued in a civil action by the United States Attorney General and several states in the United States District Court for the Central District of Illinois (the “FTC Action”), alleging violations of the Telephone Consumer Protection Act (“TCPA”) and the Telemarketing Sales Rule (“TSR”), as well as analogous state statutes and state consumer protection laws. The plaintiffs alleged that we, directly and through certain independent third-party retailers and their affiliates, committed certain telemarketing violations. On December 23, 2013, the plaintiffs filed a motion for summary judgment, which indicated for the first time that the state plaintiffs were seeking civil penalties and damages of approximately $270 million and that the federal plaintiff was seeking an unspecified amount of civil penalties (which could substantially exceed the civil penalties and damages being sought by the state plaintiffs). The plaintiffs were also seeking injunctive relief that if granted would, among other things, enjoin DISH Network L.L.C., whether acting directly or indirectly through authorized telemarketers or independent third-party retailers, from placing any outbound telemarketing calls to market or promote its goods or services for five years, and enjoin DISH Network L.L.C. from accepting activations or sales from certain existing independent third-party retailers and from certain new independent third-party retailers, except under certain circumstances. We also filed a motion for summary judgment, seeking dismissal of all claims. On December 12, 2014, the Court issued its opinion with respect to the parties’ summary judgment motions. The Court found that DISH Network L.L.C. was entitled to partial summary judgment with respect to one claim in the action. In addition, the Court found that the plaintiffs were entitled to partial summary judgment with respect to ten claims in the action, which included, among other things, findings by the Court establishing DISH Network L.L.C.’s liability for a substantial amount of the alleged outbound telemarketing calls by DISH Network L.L.C. and certain of its independent third-party retailers that were the subject of the plaintiffs’ motion. The Court did not issue any injunctive relief and did not make any determination on civil penalties or damages, ruling instead that the scope of any injunctive relief and the amount of any civil penalties or damages were questions for trial.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The first phase of the bench trial took place January 19, 2016 through February 11, 2016, and the second phase took place October 25, 2016 through November 2, 2016.</w:t>
      </w:r>
    </w:p>
    <w:p>
      <w:pPr>
        <w:spacing w:after="0" w:line="170"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On June 5, 2017, the Court issued Findings of Fact and Conclusions of Law and entered Judgment ordering DISH Network L.L.C. to pay an aggregate amount of $280 million to the federal and state plaintiffs. The Court also issued a Permanent Injunction (the “Injunction”) against DISH Network L.L.C. that imposes certain ongoing compliance requirements on DISH Network L.L.C., which include, among other things: (i) the retention of a telemarketing-compliance expert to prepare a plan to ensure that DISH Network L.L.C. and certain independent third-party retailers will continue to comply with telemarketing laws and the Injunction; (ii) certain telemarketing records retention and production requirements; and (iii) certain compliance reporting and monitoring requirements. In addition to the compliance requirements under the Injunction, within ninety (90) days after the effective date of the Injunction, DISH Network L.L.C. is required to demonstrate that it and certain independent third-party retailers are in compliance with the Safe Harbor Provisions of the TSR and TCPA and have made no prerecorded telemarketing calls during the five (5) years prior to the effective date of the Injunction (collectively, the “Demonstration Requirements”). If DISH Network L.L.C. fails to prove that it meets the Demonstration Requirements, it will be barred from conducting any outbound telemarketing for two (2) years. If DISH Network L.L.C. fails to prove that a particular independent third-party retailer meets the Demonstration Requirements, DISH Network L.L.C. will be barred from accepting orders from that independent third-party retailer for two (2) years. On July 3, 2017, DISH Network L.L.C. filed two motions with the Court: (1) to alter or amend the Judgment or in the alternative to amend the Findings of Fact and Conclusions of Law; and (2) to clarify, alter and amend the Injunction. On August 10, 2017, the Court: (a) denied the motion to alter or amend the Judgment or in the alternative to amend the Findings of Fact and Conclusions of Law; and (b) allowed, in part, the motion to clarify, alter and amend the Injunction, and entered an Amended Permanent Injunction (the “Amended Injunction”).</w:t>
      </w:r>
    </w:p>
    <w:p>
      <w:pPr>
        <w:spacing w:after="0" w:line="387" w:lineRule="exact"/>
        <w:rPr>
          <w:sz w:val="20"/>
          <w:szCs w:val="20"/>
          <w:color w:val="auto"/>
        </w:rPr>
      </w:pPr>
    </w:p>
    <w:p>
      <w:pPr>
        <w:ind w:left="40" w:right="119"/>
        <w:spacing w:after="0" w:line="253" w:lineRule="auto"/>
        <w:rPr>
          <w:sz w:val="20"/>
          <w:szCs w:val="20"/>
          <w:color w:val="auto"/>
        </w:rPr>
      </w:pPr>
      <w:r>
        <w:rPr>
          <w:rFonts w:ascii="Arial" w:cs="Arial" w:eastAsia="Arial" w:hAnsi="Arial"/>
          <w:sz w:val="18"/>
          <w:szCs w:val="18"/>
          <w:color w:val="auto"/>
        </w:rPr>
        <w:t>Among other things, the Amended Injunction provided DISH Network L.L.C. a thirty (30) day extension to meet the Demonstration Requirements, expanded the exclusion of certain independent third-party retailers from the Demonstration Requirements, and clarified that, with regard to independent third-party retailers, the Amended Injunction only applied to their telemarketing of DISH TV goods and services. On October 10, 2017, DISH Network L.L.C. filed a notice of appeal to the United States Court of Appeals for the Seventh Circuit, which heard oral argument on September 17, 2018. On March 26, 2020, the United States Court of Appeals for the Seventh Circuit issued an opinion largely affirming DISH Network L.L.C.’s liability, but vacating and remanding the damages award. The United States Court of Appeals for the Seventh Circuit has granted DISH Network L.L.C. an extension until June 10, 2020 in which to file a petition for rehearing and/or rehearing en banc.</w:t>
      </w:r>
    </w:p>
    <w:p>
      <w:pPr>
        <w:spacing w:after="0" w:line="196"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Our total accrual at March 31, 2020 and December 31, 2019 related to the FTC Action was $280 million, which was recorded in prior periods and is included in “Other accrued expenses” on our Condensed Consolidated Balance Sheets. Any eventual payments made with respect to the FTC Action may not be deductible for tax purposes, which had a negative impact on our effective tax rate for the year ended December 31, 2017. The tax deductibility of any eventual payments made with respect to the FTC Action may change, based upon, among other things, further developments in the FTC Action, including final adjudication of the FTC Action.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99"/>
        <w:spacing w:after="0" w:line="268" w:lineRule="auto"/>
        <w:rPr>
          <w:sz w:val="20"/>
          <w:szCs w:val="20"/>
          <w:color w:val="auto"/>
        </w:rPr>
      </w:pPr>
      <w:r>
        <w:rPr>
          <w:rFonts w:ascii="Arial" w:cs="Arial" w:eastAsia="Arial" w:hAnsi="Arial"/>
          <w:sz w:val="17"/>
          <w:szCs w:val="17"/>
          <w:color w:val="auto"/>
        </w:rPr>
        <w:t>We may also from time to time be subject to private civil litigation alleging telemarketing violations. For example, a portion of the alleged telemarketing violations by an independent third-party retailer at issue in the FTC Action are also the subject of a certified class action filed against DISH Network L.L.C. in the United States District Court for the Middle District of North Carolina (the “Krakauer Action”). Following a five-day trial, on January 19, 2017, a jury in that case found that the independent third-party retailer was acting as DISH Network L.L.C.’s agent when it made the 51,119 calls at issue in that case, and that class members are eligible to recover $400 in damages for each call made in violation of the TCPA. On May 22, 2017, the Court ruled that the violations were willful and knowing, and trebled the damages award to $1,200 for each call made in violation of TCPA. On April 5, 2018, the Court entered a $61 million judgment in favor of the class. DISH Network L.L.C. appealed and on May 30, 2019, the United States Court of Appeals for the Fourth Circuit affirmed. On October 15, 2019, DISH Network L.L.C. filed a petition for writ of certiorari, requesting that the United States Supreme Court agree to hear a further appeal, but it denied the petition on December 16, 2019. On January 21, 2020, DISH Network L.L.C. filed a second notice of appeal relating to the district court’s orders on the claims administration process to identify, and disburse funds to, individual class members. Our total accrual related to the Krakauer Action at December 31, 2018 was $61 million, which was recorded in prior periods and was included in “Other accrued expenses” on our Condensed Consolidated Balance Sheets. During the third quarter 2019, the judgment was paid to the court.</w:t>
      </w:r>
    </w:p>
    <w:p>
      <w:pPr>
        <w:spacing w:after="0" w:line="112" w:lineRule="exact"/>
        <w:rPr>
          <w:sz w:val="20"/>
          <w:szCs w:val="20"/>
          <w:color w:val="auto"/>
        </w:rPr>
      </w:pPr>
    </w:p>
    <w:p>
      <w:pPr>
        <w:ind w:left="40" w:right="419"/>
        <w:spacing w:after="0" w:line="422" w:lineRule="auto"/>
        <w:rPr>
          <w:sz w:val="20"/>
          <w:szCs w:val="20"/>
          <w:color w:val="auto"/>
        </w:rPr>
      </w:pPr>
      <w:r>
        <w:rPr>
          <w:rFonts w:ascii="Arial" w:cs="Arial" w:eastAsia="Arial" w:hAnsi="Arial"/>
          <w:sz w:val="18"/>
          <w:szCs w:val="18"/>
          <w:color w:val="auto"/>
        </w:rPr>
        <w:t xml:space="preserve">We intend to vigorously defend these cases. We cannot predict with any degree of certainty the outcome of these suits. </w:t>
      </w:r>
      <w:r>
        <w:rPr>
          <w:rFonts w:ascii="Arial" w:cs="Arial" w:eastAsia="Arial" w:hAnsi="Arial"/>
          <w:sz w:val="18"/>
          <w:szCs w:val="18"/>
          <w:i w:val="1"/>
          <w:iCs w:val="1"/>
          <w:color w:val="auto"/>
        </w:rPr>
        <w:t>Telemarketing Shareholder Derivative Litigation</w:t>
      </w:r>
    </w:p>
    <w:p>
      <w:pPr>
        <w:spacing w:after="0" w:line="1"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color w:val="auto"/>
        </w:rPr>
        <w:t>On October 19, 2017, Plumbers Local Union No. 519 Pension Trust Fund (“Plumbers Local 519”), a purported shareholder of DISH Network, filed a putative shareholder derivative action in the District Court for Clark County, Nevada alleging, among other things, breach of fiduciary duty claims against the following current and former members of DISH Network’s Board of Directors: Charles W. Ergen; James DeFranco; Cantey M. Ergen; Steven R. Goodbarn; David K. Moskowitz; Tom A. Ortolf; Carl E. Vogel; George R. Brokaw; and Gary S. Howard (collectively, the “Director Defendants”). In its complaint, Plumbers Local 519 contends that, by virtue of their alleged failure to appropriately ensure DISH Network’s compliance with telemarketing laws, the Director Defendants exposed DISH Network to liability for telemarketing violations, including those in the Krakauer Action. It also contends that the Director Defendants caused DISH Network to pay improper compensation and benefits to themselves and others who allegedly breached their fiduciary duties to DISH Network. Plumbers Local 519 alleges causes of action for breach of fiduciary duties of loyalty and good faith, gross mismanagement, abuse of control, corporate waste and unjust enrichment. Plumbers Local 519 is seeking an unspecified amount of damages.</w:t>
      </w:r>
    </w:p>
    <w:p>
      <w:pPr>
        <w:spacing w:after="0" w:line="111"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On November 13, 2017, City of Sterling Heights Police and Fire Retirement System (“Sterling Heights”), a purported shareholder of DISH Network, filed a putative shareholder derivative action in the District Court for Clark County, Nevada. Sterling Heights makes substantially the same allegations as Plumbers Union 519, and alleges causes of action against the Director Defendants for breach of fiduciary duty, waste of corporate assets and unjust enrichment. Sterling Heights is seeking an unspecified amount of damages.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Pursuant to a stipulation of the parties, on January 4, 2018, the District Court agreed to consolidate the Sterling Heights action with the Plumbers Local 519 action, and on January 12, 2018, the plaintiffs filed an amended consolidated complaint that largely duplicates the original Plumbers Local 519 complaint. DISH Network’s Board of Directors has established a Special Litigation Committee to review the factual allegations and legal claims in this action. On May 15, 2018, the District Court granted the Special Litigation Committee’s motion to stay the case pending its investigation. The Special Litigation Committee’s report was filed on November 27, 2018, and recommended that the Company not pursue the claims asserted by the derivative plaintiffs. On December 20, 2018, the Special Litigation Committee filed a motion for summary judgment seeking deferral to its determination that the claims should be dismissed, which the Court has set for an evidentiary hearing on July 6-7, 2020.</w:t>
      </w:r>
    </w:p>
    <w:p>
      <w:pPr>
        <w:spacing w:after="0" w:line="208"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DISH Network cannot predict with any degree of certainty the outcome of these suits or determine the extent of any potential liability or damages.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TQ Delta, LLC</w:t>
      </w:r>
    </w:p>
    <w:p>
      <w:pPr>
        <w:spacing w:after="0" w:line="225" w:lineRule="exact"/>
        <w:rPr>
          <w:sz w:val="20"/>
          <w:szCs w:val="20"/>
          <w:color w:val="auto"/>
        </w:rPr>
      </w:pPr>
    </w:p>
    <w:p>
      <w:pPr>
        <w:ind w:left="40" w:right="179"/>
        <w:spacing w:after="0" w:line="287" w:lineRule="auto"/>
        <w:rPr>
          <w:sz w:val="20"/>
          <w:szCs w:val="20"/>
          <w:color w:val="auto"/>
        </w:rPr>
      </w:pPr>
      <w:r>
        <w:rPr>
          <w:rFonts w:ascii="Arial" w:cs="Arial" w:eastAsia="Arial" w:hAnsi="Arial"/>
          <w:sz w:val="16"/>
          <w:szCs w:val="16"/>
          <w:color w:val="auto"/>
        </w:rPr>
        <w:t>On July 17, 2015, TQ Delta, LLC (“TQ Delta”) filed a complaint against us, DISH Network and our wholly-owned subsidiary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 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68"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have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w:t>
      </w:r>
    </w:p>
    <w:p>
      <w:pPr>
        <w:spacing w:after="0" w:line="185" w:lineRule="exact"/>
        <w:rPr>
          <w:sz w:val="20"/>
          <w:szCs w:val="20"/>
          <w:color w:val="auto"/>
        </w:rPr>
      </w:pPr>
    </w:p>
    <w:p>
      <w:pPr>
        <w:ind w:left="40" w:right="79"/>
        <w:spacing w:after="0" w:line="285" w:lineRule="auto"/>
        <w:rPr>
          <w:sz w:val="20"/>
          <w:szCs w:val="20"/>
          <w:color w:val="auto"/>
        </w:rPr>
      </w:pPr>
      <w:r>
        <w:rPr>
          <w:rFonts w:ascii="Arial" w:cs="Arial" w:eastAsia="Arial" w:hAnsi="Arial"/>
          <w:sz w:val="16"/>
          <w:szCs w:val="16"/>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 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 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has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w:t>
      </w:r>
    </w:p>
    <w:p>
      <w:pPr>
        <w:spacing w:after="0" w:line="171"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Turner Network Sales</w:t>
      </w:r>
    </w:p>
    <w:p>
      <w:pPr>
        <w:spacing w:after="0" w:line="225"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On October 6, 2017, Turner Network Sales, Inc. (“Turner”) filed a complaint against our wholly-owned subsidiary DISH Network L.L.C. in the United States District Court for the Southern District of New York. The operative First Amended Complaint alleges that DISH Network L.L.C. improperly calculated and withheld licensing fees owing to Turner in connection with its carriage of CNN and other networks. On December 14, 2017, DISH Network L.L.C. filed its operative first amended counterclaims against Turner. In the counterclaims, DISH Network L.L.C. seeks a declaratory judgment that it properly calculated the licensing fees owed to Turner for carriage of CNN, and also alleges claims for unrelated breaches of the parties’ affiliation agreement. In its October 1, 2018 damage expert’s report, Turner claimed damages of $159 million, plus $24 million in interest. On September 27, 2019, the Court granted, in part, Turner’s motion for summary judgment, holding, in part, that Turner was entitled to recover approximately $20 million in license fee payments that DISH Network L.L.C. had withheld after it discovered previous over-payments. On February 12, 2020, the parties filed a stipulation to dismiss certain of their respective claims. Trial on the remaining claims in this matter has been re-set for August 17, 2020, where DISH Network L.L.C.’s incremental exposure (per Turner’s damages expert’s amended report) is approximately $206 million.</w:t>
      </w:r>
    </w:p>
    <w:p>
      <w:pPr>
        <w:spacing w:after="0" w:line="18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Uniloc</w:t>
      </w:r>
    </w:p>
    <w:p>
      <w:pPr>
        <w:spacing w:after="0" w:line="225"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81"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 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82"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Vermont National Telephone Company</w:t>
      </w:r>
    </w:p>
    <w:p>
      <w:pPr>
        <w:spacing w:after="0" w:line="225"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On September 23, 2016, the United States District Court for the District of Columbia unsealed a qui tam complaint that was filed by Vermont National Telephone Company (“Vermont National”) against DISH Network; DISH Network’s wholly-owned subsidiaries, American AWS-3 Wireless I L.L.C., American II, American III, and DISH Wireless Holding L.L.C.; Charles W. Ergen (our Chairman) and Cantey M. Ergen (a member of DISH Network’s board of directors); Northstar Wireless; Northstar Spectrum; Northstar Manager, LLC; SNR Wireless; SNR HoldCo; SNR Wireless Management, LLC; and certain other parties. The complaint was unsealed after the United States Department of Justice notified the Court that it had declined to intervene in the action. The complaint is a civil action that was filed under seal on May 13, 2015 by Vermont National, which participated in the AWS-3 Auction through its wholly-owned subsidiary, VTel Wireless.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w:t>
      </w:r>
    </w:p>
    <w:p>
      <w:pPr>
        <w:spacing w:after="0" w:line="179"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w:t>
      </w:r>
    </w:p>
    <w:p>
      <w:pPr>
        <w:spacing w:after="0" w:line="187" w:lineRule="exact"/>
        <w:rPr>
          <w:sz w:val="20"/>
          <w:szCs w:val="20"/>
          <w:color w:val="auto"/>
        </w:rPr>
      </w:pPr>
    </w:p>
    <w:p>
      <w:pPr>
        <w:ind w:left="40" w:right="199"/>
        <w:spacing w:after="0" w:line="289" w:lineRule="auto"/>
        <w:rPr>
          <w:sz w:val="20"/>
          <w:szCs w:val="20"/>
          <w:color w:val="auto"/>
        </w:rPr>
      </w:pPr>
      <w:r>
        <w:rPr>
          <w:rFonts w:ascii="Arial" w:cs="Arial" w:eastAsia="Arial" w:hAnsi="Arial"/>
          <w:sz w:val="16"/>
          <w:szCs w:val="16"/>
          <w:color w:val="auto"/>
        </w:rPr>
        <w:t xml:space="preserve">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6"/>
          <w:szCs w:val="16"/>
          <w:i w:val="1"/>
          <w:iCs w:val="1"/>
          <w:color w:val="auto"/>
        </w:rPr>
        <w:t>SNR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Wireless LicenseCo, LLC, et al. v. F.C.C. </w:t>
      </w:r>
      <w:r>
        <w:rPr>
          <w:rFonts w:ascii="Arial" w:cs="Arial" w:eastAsia="Arial" w:hAnsi="Arial"/>
          <w:sz w:val="16"/>
          <w:szCs w:val="16"/>
          <w:color w:val="auto"/>
        </w:rPr>
        <w:t>The D.C. Circuit issued its opinion on August 29, 2017 and remanded the matter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FCC for further proceedings. See Note 10 </w:t>
      </w:r>
      <w:r>
        <w:rPr>
          <w:rFonts w:ascii="Arial" w:cs="Arial" w:eastAsia="Arial" w:hAnsi="Arial"/>
          <w:sz w:val="16"/>
          <w:szCs w:val="16"/>
          <w:i w:val="1"/>
          <w:iCs w:val="1"/>
          <w:color w:val="auto"/>
        </w:rPr>
        <w:t>“Commitments – DISH Network Non-Controlling Investments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Northstar Entities and the SNR Entities Related to AWS-3 Wireless Spectrum Licenses” </w:t>
      </w:r>
      <w:r>
        <w:rPr>
          <w:rFonts w:ascii="Arial" w:cs="Arial" w:eastAsia="Arial" w:hAnsi="Arial"/>
          <w:sz w:val="16"/>
          <w:szCs w:val="16"/>
          <w:color w:val="auto"/>
        </w:rPr>
        <w:t>in the Notes to DISH Network’s</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Report on Form 10-Q for the quarter ended March 31, 2020 for further information. Thereafter, the Court maintained the stay until October 26, 2018. On February 11, 2019, the Court granted Vermont National’s unopposed motion for leave to file an amended complaint. On March 28, 2019, the defendants filed a motion to dismiss Vermont National’s amended complaint, which has been fully briefed since June 3, 2019.</w:t>
      </w:r>
    </w:p>
    <w:p>
      <w:pPr>
        <w:spacing w:after="0" w:line="166"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DISH Network intends to vigorously defend this case. DISH Network cannot predict with any degree of certainty the outcome of this proceeding or determine the extent of any potential liability or damages.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Waste Disposal Inquiry</w:t>
      </w:r>
    </w:p>
    <w:p>
      <w:pPr>
        <w:spacing w:after="0" w:line="252"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We expect that these entities will seek injunctive and monetary relief. The investigation appears to be part of a broader effort to investigate waste handling and disposal processes of a number of industries. While we are unable to predict the outcome of this investigation, we do not believe that the outcome will have a material effect on our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Financial Information for Subsidiary Guarantors</w:t>
      </w:r>
    </w:p>
    <w:p>
      <w:pPr>
        <w:spacing w:after="0" w:line="162"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Our senior notes are fully, unconditionally and jointly and severally guaranteed by all of our subsidiaries other than minor subsidiaries, and the stand-alone entity DISH DBS has no independent assets or operations. Therefore, supplemental financial information on a condensed consolidating basis of the guarantor subsidiaries is not required. There are no restrictions on our ability to obtain cash dividends or other distributions of funds from the guarantor subsidiaries, except those imposed by applicable law.</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Disaggregation of Revenue</w:t>
      </w:r>
    </w:p>
    <w:p>
      <w:pPr>
        <w:spacing w:after="0" w:line="162" w:lineRule="exact"/>
        <w:rPr>
          <w:sz w:val="20"/>
          <w:szCs w:val="20"/>
          <w:color w:val="auto"/>
        </w:rPr>
      </w:pPr>
    </w:p>
    <w:p>
      <w:pPr>
        <w:ind w:left="40" w:right="359"/>
        <w:spacing w:after="0" w:line="263"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Revenue is attributed to geographic regions based upon the location where the goods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are provided. All subscriber-related revenue was derived from the United States. Substantially all of our long-lived assets reside in the United States.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revenue by geographic region: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For the Three Months Ended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3"/>
              </w:rPr>
              <w:t>March 31,</w:t>
            </w:r>
          </w:p>
        </w:tc>
        <w:tc>
          <w:tcPr>
            <w:tcW w:w="1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(In thousands)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3,157,304</w:t>
            </w:r>
          </w:p>
        </w:tc>
        <w:tc>
          <w:tcPr>
            <w:tcW w:w="1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3,127,109</w:t>
            </w:r>
          </w:p>
        </w:tc>
        <w:tc>
          <w:tcPr>
            <w:tcW w:w="200" w:type="dxa"/>
            <w:vAlign w:val="bottom"/>
            <w:shd w:val="clear" w:color="auto" w:fill="CCEEFF"/>
          </w:tcPr>
          <w:p>
            <w:pPr>
              <w:spacing w:after="0"/>
              <w:rPr>
                <w:sz w:val="18"/>
                <w:szCs w:val="18"/>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 and Mexico</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10,891</w:t>
            </w:r>
          </w:p>
        </w:tc>
        <w:tc>
          <w:tcPr>
            <w:tcW w:w="200" w:type="dxa"/>
            <w:vAlign w:val="bottom"/>
            <w:tcBorders>
              <w:bottom w:val="single" w:sz="8" w:color="CCEEFF"/>
            </w:tcBorders>
          </w:tcPr>
          <w:p>
            <w:pPr>
              <w:spacing w:after="0"/>
              <w:rPr>
                <w:sz w:val="18"/>
                <w:szCs w:val="18"/>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3,167,782</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3,138,000</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41"/>
        </w:trPr>
        <w:tc>
          <w:tcPr>
            <w:tcW w:w="3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(In thousands)</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Pay-TV video and related revenue</w:t>
            </w:r>
          </w:p>
        </w:tc>
        <w:tc>
          <w:tcPr>
            <w:tcW w:w="1700" w:type="dxa"/>
            <w:vAlign w:val="bottom"/>
            <w:gridSpan w:val="3"/>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3,130,900</w:t>
            </w:r>
          </w:p>
        </w:tc>
        <w:tc>
          <w:tcPr>
            <w:tcW w:w="7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3,097,936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sales and other revenue</w:t>
            </w: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36,882</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40,064</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3,167,782</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3,138,000</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44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Contract Balances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valuation and qualifying accounts as of March 31, 2020 were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Current</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Period</w:t>
            </w:r>
          </w:p>
        </w:tc>
        <w:tc>
          <w:tcPr>
            <w:tcW w:w="24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Write-offs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Provision for</w:t>
            </w:r>
          </w:p>
        </w:tc>
        <w:tc>
          <w:tcPr>
            <w:tcW w:w="24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Charged</w:t>
            </w:r>
          </w:p>
        </w:tc>
        <w:tc>
          <w:tcPr>
            <w:tcW w:w="2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Beginning of</w:t>
            </w:r>
          </w:p>
        </w:tc>
        <w:tc>
          <w:tcPr>
            <w:tcW w:w="26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Expected</w:t>
            </w:r>
          </w:p>
        </w:tc>
        <w:tc>
          <w:tcPr>
            <w:tcW w:w="24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Against</w:t>
            </w:r>
          </w:p>
        </w:tc>
        <w:tc>
          <w:tcPr>
            <w:tcW w:w="2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Allowance for credit losses</w:t>
            </w:r>
          </w:p>
        </w:tc>
        <w:tc>
          <w:tcPr>
            <w:tcW w:w="1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Period</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Allowance</w:t>
            </w:r>
          </w:p>
        </w:tc>
        <w:tc>
          <w:tcPr>
            <w:tcW w:w="2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Period</w:t>
            </w:r>
          </w:p>
        </w:tc>
      </w:tr>
      <w:tr>
        <w:trPr>
          <w:trHeight w:val="209"/>
        </w:trPr>
        <w:tc>
          <w:tcPr>
            <w:tcW w:w="3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(In thousands)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three months ended March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38,806</w:t>
            </w:r>
          </w:p>
        </w:tc>
      </w:tr>
    </w:tbl>
    <w:p>
      <w:pPr>
        <w:spacing w:after="0" w:line="310" w:lineRule="exact"/>
        <w:rPr>
          <w:sz w:val="20"/>
          <w:szCs w:val="20"/>
          <w:color w:val="auto"/>
        </w:rPr>
      </w:pPr>
    </w:p>
    <w:p>
      <w:pPr>
        <w:jc w:val="both"/>
        <w:ind w:left="40" w:right="419"/>
        <w:spacing w:after="0" w:line="263" w:lineRule="auto"/>
        <w:rPr>
          <w:sz w:val="20"/>
          <w:szCs w:val="20"/>
          <w:color w:val="auto"/>
        </w:rPr>
      </w:pPr>
      <w:r>
        <w:rPr>
          <w:rFonts w:ascii="Arial" w:cs="Arial" w:eastAsia="Arial" w:hAnsi="Arial"/>
          <w:sz w:val="18"/>
          <w:szCs w:val="18"/>
          <w:color w:val="auto"/>
        </w:rPr>
        <w:t>Deferred revenue related to contracts with our customers is recorded in “Deferred revenue and other” and “Long-term deferred revenue and other long-term liabilities” on our Condensed Consolidated Balance Sheets. Changes in deferred revenue related to contracts with our customers were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Contract</w:t>
            </w:r>
          </w:p>
        </w:tc>
      </w:tr>
      <w:tr>
        <w:trPr>
          <w:trHeight w:val="241"/>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1"/>
              </w:rPr>
              <w:t>Liabilities</w:t>
            </w:r>
          </w:p>
        </w:tc>
      </w:tr>
      <w:tr>
        <w:trPr>
          <w:trHeight w:val="216"/>
        </w:trPr>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jc w:val="center"/>
              <w:ind w:right="370"/>
              <w:spacing w:after="0"/>
              <w:rPr>
                <w:sz w:val="20"/>
                <w:szCs w:val="20"/>
                <w:color w:val="auto"/>
              </w:rPr>
            </w:pPr>
            <w:r>
              <w:rPr>
                <w:rFonts w:ascii="Arial" w:cs="Arial" w:eastAsia="Arial" w:hAnsi="Arial"/>
                <w:sz w:val="18"/>
                <w:szCs w:val="18"/>
                <w:color w:val="auto"/>
                <w:w w:val="90"/>
              </w:rPr>
              <w:t>(In thousands)</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440" w:type="dxa"/>
            <w:vAlign w:val="bottom"/>
            <w:gridSpan w:val="2"/>
            <w:shd w:val="clear" w:color="auto" w:fill="CCEEFF"/>
          </w:tcPr>
          <w:p>
            <w:pPr>
              <w:jc w:val="right"/>
              <w:ind w:right="309"/>
              <w:spacing w:after="0"/>
              <w:rPr>
                <w:sz w:val="20"/>
                <w:szCs w:val="20"/>
                <w:color w:val="auto"/>
              </w:rPr>
            </w:pPr>
            <w:r>
              <w:rPr>
                <w:rFonts w:ascii="Arial" w:cs="Arial" w:eastAsia="Arial" w:hAnsi="Arial"/>
                <w:sz w:val="15"/>
                <w:szCs w:val="15"/>
                <w:color w:val="auto"/>
                <w:w w:val="71"/>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609,054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Recognition of unearned revenue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(1,488,531)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Deferral of revenue</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1,479,875</w:t>
            </w:r>
          </w:p>
        </w:tc>
      </w:tr>
      <w:tr>
        <w:trPr>
          <w:trHeight w:val="210"/>
        </w:trPr>
        <w:tc>
          <w:tcPr>
            <w:tcW w:w="630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600,398</w:t>
            </w: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86" w:lineRule="auto"/>
        <w:rPr>
          <w:sz w:val="20"/>
          <w:szCs w:val="20"/>
          <w:color w:val="auto"/>
        </w:rPr>
      </w:pPr>
      <w:r>
        <w:rPr>
          <w:rFonts w:ascii="Arial" w:cs="Arial" w:eastAsia="Arial" w:hAnsi="Arial"/>
          <w:sz w:val="17"/>
          <w:szCs w:val="17"/>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Related Party Transactions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Master Transaction Agreement</w:t>
      </w:r>
    </w:p>
    <w:p>
      <w:pPr>
        <w:spacing w:after="0" w:line="225" w:lineRule="exact"/>
        <w:rPr>
          <w:sz w:val="20"/>
          <w:szCs w:val="20"/>
          <w:color w:val="auto"/>
        </w:rPr>
      </w:pPr>
    </w:p>
    <w:p>
      <w:pPr>
        <w:ind w:left="40" w:right="59"/>
        <w:spacing w:after="0" w:line="272" w:lineRule="auto"/>
        <w:rPr>
          <w:sz w:val="20"/>
          <w:szCs w:val="20"/>
          <w:color w:val="auto"/>
        </w:rPr>
      </w:pPr>
      <w:r>
        <w:rPr>
          <w:rFonts w:ascii="Arial" w:cs="Arial" w:eastAsia="Arial" w:hAnsi="Arial"/>
          <w:sz w:val="17"/>
          <w:szCs w:val="17"/>
          <w:color w:val="auto"/>
        </w:rPr>
        <w:t>On May 19, 2019, DISH Network entered into the Master Transaction Agreement pursuant to which, on September 10, 2019, EchoStar transferred to DISH Network certain assets and liabilities of its EchoStar Satellite Services segment. As a result of the Master Transaction Agreement, certain agreements that we had with EchoStar have been transferred to DISH Network. The following is a summary of the terms of our principal agreements with DISH Network that may have an impact on our financial condition and results of operations. See Note 13 “</w:t>
      </w:r>
      <w:r>
        <w:rPr>
          <w:rFonts w:ascii="Arial" w:cs="Arial" w:eastAsia="Arial" w:hAnsi="Arial"/>
          <w:sz w:val="17"/>
          <w:szCs w:val="17"/>
          <w:i w:val="1"/>
          <w:iCs w:val="1"/>
          <w:color w:val="auto"/>
        </w:rPr>
        <w:t>Related Party Transactions – Master 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Agreement” </w:t>
      </w:r>
      <w:r>
        <w:rPr>
          <w:rFonts w:ascii="Arial" w:cs="Arial" w:eastAsia="Arial" w:hAnsi="Arial"/>
          <w:sz w:val="17"/>
          <w:szCs w:val="17"/>
          <w:color w:val="auto"/>
        </w:rPr>
        <w:t>in the Notes to DISH Network’s Quarterly Report on Form 10-Q for the quarter ended March 31, 2020 for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the Master Transaction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Related Party Transactions with DISH Network</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“Satellite and transmission expenses”</w:t>
      </w:r>
    </w:p>
    <w:p>
      <w:pPr>
        <w:spacing w:after="0" w:line="225" w:lineRule="exact"/>
        <w:rPr>
          <w:sz w:val="20"/>
          <w:szCs w:val="20"/>
          <w:color w:val="auto"/>
        </w:rPr>
      </w:pPr>
    </w:p>
    <w:p>
      <w:pPr>
        <w:ind w:left="40" w:right="179"/>
        <w:spacing w:after="0" w:line="273" w:lineRule="auto"/>
        <w:rPr>
          <w:sz w:val="20"/>
          <w:szCs w:val="20"/>
          <w:color w:val="auto"/>
        </w:rPr>
      </w:pPr>
      <w:r>
        <w:rPr>
          <w:rFonts w:ascii="Arial" w:cs="Arial" w:eastAsia="Arial" w:hAnsi="Arial"/>
          <w:sz w:val="17"/>
          <w:szCs w:val="17"/>
          <w:color w:val="auto"/>
        </w:rPr>
        <w:t>During the three months ended March 31, 2020 and 2019, we incurred $56 million and $17 million, respectively, for satellite capacity leased from DISH Network and telemetry, tracking and control and other professional services provided to us by DISH Network. As a result of the Master Transaction Agreement, discussed above, DISH Network is now a supplier of the vast majority of our transponder capacity. These amounts are recorded in “Satellite and transmission expenses” on our Condensed Consolidated Statements of Operations and Comprehensive Income (Loss). The agreements pertaining to these expenses are discussed below.</w:t>
      </w:r>
    </w:p>
    <w:p>
      <w:pPr>
        <w:spacing w:after="0" w:line="178"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i w:val="1"/>
          <w:iCs w:val="1"/>
          <w:color w:val="auto"/>
        </w:rPr>
        <w:t>Satellite Capacity Leased from DISH Network</w:t>
      </w:r>
      <w:r>
        <w:rPr>
          <w:rFonts w:ascii="Arial" w:cs="Arial" w:eastAsia="Arial" w:hAnsi="Arial"/>
          <w:sz w:val="18"/>
          <w:szCs w:val="18"/>
          <w:color w:val="auto"/>
        </w:rPr>
        <w:t>. On September 10, 2019, in connection with the Master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DISH Network entered into with EchoStar on May 19, 2019, we began leasing satellite capacity on satellites owned or leased by DISH Network from a wholly-owned subsidiary of DISH Network. See “Pay-TV Satellites” in Note 6 for further information. The term of each lease is set forth below:</w:t>
      </w:r>
    </w:p>
    <w:p>
      <w:pPr>
        <w:spacing w:after="0" w:line="187" w:lineRule="exact"/>
        <w:rPr>
          <w:sz w:val="20"/>
          <w:szCs w:val="20"/>
          <w:color w:val="auto"/>
        </w:rPr>
      </w:pPr>
    </w:p>
    <w:p>
      <w:pPr>
        <w:ind w:left="720" w:right="139" w:hanging="325"/>
        <w:spacing w:after="0" w:line="293"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EchoStar X, XI and XIV. </w:t>
      </w:r>
      <w:r>
        <w:rPr>
          <w:rFonts w:ascii="Arial" w:cs="Arial" w:eastAsia="Arial" w:hAnsi="Arial"/>
          <w:sz w:val="16"/>
          <w:szCs w:val="16"/>
          <w:color w:val="auto"/>
        </w:rPr>
        <w:t>On March 1, 2014, we began leasing all available capacity from EchoStar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EchoStar , X, XI and XIV satellites.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 There can be no assurance that any options to renew such agreements will be exercised. Pursuant to the Master Transaction Agreement, discussed above, on September 10, 2019, the satellite capacity agreement we previously had with EchoStar for EchoStar X, XI and XIV was transferred to DISH Network and we began leasing satellite capacity on these satellites from a wholly-owned subsidiary of DISH Network as of the same date.</w:t>
      </w:r>
    </w:p>
    <w:p>
      <w:pPr>
        <w:spacing w:after="0" w:line="97" w:lineRule="exact"/>
        <w:rPr>
          <w:rFonts w:ascii="Arial" w:cs="Arial" w:eastAsia="Arial" w:hAnsi="Arial"/>
          <w:sz w:val="16"/>
          <w:szCs w:val="16"/>
          <w:color w:val="auto"/>
        </w:rPr>
      </w:pPr>
    </w:p>
    <w:p>
      <w:pPr>
        <w:ind w:left="720" w:right="79" w:hanging="325"/>
        <w:spacing w:after="0" w:line="267"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In December 2009, we entered into a transponder service agreement with EchoStar to lease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capacity on EchoStar XVI, a DBS satellite, after its service commencement date. EchoStar XVI was launched in November 2012 to replace EchoStar XV at the 61.5 degree orbital location and is currently in service. Effective December 21, 2012, we and EchoStar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EchoStar amended the transponder service agreement to, among other things, extend the initial term by one additional year and to reduce the term of the first renewal option by one year. Prior to expiration of the initial term, we had the option to renew for an additional five-year period. In May 2017, we exercised our first renewal option for an additional five-year period ending in January 2023. We also have the option to renew for an additional five-year period prior to expiration of the first renewal period in January 2023. There can be no assurance that the option to renew this agreement will be exercised. During 2018, we and EchoStar further amended the agreement to, among other things, allow us to place and use certain satellites at the 61.5 degree orbital location. Pursuant to the Master Transaction Agreement, discussed above, on September 10, 2019, the transponder service agreement we previously had with EchoStar for EchoStar XVI was transferred to DISH Network and we began receiving transponder services from a wholly-owned subsidiary of DISH Network as of the same date.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i w:val="1"/>
          <w:iCs w:val="1"/>
          <w:color w:val="auto"/>
        </w:rPr>
        <w:t>Nimiq 5 Agreement</w:t>
      </w:r>
      <w:r>
        <w:rPr>
          <w:rFonts w:ascii="Arial" w:cs="Arial" w:eastAsia="Arial" w:hAnsi="Arial"/>
          <w:sz w:val="16"/>
          <w:szCs w:val="16"/>
          <w:color w:val="auto"/>
        </w:rPr>
        <w:t>. During 2009, EchoStar entered into a fifteen-year satellite service agreement with Telesat Canada</w:t>
      </w:r>
      <w:r>
        <w:rPr>
          <w:rFonts w:ascii="Arial" w:cs="Arial" w:eastAsia="Arial" w:hAnsi="Arial"/>
          <w:sz w:val="16"/>
          <w:szCs w:val="16"/>
          <w:i w:val="1"/>
          <w:iCs w:val="1"/>
          <w:color w:val="auto"/>
        </w:rPr>
        <w:t xml:space="preserve"> </w:t>
      </w:r>
      <w:r>
        <w:rPr>
          <w:rFonts w:ascii="Arial" w:cs="Arial" w:eastAsia="Arial" w:hAnsi="Arial"/>
          <w:sz w:val="16"/>
          <w:szCs w:val="16"/>
          <w:color w:val="auto"/>
        </w:rPr>
        <w:t>(“Telesat”) to receive service on all 32 DBS transponders on the Nimiq 5 satellite at the 72.7 degree orbital location (the “Telesat Transponder Agreement”). During 2009, EchoStar also entered into a satellite service agreement (the “DISH Nimiq 5 Agreement”) with us, pursuant to which we received service from EchoStar on all 32 of the DBS transponders covered by the Telesat Transponder Agreement. Under the terms of the DISH Nimiq 5 Agreement, we made certain monthly payments to EchoStar that commenced in 2009 when the Nimiq 5 satellite was placed into service and continued through the service term. Unless earlier terminated under the terms and conditions of the DISH Nimiq 5 Agreement, the service term would expire ten years following the date the Nimiq 5 satellite was placed into service. Upon expiration of the initial term, we had the option to renew the DISH Nimiq 5 Agreement on a year-to-year basis through the end-of-life of the Nimiq 5 satellite. Upon in-orbit failure or end-of-life of the Nimiq 5 satellite, and in certain other circumstances, we had certain rights to receive service from EchoStar on a replacement satellite. Pursuant to the Master Transaction Agreement, discussed above, on September 10, 2019, the Telesat Transponder Agreement was transferred to DISH Network and we began receiving transponder services on the Nimiq 5 satellite from a wholly-owned subsidiary of DISH Network as of the same date and exercised our option to renew for a one-year period through September 2020. As discussed in Note 6, “Property and Equipment and Intangible Assets,” the Nimiq 5 satellite lease has been accounted for as a finance lease since September 2019. Accordingly, expenses related to this lease are no longer recorded in “Satellite and transmission expenses,” but rather in “Depreciation and amortization” and “Interest expense, net of amounts capitalized” on our Condensed Consolidated Statements of Operations and Comprehensive Income (Loss). During the three months ended March 31, 2020, we recorded $9 million of “Depreciation and amortization expense” and $4 million of “Interest expense, net of amounts capitalized” related to Nimiq 5.</w:t>
      </w:r>
    </w:p>
    <w:p>
      <w:pPr>
        <w:spacing w:after="0" w:line="385"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i w:val="1"/>
          <w:iCs w:val="1"/>
          <w:color w:val="auto"/>
        </w:rPr>
        <w:t xml:space="preserve">QuetzSat-1 Lease Agreement. </w:t>
      </w:r>
      <w:r>
        <w:rPr>
          <w:rFonts w:ascii="Arial" w:cs="Arial" w:eastAsia="Arial" w:hAnsi="Arial"/>
          <w:sz w:val="16"/>
          <w:szCs w:val="16"/>
          <w:color w:val="auto"/>
        </w:rPr>
        <w:t>During 2008, EchoStar entered into a ten-year satellite service agreement with SES Latin</w:t>
      </w:r>
      <w:r>
        <w:rPr>
          <w:rFonts w:ascii="Arial" w:cs="Arial" w:eastAsia="Arial" w:hAnsi="Arial"/>
          <w:sz w:val="16"/>
          <w:szCs w:val="16"/>
          <w:i w:val="1"/>
          <w:iCs w:val="1"/>
          <w:color w:val="auto"/>
        </w:rPr>
        <w:t xml:space="preserve"> </w:t>
      </w:r>
      <w:r>
        <w:rPr>
          <w:rFonts w:ascii="Arial" w:cs="Arial" w:eastAsia="Arial" w:hAnsi="Arial"/>
          <w:sz w:val="16"/>
          <w:szCs w:val="16"/>
          <w:color w:val="auto"/>
        </w:rPr>
        <w:t>America S.A. (“SES”), which provides, among other things, for the provision by SES to EchoStar of service on 32 DBS transponders on the QuetzSat-1 satellite. During 2008, EchoStar also entered into a transponder service agreement (“QuetzSat-1 Transponder Agreement”) with us pursuant to which we received service from EchoStar on 24 DBS transponders. QuetzSat-1 was launched on September 29, 2011 and was placed into service during the fourth quarter 2011 at the 67.1 degree orbital location while we and EchoStar explored alternative uses for the QuetzSat-1 satellite. In the interim, EchoStar provided us with alternate capacity at the 77 degree orbital location. In January 2013, QuetzSat-1 was moved to the 77 degree orbital location and we commenced commercial operations at that location in February 2013. Unless earlier terminated under the terms and conditions of the QuetzSat-1 Transponder Agreement, the initial service term will expire in November 2021. Upon expiration of the initial term, we have the option to renew the QuetzSat-1 Transponder Agreement on a year-to-year basis through the end-of-life of the QuetzSat-1 satellite. Upon an in-orbit failure or end-of-life of the QuetzSat-1 satellite, and in certain other circumstances, we have certain rights to receive service from DISH Network on a replacement satellite. There can be no assurance that any options to renew the QuetzSat-1 Transponder Agreement will be exercised or that we will exercise our option to receive service on a replacement satellite. Our lease arrangement with DISH Network expires in November 2021.</w:t>
      </w:r>
    </w:p>
    <w:p>
      <w:pPr>
        <w:spacing w:after="0" w:line="167"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color w:val="auto"/>
        </w:rPr>
        <w:t>Pursuant to the Master Transaction Agreement, discussed above, on September 10, 2019, the QuetzSat-1 Transponder Agreement was transferred to DISH Network and we began receiving transponder services on QuetzSat-1 from a wholly-owned subsidiary of DISH Network as of the same date.</w:t>
      </w:r>
    </w:p>
    <w:p>
      <w:pPr>
        <w:spacing w:after="0" w:line="184" w:lineRule="exact"/>
        <w:rPr>
          <w:sz w:val="20"/>
          <w:szCs w:val="20"/>
          <w:color w:val="auto"/>
        </w:rPr>
      </w:pPr>
    </w:p>
    <w:p>
      <w:pPr>
        <w:ind w:left="40" w:right="319"/>
        <w:spacing w:after="0" w:line="257" w:lineRule="auto"/>
        <w:rPr>
          <w:sz w:val="20"/>
          <w:szCs w:val="20"/>
          <w:color w:val="auto"/>
        </w:rPr>
      </w:pPr>
      <w:r>
        <w:rPr>
          <w:rFonts w:ascii="Arial" w:cs="Arial" w:eastAsia="Arial" w:hAnsi="Arial"/>
          <w:sz w:val="18"/>
          <w:szCs w:val="18"/>
          <w:i w:val="1"/>
          <w:iCs w:val="1"/>
          <w:color w:val="auto"/>
        </w:rPr>
        <w:t xml:space="preserve">EchoStar XVIII Satellite. </w:t>
      </w:r>
      <w:r>
        <w:rPr>
          <w:rFonts w:ascii="Arial" w:cs="Arial" w:eastAsia="Arial" w:hAnsi="Arial"/>
          <w:sz w:val="18"/>
          <w:szCs w:val="18"/>
          <w:color w:val="auto"/>
        </w:rPr>
        <w:t>The EchoStar XVIII satellite was launched on June 18, 2016 and became operational as an in-orbit spare at the 61.5 degree orbital location during the third quarter 2016, at which time we began leasing it from a wholly-owned subsidiary of DISH Network. On May 14, 2019, we and DOLLC II entered into an agreement to sell our interests in the LMDS and MVDDS licenses in exchange for the EchoStar XVIII satellite. See Note 6 for further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239"/>
        <w:spacing w:after="0" w:line="253" w:lineRule="auto"/>
        <w:rPr>
          <w:sz w:val="20"/>
          <w:szCs w:val="20"/>
          <w:color w:val="auto"/>
        </w:rPr>
      </w:pPr>
      <w:r>
        <w:rPr>
          <w:rFonts w:ascii="Arial" w:cs="Arial" w:eastAsia="Arial" w:hAnsi="Arial"/>
          <w:sz w:val="18"/>
          <w:szCs w:val="18"/>
          <w:i w:val="1"/>
          <w:iCs w:val="1"/>
          <w:color w:val="auto"/>
        </w:rPr>
        <w:t xml:space="preserve">TT&amp;C Agreement. </w:t>
      </w:r>
      <w:r>
        <w:rPr>
          <w:rFonts w:ascii="Arial" w:cs="Arial" w:eastAsia="Arial" w:hAnsi="Arial"/>
          <w:sz w:val="18"/>
          <w:szCs w:val="18"/>
          <w:color w:val="auto"/>
        </w:rPr>
        <w:t>Effective January 1, 2012, we entered into a TT&amp;C agreement pursuant to which we receive TT&amp;C</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from EchoStar for certain satellites (the “TT&amp;C Agreement”). In February 2018, we amended the TT&amp;C Agreement to, among other things, extend the term for one-year with four automatic one-year renewal periods. The fees for services provided under the TT&amp;C Agreement are calculated at either: (i) a fixed fee; or (ii) cost plus a fixed margin, which will vary depending on the nature of the services provided. We and EchoStar are able to terminate the TT&amp;C Agreement for any reason upon 12 months’ notice. On May 19, 2019, DISH Network entered into a Master Transaction Agreement pursuant to which, on September 10, 2019, the assets and employees that provide these services were transferred to DISH Network. We began receiving TT&amp;C services from a wholly-owned subsidiary of DISH Network as of the same date.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40" w:right="319"/>
        <w:spacing w:after="0" w:line="279" w:lineRule="auto"/>
        <w:rPr>
          <w:sz w:val="20"/>
          <w:szCs w:val="20"/>
          <w:color w:val="auto"/>
        </w:rPr>
      </w:pPr>
      <w:r>
        <w:rPr>
          <w:rFonts w:ascii="Arial" w:cs="Arial" w:eastAsia="Arial" w:hAnsi="Arial"/>
          <w:sz w:val="17"/>
          <w:szCs w:val="17"/>
          <w:color w:val="auto"/>
        </w:rPr>
        <w:t>During the three months ended March 31, 2020 and 2019, we incurred $2 million and zero, respectively, for general and administrative expenses for services provided to us by DISH Network. These amounts are recorded in “General and administrative expenses” on our Condensed Consolidated Statements of Operations and Comprehensive Income (Loss). The agreements pertaining to these expenses are discussed below.</w:t>
      </w:r>
    </w:p>
    <w:p>
      <w:pPr>
        <w:spacing w:after="0" w:line="171"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On September 10, 2019, in connection with the Master Transaction Agreement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and we began leasing office space owned or leased by DISH Network from a wholly-owned subsidiary of DISH Network. The term of each lease is set forth below:</w:t>
      </w:r>
    </w:p>
    <w:p>
      <w:pPr>
        <w:spacing w:after="0" w:line="184" w:lineRule="exact"/>
        <w:rPr>
          <w:sz w:val="20"/>
          <w:szCs w:val="20"/>
          <w:color w:val="auto"/>
        </w:rPr>
      </w:pPr>
    </w:p>
    <w:p>
      <w:pPr>
        <w:ind w:left="720" w:right="339" w:hanging="325"/>
        <w:spacing w:after="0" w:line="25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Santa Fe Lease Agreement. </w:t>
      </w:r>
      <w:r>
        <w:rPr>
          <w:rFonts w:ascii="Arial" w:cs="Arial" w:eastAsia="Arial" w:hAnsi="Arial"/>
          <w:sz w:val="18"/>
          <w:szCs w:val="18"/>
          <w:color w:val="auto"/>
        </w:rPr>
        <w:t>The lease for all of 5701 S. Santa Fe Dr. in Littleton, Colorado originally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to us was for a period ending on December 31, 2018. In December 2018, we and EchoStar amended this lease to, among other things, extend the term thereof for one additional year until December 31, 2019. Pursuant to the Master Transaction Agreement, discussed above, on September 10, 2019, this lease was transferred to DISH Network and we began leasing all of 5701 S. Santa Fe Dr. in Littleton, Colorado from a wholly-owned subsidiary of DISH Network as of the same date. In December 2019, we and DISH Network amended this lease to, among other things, extend the term thereof for one additional year until December 31, 2020.</w:t>
      </w:r>
    </w:p>
    <w:p>
      <w:pPr>
        <w:spacing w:after="0" w:line="124" w:lineRule="exact"/>
        <w:rPr>
          <w:rFonts w:ascii="Arial" w:cs="Arial" w:eastAsia="Arial" w:hAnsi="Arial"/>
          <w:sz w:val="18"/>
          <w:szCs w:val="18"/>
          <w:color w:val="auto"/>
        </w:rPr>
      </w:pPr>
    </w:p>
    <w:p>
      <w:pPr>
        <w:ind w:left="720" w:right="159" w:hanging="325"/>
        <w:spacing w:after="0" w:line="270"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Cheyenne Lease Agreement. </w:t>
      </w:r>
      <w:r>
        <w:rPr>
          <w:rFonts w:ascii="Arial" w:cs="Arial" w:eastAsia="Arial" w:hAnsi="Arial"/>
          <w:sz w:val="17"/>
          <w:szCs w:val="17"/>
          <w:color w:val="auto"/>
        </w:rPr>
        <w:t>The lease for certain space at 530 EchoStar Drive in Cheyenne, Wyoming is for a</w:t>
      </w:r>
      <w:r>
        <w:rPr>
          <w:rFonts w:ascii="Arial" w:cs="Arial" w:eastAsia="Arial" w:hAnsi="Arial"/>
          <w:sz w:val="17"/>
          <w:szCs w:val="17"/>
          <w:i w:val="1"/>
          <w:iCs w:val="1"/>
          <w:color w:val="auto"/>
        </w:rPr>
        <w:t xml:space="preserve"> </w:t>
      </w:r>
      <w:r>
        <w:rPr>
          <w:rFonts w:ascii="Arial" w:cs="Arial" w:eastAsia="Arial" w:hAnsi="Arial"/>
          <w:sz w:val="17"/>
          <w:szCs w:val="17"/>
          <w:color w:val="auto"/>
        </w:rPr>
        <w:t>period ending on December 31, 2031. In connection with the completion of the Share Exchange, EchoStar transferred ownership of a portion of this property to DISH Network, and, effective March 1, 2017, DISH Network and EchoStar amended this lease agreement to (i) terminate the lease of certain space at the portion of the property that was transferred to us and (ii) provide for the continued lease to us of certain space at the portion of the property that EchoStar retained. Pursuant to the Master Transaction Agreement, discussed above, the portion of the property EchoStar retained was transferred to DISH Network, and on September 10, 2019, this lease was transferred to DISH Network and we began leasing certain space from a wholly-owned subsidiary of DISH Network as of the same date.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jc w:val="both"/>
        <w:ind w:left="40" w:right="399"/>
        <w:spacing w:after="0" w:line="286" w:lineRule="auto"/>
        <w:rPr>
          <w:sz w:val="20"/>
          <w:szCs w:val="20"/>
          <w:color w:val="auto"/>
        </w:rPr>
      </w:pPr>
      <w:r>
        <w:rPr>
          <w:rFonts w:ascii="Arial" w:cs="Arial" w:eastAsia="Arial" w:hAnsi="Arial"/>
          <w:sz w:val="17"/>
          <w:szCs w:val="17"/>
          <w:i w:val="1"/>
          <w:iCs w:val="1"/>
          <w:color w:val="auto"/>
        </w:rPr>
        <w:t xml:space="preserve">Broadband, Wireless and Other Operations. </w:t>
      </w:r>
      <w:r>
        <w:rPr>
          <w:rFonts w:ascii="Arial" w:cs="Arial" w:eastAsia="Arial" w:hAnsi="Arial"/>
          <w:sz w:val="17"/>
          <w:szCs w:val="17"/>
          <w:color w:val="auto"/>
        </w:rPr>
        <w:t>We provide certain administrative, call center, installation, marketing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services to DISH Network’s broadband, wireless and other operations. During the three months ended March 31, 2020 and 2019, the costs associated with these services was $21 million and $12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Related Party Transactions with EchoStar</w:t>
      </w:r>
    </w:p>
    <w:p>
      <w:pPr>
        <w:spacing w:after="0" w:line="158"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Following the Spin-off, DISH Network and EchoStar have operated as separate publicly-traded companies and neither entity has any ownership interest in the other. However, a substantial majority of the voting power of the shares of both companies is owned beneficially by Charles W. Ergen, our Chairman, and by certain entities established by Mr. Ergen for the benefit of his family.</w:t>
      </w:r>
    </w:p>
    <w:p>
      <w:pPr>
        <w:spacing w:after="0" w:line="119"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In connection with and following the Spin-off, we and EchoStar have entered into certain agreements pursuant to which we obtain certain products, services and rights from EchoStar, EchoStar obtains certain products, services and rights from us, and we and EchoStar have indemnified each other against certain liabilities arising from our respective businesses. Pursuant to the Share Exchange Agreement, among other things, EchoStar transferred to us certain assets and liabilities of the EchoStar technologies and EchoStar broadcasting businesses. Pursuant to the Master Transaction Agreement, among other things, EchoStar transferred to DISH Network certain assets and liabilities of its EchoStar Satellite Services segment. In connection with the Share Exchange and the Master Transaction Agreement, DISH Network and EchoStar and certain of their respective subsidiaries entered into certain agreements covering, among other things, tax matters, employee matters, intellectual property matters and the provision of transitional services. In addition, certain agreements that we had with EchoStar have terminated, and we entered into certain new agreements with EchoStar. We also may enter into additional agreements with EchoStar in the future. The following is a summary of the terms of our principal agreements with EchoStar that may have an impact on our financial condition and results of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58" w:lineRule="exact"/>
        <w:rPr>
          <w:sz w:val="20"/>
          <w:szCs w:val="20"/>
          <w:color w:val="auto"/>
        </w:rPr>
      </w:pPr>
    </w:p>
    <w:p>
      <w:pPr>
        <w:ind w:left="40" w:right="159"/>
        <w:spacing w:after="0" w:line="342" w:lineRule="auto"/>
        <w:rPr>
          <w:sz w:val="20"/>
          <w:szCs w:val="20"/>
          <w:color w:val="auto"/>
        </w:rPr>
      </w:pPr>
      <w:r>
        <w:rPr>
          <w:rFonts w:ascii="Arial" w:cs="Arial" w:eastAsia="Arial" w:hAnsi="Arial"/>
          <w:sz w:val="16"/>
          <w:szCs w:val="16"/>
          <w:color w:val="auto"/>
        </w:rPr>
        <w:t>As of March 31, 2020 and December 31, 2019, trade accounts receivable from EchoStar was $2 million and $1 million, respectively. These amounts are recorded in “Trade accounts receivable” on our Condensed Consolidated Balance Sheets.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58"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As of March 31, 2020 and December 31, 2019, trade accounts payable to EchoStar was $8 million and $3 million, respectively. These amounts are recorded in “Trade accounts payable” on our Condensed Consolidated Balance Sheets.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58"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During the three months ended March 31, 2020 and 2019, we received $1 million and $2 million, respectively, for services provided to EchoStar. These amounts are recorded in “Equipment sales and other revenue” on our Condensed Consolidated Statements of Operations and Comprehensive Income (Loss). The agreements pertaining to these revenues are discussed below.</w:t>
      </w:r>
    </w:p>
    <w:p>
      <w:pPr>
        <w:spacing w:after="0" w:line="119" w:lineRule="exact"/>
        <w:rPr>
          <w:sz w:val="20"/>
          <w:szCs w:val="20"/>
          <w:color w:val="auto"/>
        </w:rPr>
      </w:pPr>
    </w:p>
    <w:p>
      <w:pPr>
        <w:ind w:left="40" w:right="159"/>
        <w:spacing w:after="0" w:line="301" w:lineRule="auto"/>
        <w:rPr>
          <w:sz w:val="20"/>
          <w:szCs w:val="20"/>
          <w:color w:val="auto"/>
        </w:rPr>
      </w:pPr>
      <w:r>
        <w:rPr>
          <w:rFonts w:ascii="Arial" w:cs="Arial" w:eastAsia="Arial" w:hAnsi="Arial"/>
          <w:sz w:val="16"/>
          <w:szCs w:val="16"/>
          <w:i w:val="1"/>
          <w:iCs w:val="1"/>
          <w:color w:val="auto"/>
        </w:rPr>
        <w:t xml:space="preserve">Real Estate Lease Agreements. </w:t>
      </w:r>
      <w:r>
        <w:rPr>
          <w:rFonts w:ascii="Arial" w:cs="Arial" w:eastAsia="Arial" w:hAnsi="Arial"/>
          <w:sz w:val="16"/>
          <w:szCs w:val="16"/>
          <w:color w:val="auto"/>
        </w:rPr>
        <w:t>DISH Network has entered into lease agreements pursuant to which DISH Network leases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real estate to EchoStar. The rent on a per square foot basis for each of the leases is comparable to per square foot rental rates of similar commercial property in the same geographic areas, and EchoStar is responsible for its portion of the taxes, insurance, utilities and maintenance of the premises. The term of each lease is set forth below:</w:t>
      </w:r>
    </w:p>
    <w:p>
      <w:pPr>
        <w:spacing w:after="0" w:line="90" w:lineRule="exact"/>
        <w:rPr>
          <w:sz w:val="20"/>
          <w:szCs w:val="20"/>
          <w:color w:val="auto"/>
        </w:rPr>
      </w:pPr>
    </w:p>
    <w:p>
      <w:pPr>
        <w:ind w:left="720" w:right="179" w:hanging="325"/>
        <w:spacing w:after="0" w:line="25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El Paso Lease Agreement. </w:t>
      </w:r>
      <w:r>
        <w:rPr>
          <w:rFonts w:ascii="Arial" w:cs="Arial" w:eastAsia="Arial" w:hAnsi="Arial"/>
          <w:sz w:val="18"/>
          <w:szCs w:val="18"/>
          <w:color w:val="auto"/>
        </w:rPr>
        <w:t>During 2012, DISH Network began leasing certain space at 1285 Joe Battle Blvd., El</w:t>
      </w:r>
      <w:r>
        <w:rPr>
          <w:rFonts w:ascii="Arial" w:cs="Arial" w:eastAsia="Arial" w:hAnsi="Arial"/>
          <w:sz w:val="18"/>
          <w:szCs w:val="18"/>
          <w:i w:val="1"/>
          <w:iCs w:val="1"/>
          <w:color w:val="auto"/>
        </w:rPr>
        <w:t xml:space="preserve"> </w:t>
      </w:r>
      <w:r>
        <w:rPr>
          <w:rFonts w:ascii="Arial" w:cs="Arial" w:eastAsia="Arial" w:hAnsi="Arial"/>
          <w:sz w:val="18"/>
          <w:szCs w:val="18"/>
          <w:color w:val="auto"/>
        </w:rPr>
        <w:t>Paso, Texas to EchoStar for an initial period ending on August 1, 2015, which also provides EchoStar with renewal options for four consecutive three-year terms. During the second quarter 2015, EchoStar exercised its first renewal option for a period ending on August 1, 2018 and in April 2018 EchoStar exercised its second renewal option for a period ending in August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720" w:right="79" w:hanging="325"/>
        <w:spacing w:after="0" w:line="286"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90 Inverness Lease Agreement</w:t>
      </w:r>
      <w:r>
        <w:rPr>
          <w:rFonts w:ascii="Arial" w:cs="Arial" w:eastAsia="Arial" w:hAnsi="Arial"/>
          <w:sz w:val="17"/>
          <w:szCs w:val="17"/>
          <w:color w:val="auto"/>
        </w:rPr>
        <w:t>. In connection with the completion of the Share Exchange, effective March 1,</w:t>
      </w:r>
      <w:r>
        <w:rPr>
          <w:rFonts w:ascii="Arial" w:cs="Arial" w:eastAsia="Arial" w:hAnsi="Arial"/>
          <w:sz w:val="17"/>
          <w:szCs w:val="17"/>
          <w:i w:val="1"/>
          <w:iCs w:val="1"/>
          <w:color w:val="auto"/>
        </w:rPr>
        <w:t xml:space="preserve"> </w:t>
      </w:r>
      <w:r>
        <w:rPr>
          <w:rFonts w:ascii="Arial" w:cs="Arial" w:eastAsia="Arial" w:hAnsi="Arial"/>
          <w:sz w:val="17"/>
          <w:szCs w:val="17"/>
          <w:color w:val="auto"/>
        </w:rPr>
        <w:t>2017, EchoStar leases certain space from us at 90 Inverness Circle East, Englewood, Colorado for a period ending in February 2022. EchoStar has the option to renew this lease for four three-year periods.</w:t>
      </w:r>
    </w:p>
    <w:p>
      <w:pPr>
        <w:spacing w:after="0" w:line="165" w:lineRule="exact"/>
        <w:rPr>
          <w:rFonts w:ascii="Arial" w:cs="Arial" w:eastAsia="Arial" w:hAnsi="Arial"/>
          <w:sz w:val="17"/>
          <w:szCs w:val="17"/>
          <w:color w:val="auto"/>
        </w:rPr>
      </w:pPr>
    </w:p>
    <w:p>
      <w:pPr>
        <w:ind w:left="720" w:right="79" w:hanging="325"/>
        <w:spacing w:after="0" w:line="271"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Cheyenne Lease Agreement</w:t>
      </w:r>
      <w:r>
        <w:rPr>
          <w:rFonts w:ascii="Arial" w:cs="Arial" w:eastAsia="Arial" w:hAnsi="Arial"/>
          <w:sz w:val="17"/>
          <w:szCs w:val="17"/>
          <w:color w:val="auto"/>
        </w:rPr>
        <w:t>. In connection with the completion of the Share Exchange, effective March 1, 2017,</w:t>
      </w:r>
      <w:r>
        <w:rPr>
          <w:rFonts w:ascii="Arial" w:cs="Arial" w:eastAsia="Arial" w:hAnsi="Arial"/>
          <w:sz w:val="17"/>
          <w:szCs w:val="17"/>
          <w:i w:val="1"/>
          <w:iCs w:val="1"/>
          <w:color w:val="auto"/>
        </w:rPr>
        <w:t xml:space="preserve"> </w:t>
      </w:r>
      <w:r>
        <w:rPr>
          <w:rFonts w:ascii="Arial" w:cs="Arial" w:eastAsia="Arial" w:hAnsi="Arial"/>
          <w:sz w:val="17"/>
          <w:szCs w:val="17"/>
          <w:color w:val="auto"/>
        </w:rPr>
        <w:t>EchoStar leases certain space from us at 530 EchoStar Drive, Cheyenne, Wyoming for a period ending in February 2019. In August 2018, EchoStar exercised its option to renew this lease for a one-year period ending in February 2020. EchoStar has the option to renew this lease for 12 one-year periods. In connection with the Master Transaction Agreement, DISH Network and EchoStar amended this lease to provide EchoStar with certain space for a period ending in September 2021, with the option for EchoStar to renew for a one-year period upon 180 days’ written notice prior to the end of the term</w:t>
      </w:r>
      <w:r>
        <w:rPr>
          <w:rFonts w:ascii="Arial" w:cs="Arial" w:eastAsia="Arial" w:hAnsi="Arial"/>
          <w:sz w:val="20"/>
          <w:szCs w:val="20"/>
          <w:color w:val="auto"/>
        </w:rPr>
        <w:t>.</w:t>
      </w:r>
    </w:p>
    <w:p>
      <w:pPr>
        <w:spacing w:after="0" w:line="170" w:lineRule="exact"/>
        <w:rPr>
          <w:rFonts w:ascii="Arial" w:cs="Arial" w:eastAsia="Arial" w:hAnsi="Arial"/>
          <w:sz w:val="17"/>
          <w:szCs w:val="17"/>
          <w:color w:val="auto"/>
        </w:rPr>
      </w:pPr>
    </w:p>
    <w:p>
      <w:pPr>
        <w:ind w:left="720" w:right="59" w:hanging="325"/>
        <w:spacing w:after="0" w:line="265"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In connection with the completion of the Share Exchange, effective March 1, 2017,</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leases certain space from us at 801 N. DISH Dr., Gilbert, Arizona for a period ending in March 2019. In August 2018, EchoStar exercised its option to renew this lease for a one-year period ending in February 2020. EchoStar has the option to renew this lease for 12 one-year periods. This lease was terminated effective September 10, 2019.</w:t>
      </w:r>
    </w:p>
    <w:p>
      <w:pPr>
        <w:spacing w:after="0" w:line="112" w:lineRule="exact"/>
        <w:rPr>
          <w:rFonts w:ascii="Arial" w:cs="Arial" w:eastAsia="Arial" w:hAnsi="Arial"/>
          <w:sz w:val="18"/>
          <w:szCs w:val="18"/>
          <w:color w:val="auto"/>
        </w:rPr>
      </w:pPr>
    </w:p>
    <w:p>
      <w:pPr>
        <w:ind w:left="720" w:right="279" w:hanging="325"/>
        <w:spacing w:after="0" w:line="25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American Fork Occupancy License Agreement. </w:t>
      </w:r>
      <w:r>
        <w:rPr>
          <w:rFonts w:ascii="Arial" w:cs="Arial" w:eastAsia="Arial" w:hAnsi="Arial"/>
          <w:sz w:val="18"/>
          <w:szCs w:val="18"/>
          <w:color w:val="auto"/>
        </w:rPr>
        <w:t>In connection with the completion of the Share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March 1, 2017, we acquired the lease for certain space at 796 East Utah Valley Drive, American Fork, Utah, and we sublease certain space at this location to EchoStar for a period ending in August 2017. In June 2017, EchoStar exercised its five-year renewal option for a period ending in August 2022. This lease was terminated effective March 2019.</w:t>
      </w:r>
    </w:p>
    <w:p>
      <w:pPr>
        <w:spacing w:after="0" w:line="120"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i w:val="1"/>
          <w:iCs w:val="1"/>
          <w:color w:val="auto"/>
        </w:rPr>
        <w:t>Collocation and Antenna Space Agreements</w:t>
      </w:r>
      <w:r>
        <w:rPr>
          <w:rFonts w:ascii="Arial" w:cs="Arial" w:eastAsia="Arial" w:hAnsi="Arial"/>
          <w:sz w:val="16"/>
          <w:szCs w:val="16"/>
          <w:color w:val="auto"/>
        </w:rPr>
        <w:t>. In connection with the completion of the Share Exchange, effective March 1,</w:t>
      </w:r>
      <w:r>
        <w:rPr>
          <w:rFonts w:ascii="Arial" w:cs="Arial" w:eastAsia="Arial" w:hAnsi="Arial"/>
          <w:sz w:val="16"/>
          <w:szCs w:val="16"/>
          <w:i w:val="1"/>
          <w:iCs w:val="1"/>
          <w:color w:val="auto"/>
        </w:rPr>
        <w:t xml:space="preserve"> </w:t>
      </w:r>
      <w:r>
        <w:rPr>
          <w:rFonts w:ascii="Arial" w:cs="Arial" w:eastAsia="Arial" w:hAnsi="Arial"/>
          <w:sz w:val="16"/>
          <w:szCs w:val="16"/>
          <w:color w:val="auto"/>
        </w:rPr>
        <w:t>2017, we entered into certain agreements pursuant to which we will provide certain collocation and antenna space to HNS through February 2022 at the following locations: Cheyenne, Wyoming; Gilbert, Arizona; New Braunfels, Texas; Monee, Illinois; Englewood, Colorado; and Spokane, Washington. During August 2017, we entered into certain other agreements pursuant to which we will provide certain collocation and antenna space to HNS through August 2022 at the following locations: Monee, Illinois and Spokane, Washington. HNS has the option to renew each of these agreements for four three-year periods. HNS may terminate certain of these agreements with 180 days’ prior written notice to us at the following locations: New Braunfels, Texas; Englewood, Colorado; and Spokane, Washington. In September 2019, in connection with the Master Transaction Agreement, we entered into an agreement pursuant to which we provide HNS with certain additional collocation space in Cheyenne, Wyoming for a period ending in September 2020, with the option for HNS to renew for a one-year period, with prior written notice no more than 120 days but no less than 90 days prior to the end of the term. In October 2019, HNS provided a termination notice for its New Braunfels, Texas agreement to be effective May 2020. The fees for the services provided under these agreements depend, among other things, on the number of racks leased and/or antennas present at the location.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“Satellite and transmission expenses”</w:t>
      </w:r>
    </w:p>
    <w:p>
      <w:pPr>
        <w:spacing w:after="0" w:line="225"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During the three months ended March 31, 2020 and 2019, we incurred $1 million and $71 million, respectively, for satellite capacity leased from EchoStar and telemetry, tracking and control and other professional services provided to us by EchoStar. EchoStar was the supplier of the vast majority of our transponder capacity. On May 19, 2019, DISH Network entered into the Master Transaction Agreement pursuant to which, on September 10, 2019, certain of these satellites were transferred to DISH Network. We are now leasing this satellite capacity from DISH Network. These amounts are recorded in “Satellite and transmission expenses” on our Condensed Consolidated Statements of Operations and Comprehensive Income (Loss). The agreements pertaining to these expenses are discussed below.</w:t>
      </w:r>
    </w:p>
    <w:p>
      <w:pPr>
        <w:spacing w:after="0" w:line="177"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i w:val="1"/>
          <w:iCs w:val="1"/>
          <w:color w:val="auto"/>
        </w:rPr>
        <w:t>Satellite Capacity Leased from EchoStar</w:t>
      </w:r>
      <w:r>
        <w:rPr>
          <w:rFonts w:ascii="Arial" w:cs="Arial" w:eastAsia="Arial" w:hAnsi="Arial"/>
          <w:sz w:val="18"/>
          <w:szCs w:val="18"/>
          <w:color w:val="auto"/>
        </w:rPr>
        <w:t>. We have entered into certain satellite capacity agreements pursuant to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lease certain capacity on certain satellites owned or leased by EchoStar. The fees for the services provided under these satellite capacity agreements depend, among other things, upon the orbital location of the applicable satellite, the number of transponders that are leased on the applicable satellite and the length of the lease. See “Pay-TV Satellites” in Note 6 for further information. The term of each lease is set forth below:</w:t>
      </w:r>
    </w:p>
    <w:p>
      <w:pPr>
        <w:spacing w:after="0" w:line="188" w:lineRule="exact"/>
        <w:rPr>
          <w:sz w:val="20"/>
          <w:szCs w:val="20"/>
          <w:color w:val="auto"/>
        </w:rPr>
      </w:pPr>
    </w:p>
    <w:p>
      <w:pPr>
        <w:ind w:left="720" w:right="139" w:hanging="325"/>
        <w:spacing w:after="0" w:line="25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EchoStar VII, X, XI and XIV. </w:t>
      </w:r>
      <w:r>
        <w:rPr>
          <w:rFonts w:ascii="Arial" w:cs="Arial" w:eastAsia="Arial" w:hAnsi="Arial"/>
          <w:sz w:val="18"/>
          <w:szCs w:val="18"/>
          <w:color w:val="auto"/>
        </w:rPr>
        <w:t>On March 1, 2014, we began leasing all available capacity from EchoStar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VII, X, XI and XIV satellites.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 There can be no assurance that any options to renew such agreements will be exercised. The satellite capacity agreement for EchoStar VII expired on June 30, 2018. On May 19, 2019, DISH Network entered into the Master Transaction Agreement pursuant to which, on September 10, 2019, these satellites were transferred to DISH Network.</w:t>
      </w:r>
    </w:p>
    <w:p>
      <w:pPr>
        <w:spacing w:after="0" w:line="196" w:lineRule="exact"/>
        <w:rPr>
          <w:rFonts w:ascii="Arial" w:cs="Arial" w:eastAsia="Arial" w:hAnsi="Arial"/>
          <w:sz w:val="18"/>
          <w:szCs w:val="18"/>
          <w:color w:val="auto"/>
        </w:rPr>
      </w:pPr>
    </w:p>
    <w:p>
      <w:pPr>
        <w:ind w:left="720" w:right="79" w:hanging="325"/>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EchoStar IX</w:t>
      </w:r>
      <w:r>
        <w:rPr>
          <w:rFonts w:ascii="Arial" w:cs="Arial" w:eastAsia="Arial" w:hAnsi="Arial"/>
          <w:sz w:val="18"/>
          <w:szCs w:val="18"/>
          <w:color w:val="auto"/>
        </w:rPr>
        <w:t>. We lease certain satellite capacity from EchoStar on EchoStar IX. Subject to availability,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have the right to continue to lease satellite capacity from EchoStar on EchoStar IX on a month-to-month basis.</w:t>
      </w:r>
    </w:p>
    <w:p>
      <w:pPr>
        <w:spacing w:after="0" w:line="183" w:lineRule="exact"/>
        <w:rPr>
          <w:rFonts w:ascii="Arial" w:cs="Arial" w:eastAsia="Arial" w:hAnsi="Arial"/>
          <w:sz w:val="18"/>
          <w:szCs w:val="18"/>
          <w:color w:val="auto"/>
        </w:rPr>
      </w:pPr>
    </w:p>
    <w:p>
      <w:pPr>
        <w:ind w:left="720" w:right="79" w:hanging="325"/>
        <w:spacing w:after="0" w:line="285"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EchoStar XVI. </w:t>
      </w:r>
      <w:r>
        <w:rPr>
          <w:rFonts w:ascii="Arial" w:cs="Arial" w:eastAsia="Arial" w:hAnsi="Arial"/>
          <w:sz w:val="16"/>
          <w:szCs w:val="16"/>
          <w:color w:val="auto"/>
        </w:rPr>
        <w:t>In December 2009, we entered into a transponder service agreement with EchoStar to lease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capacity on EchoStar XVI, a DBS satellite, after its service commencement date. EchoStar XVI was launched in November 2012 to replace EchoStar XV at the 61.5 degree orbital location and is currently in service. Effective December 21, 2012, we and EchoStar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EchoStar amended the transponder service agreement to, among other things, extend the initial term by one additional year and to reduce the term of the first renewal option by one year. Prior to expiration of the initial term, we had the option to renew for an additional five-year period. In May 2017, we exercised our first renewal option for an additional five-year period ending in January 2023. We also have the option to renew for an additional five-year period prior to expiration of the first renewal period in January 2023. There can be no assurance that the option to renew this agreement will be exercised. During 2018, we and EchoStar further amended the agreement to, among other things, allow us to place and use certain satellites at the 61.5 degree orbital location. On May 19, 2019, DISH Network entered into the Master Transaction Agreement pursuant to which, on September 10, 2019, this satellite was transferred to DISH Network.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i w:val="1"/>
          <w:iCs w:val="1"/>
          <w:color w:val="auto"/>
        </w:rPr>
        <w:t>Nimiq 5 Agreement</w:t>
      </w:r>
      <w:r>
        <w:rPr>
          <w:rFonts w:ascii="Arial" w:cs="Arial" w:eastAsia="Arial" w:hAnsi="Arial"/>
          <w:sz w:val="16"/>
          <w:szCs w:val="16"/>
          <w:color w:val="auto"/>
        </w:rPr>
        <w:t>. During 2009, EchoStar entered into a fifteen-year satellite service agreement with Telesat Canada</w:t>
      </w:r>
      <w:r>
        <w:rPr>
          <w:rFonts w:ascii="Arial" w:cs="Arial" w:eastAsia="Arial" w:hAnsi="Arial"/>
          <w:sz w:val="16"/>
          <w:szCs w:val="16"/>
          <w:i w:val="1"/>
          <w:iCs w:val="1"/>
          <w:color w:val="auto"/>
        </w:rPr>
        <w:t xml:space="preserve"> </w:t>
      </w:r>
      <w:r>
        <w:rPr>
          <w:rFonts w:ascii="Arial" w:cs="Arial" w:eastAsia="Arial" w:hAnsi="Arial"/>
          <w:sz w:val="16"/>
          <w:szCs w:val="16"/>
          <w:color w:val="auto"/>
        </w:rPr>
        <w:t>(“Telesat”) to receive service on all 32 DBS transponders on the Nimiq 5 satellite at the 72.7 degree orbital location (the “Telesat Transponder Agreement”). During 2009, EchoStar also entered into a satellite service agreement (the “DISH Nimiq 5 Agreement”) with us, pursuant to which we received service from EchoStar on all 32 of the DBS transponders covered by the Telesat Transponder Agreement. Under the terms of the DISH Nimiq 5 Agreement, we made certain monthly payments to EchoStar that commenced in 2009 when the Nimiq 5 satellite was placed into service and continued through the service term. Unless earlier terminated under the terms and conditions of the DISH Nimiq 5 Agreement, the service term will expire ten years following the date the Nimiq 5 satellite was placed into service. Upon expiration of the initial term, we have the option to renew the DISH Nimiq 5 Agreement on a year-to-year basis through the end-of-life of the Nimiq 5 satellite. Upon in-orbit failure or end-of-life of the Nimiq 5 satellite, and in certain other circumstances, we had certain rights to receive service from EchoStar on a replacement satellite. On May 19, 2019, DISH Network entered into the Master Transaction Agreement pursuant to which, on September 10, 2019, the Telesat Transponder Agreement was transferred to DISH Network and we began leasing it from an indirect wholly-owned subsidiary of DISH Network and we exercised our option to renew for a one-year period through September 2020.</w:t>
      </w:r>
    </w:p>
    <w:p>
      <w:pPr>
        <w:spacing w:after="0" w:line="171" w:lineRule="exact"/>
        <w:rPr>
          <w:sz w:val="20"/>
          <w:szCs w:val="20"/>
          <w:color w:val="auto"/>
        </w:rPr>
      </w:pPr>
    </w:p>
    <w:p>
      <w:pPr>
        <w:ind w:left="40" w:right="139"/>
        <w:spacing w:after="0" w:line="269" w:lineRule="auto"/>
        <w:rPr>
          <w:sz w:val="20"/>
          <w:szCs w:val="20"/>
          <w:color w:val="auto"/>
        </w:rPr>
      </w:pPr>
      <w:r>
        <w:rPr>
          <w:rFonts w:ascii="Arial" w:cs="Arial" w:eastAsia="Arial" w:hAnsi="Arial"/>
          <w:sz w:val="17"/>
          <w:szCs w:val="17"/>
          <w:i w:val="1"/>
          <w:iCs w:val="1"/>
          <w:color w:val="auto"/>
        </w:rPr>
        <w:t xml:space="preserve">QuetzSat-1 Lease Agreement. </w:t>
      </w:r>
      <w:r>
        <w:rPr>
          <w:rFonts w:ascii="Arial" w:cs="Arial" w:eastAsia="Arial" w:hAnsi="Arial"/>
          <w:sz w:val="17"/>
          <w:szCs w:val="17"/>
          <w:color w:val="auto"/>
        </w:rPr>
        <w:t>During 2008, EchoStar entered into a ten-year satellite service agreement with SES Latin</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S.A. (“SES”), which provides, among other things, for the provision by SES to EchoStar of service on 32 DBS transponders on the QuetzSat-1 satellite. During 2008, EchoStar also entered into a transponder service agreement (“QuetzSat-1 Transponder Agreement”) with us pursuant to which we receive service from EchoStar on 24 DBS transponders. QuetzSat-1 was launched on September 29, 2011 and was placed into service during the fourth quarter 2011 at the 67.1 degree orbital location while we and EchoStar explored alternative uses for the QuetzSat-1 satellite. In the interim, EchoStar provided us with alternate capacity at the 77 degree orbital location. During the first quarter 2013, we and EchoStar entered into an agreement pursuant to which we sublease five DBS transponders back to EchoStar. In January 2013, QuetzSat-1 was moved to the 77 degree orbital location and we commenced commercial operations at that location in February 2013.</w:t>
      </w:r>
    </w:p>
    <w:p>
      <w:pPr>
        <w:spacing w:after="0" w:line="185" w:lineRule="exact"/>
        <w:rPr>
          <w:sz w:val="20"/>
          <w:szCs w:val="20"/>
          <w:color w:val="auto"/>
        </w:rPr>
      </w:pPr>
    </w:p>
    <w:p>
      <w:pPr>
        <w:ind w:left="40" w:right="99"/>
        <w:spacing w:after="0" w:line="297" w:lineRule="auto"/>
        <w:rPr>
          <w:sz w:val="20"/>
          <w:szCs w:val="20"/>
          <w:color w:val="auto"/>
        </w:rPr>
      </w:pPr>
      <w:r>
        <w:rPr>
          <w:rFonts w:ascii="Arial" w:cs="Arial" w:eastAsia="Arial" w:hAnsi="Arial"/>
          <w:sz w:val="16"/>
          <w:szCs w:val="16"/>
          <w:color w:val="auto"/>
        </w:rPr>
        <w:t>Unless earlier terminated under the terms and conditions of the QuetzSat-1 Transponder Agreement, the initial service term will expire in November 2021. Upon expiration of the initial term, we have the option to renew the QuetzSat-1 Transponder Agreement on a year-to-year basis through the end-of-life of the QuetzSat-1 satellite. Upon an in-orbit failure or end-of-life of the QuetzSat-1 satellite, and in certain other circumstances, we had certain rights to receive service from EchoStar on a replacement satellite. On May 19, 2019, DISH Network entered into the Master Transaction Agreement, discussed above, pursuant to which, on September 10, 2019, the QuetzSat-1 Transponder Agreement was transferred to DISH Network and we began leasing it from an indirect wholly-owned subsidiary of DISH Network.</w:t>
      </w:r>
    </w:p>
    <w:p>
      <w:pPr>
        <w:spacing w:after="0" w:line="161" w:lineRule="exact"/>
        <w:rPr>
          <w:sz w:val="20"/>
          <w:szCs w:val="20"/>
          <w:color w:val="auto"/>
        </w:rPr>
      </w:pPr>
    </w:p>
    <w:p>
      <w:pPr>
        <w:ind w:left="40" w:right="139"/>
        <w:spacing w:after="0" w:line="274" w:lineRule="auto"/>
        <w:rPr>
          <w:sz w:val="20"/>
          <w:szCs w:val="20"/>
          <w:color w:val="auto"/>
        </w:rPr>
      </w:pPr>
      <w:r>
        <w:rPr>
          <w:rFonts w:ascii="Arial" w:cs="Arial" w:eastAsia="Arial" w:hAnsi="Arial"/>
          <w:sz w:val="17"/>
          <w:szCs w:val="17"/>
          <w:i w:val="1"/>
          <w:iCs w:val="1"/>
          <w:color w:val="auto"/>
        </w:rPr>
        <w:t xml:space="preserve">TT&amp;C Agreement. </w:t>
      </w:r>
      <w:r>
        <w:rPr>
          <w:rFonts w:ascii="Arial" w:cs="Arial" w:eastAsia="Arial" w:hAnsi="Arial"/>
          <w:sz w:val="17"/>
          <w:szCs w:val="17"/>
          <w:color w:val="auto"/>
        </w:rPr>
        <w:t>Effective January 1, 2012, we entered into a telemetry, tracking and control (“TT&amp;C”)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we receive TT&amp;C services from EchoStar for certain satellites (the “TT&amp;C Agreement”). In February 2018, we amended the TT&amp;C Agreement to, among other things, extend the term for one-year with four automatic one-year renewal periods. The fees for services provided under the TT&amp;C Agreement are calculated at either: (i) a fixed fee; or (ii) cost plus a fixed margin, which will vary depending on the nature of the services provided. We and EchoStar are able to terminate the TT&amp;C Agreement for any reason upon 12 months’ notice. On May 19, 2019, DISH Network entered into the Master Transaction Agreement, discussed above, pursuant to which, on September 10, 2019, the assets and employees that provide these services were transferred to DISH Network and now DISH Network provides these services to 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During the three months ended March 31, 2020 and 2019, we incurred $4 million and $5 million, respectively, for general and administrative expenses for services provided to us by EchoStar. These amounts are recorded in “General and administrative expenses” on our Condensed Consolidated Statements of Operations and Comprehensive Income (Loss). The agreements pertaining to these expenses are discussed below.</w:t>
      </w:r>
    </w:p>
    <w:p>
      <w:pPr>
        <w:spacing w:after="0" w:line="187" w:lineRule="exact"/>
        <w:rPr>
          <w:sz w:val="20"/>
          <w:szCs w:val="20"/>
          <w:color w:val="auto"/>
        </w:rPr>
      </w:pPr>
    </w:p>
    <w:p>
      <w:pPr>
        <w:ind w:left="40" w:right="179"/>
        <w:spacing w:after="0" w:line="279" w:lineRule="auto"/>
        <w:rPr>
          <w:sz w:val="20"/>
          <w:szCs w:val="20"/>
          <w:color w:val="auto"/>
        </w:rPr>
      </w:pPr>
      <w:r>
        <w:rPr>
          <w:rFonts w:ascii="Arial" w:cs="Arial" w:eastAsia="Arial" w:hAnsi="Arial"/>
          <w:sz w:val="17"/>
          <w:szCs w:val="17"/>
          <w:i w:val="1"/>
          <w:iCs w:val="1"/>
          <w:color w:val="auto"/>
        </w:rPr>
        <w:t xml:space="preserve">Real Estate Lease Agreements. </w:t>
      </w:r>
      <w:r>
        <w:rPr>
          <w:rFonts w:ascii="Arial" w:cs="Arial" w:eastAsia="Arial" w:hAnsi="Arial"/>
          <w:sz w:val="17"/>
          <w:szCs w:val="17"/>
          <w:color w:val="auto"/>
        </w:rPr>
        <w:t>We have entered into lease agreements pursuant to which we lease certain real estate from</w:t>
      </w:r>
      <w:r>
        <w:rPr>
          <w:rFonts w:ascii="Arial" w:cs="Arial" w:eastAsia="Arial" w:hAnsi="Arial"/>
          <w:sz w:val="17"/>
          <w:szCs w:val="17"/>
          <w:i w:val="1"/>
          <w:iCs w:val="1"/>
          <w:color w:val="auto"/>
        </w:rPr>
        <w:t xml:space="preserve"> </w:t>
      </w:r>
      <w:r>
        <w:rPr>
          <w:rFonts w:ascii="Arial" w:cs="Arial" w:eastAsia="Arial" w:hAnsi="Arial"/>
          <w:sz w:val="17"/>
          <w:szCs w:val="17"/>
          <w:color w:val="auto"/>
        </w:rPr>
        <w:t>EchoStar. The rent on a per square foot basis for each of the leases is comparable to per square foot rental rates of similar commercial property in the same geographic area, and EchoStar is responsible for its portion of the taxes, insurance, utilities and maintenance of the premises. The term of each lease is set forth below:</w:t>
      </w:r>
    </w:p>
    <w:p>
      <w:pPr>
        <w:spacing w:after="0" w:line="171" w:lineRule="exact"/>
        <w:rPr>
          <w:sz w:val="20"/>
          <w:szCs w:val="20"/>
          <w:color w:val="auto"/>
        </w:rPr>
      </w:pPr>
    </w:p>
    <w:p>
      <w:pPr>
        <w:ind w:left="720" w:right="99" w:hanging="325"/>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The lease for all of 9601 S. Meridian Blvd. in Englewood, Colorado was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on December 31, 2019. In December 2019, we and EchoStar amended this lease to, among other things, extend the term thereof for one additional year until December 31, 2020.</w:t>
      </w:r>
    </w:p>
    <w:p>
      <w:pPr>
        <w:spacing w:after="0" w:line="183" w:lineRule="exact"/>
        <w:rPr>
          <w:rFonts w:ascii="Arial" w:cs="Arial" w:eastAsia="Arial" w:hAnsi="Arial"/>
          <w:sz w:val="18"/>
          <w:szCs w:val="18"/>
          <w:color w:val="auto"/>
        </w:rPr>
      </w:pPr>
    </w:p>
    <w:p>
      <w:pPr>
        <w:ind w:left="720" w:right="239" w:hanging="325"/>
        <w:spacing w:after="0" w:line="293"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Santa Fe Lease Agreement. </w:t>
      </w:r>
      <w:r>
        <w:rPr>
          <w:rFonts w:ascii="Arial" w:cs="Arial" w:eastAsia="Arial" w:hAnsi="Arial"/>
          <w:sz w:val="16"/>
          <w:szCs w:val="16"/>
          <w:color w:val="auto"/>
        </w:rPr>
        <w:t>The lease for all of 5701 S. Santa Fe Dr. in Littleton, Colorado was for a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ending on December 31, 2018. In December 2018, we and EchoStar amended this lease to, among other things, extend the term thereof for one additional year until December 31, 2019. Pursuant to the Master Transaction Agreement, discussed above, on September 10, 2019, this lease was transferred to DISH Network and we now lease it from DISH Network. In December 2019, we and DISH Network amended this lease to, among other things, extend the term thereof for one additional year until December 31, 2020.</w:t>
      </w:r>
    </w:p>
    <w:p>
      <w:pPr>
        <w:spacing w:after="0" w:line="164" w:lineRule="exact"/>
        <w:rPr>
          <w:rFonts w:ascii="Arial" w:cs="Arial" w:eastAsia="Arial" w:hAnsi="Arial"/>
          <w:sz w:val="16"/>
          <w:szCs w:val="16"/>
          <w:color w:val="auto"/>
        </w:rPr>
      </w:pPr>
    </w:p>
    <w:p>
      <w:pPr>
        <w:ind w:left="720" w:right="99" w:hanging="325"/>
        <w:spacing w:after="0" w:line="271"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Cheyenne Lease Agreement. </w:t>
      </w:r>
      <w:r>
        <w:rPr>
          <w:rFonts w:ascii="Arial" w:cs="Arial" w:eastAsia="Arial" w:hAnsi="Arial"/>
          <w:sz w:val="17"/>
          <w:szCs w:val="17"/>
          <w:color w:val="auto"/>
        </w:rPr>
        <w:t>The lease for certain space at 530 EchoStar Drive in Cheyenne, Wyoming is for a</w:t>
      </w:r>
      <w:r>
        <w:rPr>
          <w:rFonts w:ascii="Arial" w:cs="Arial" w:eastAsia="Arial" w:hAnsi="Arial"/>
          <w:sz w:val="17"/>
          <w:szCs w:val="17"/>
          <w:i w:val="1"/>
          <w:iCs w:val="1"/>
          <w:color w:val="auto"/>
        </w:rPr>
        <w:t xml:space="preserve"> </w:t>
      </w:r>
      <w:r>
        <w:rPr>
          <w:rFonts w:ascii="Arial" w:cs="Arial" w:eastAsia="Arial" w:hAnsi="Arial"/>
          <w:sz w:val="17"/>
          <w:szCs w:val="17"/>
          <w:color w:val="auto"/>
        </w:rPr>
        <w:t>period ending on December 31, 2031. In connection with the completion of the Share Exchange, EchoStar transferred ownership of a portion of this property to us, and, effective March 1, 2017, we and EchoStar amended this lease agreement to (i) terminate the lease of certain space at the portion of the property that was transferred to us and (ii) provide for the continued lease to us of certain space at the portion of the property that EchoStar retained. Pursuant to the Master Transaction Agreement, discussed above, the portion of the property EchoStar retained was transferred to DISH Network, and on September 10, 2019, this lease was transferred to DISH Network and we now lease it from DISH Network.</w:t>
      </w:r>
    </w:p>
    <w:p>
      <w:pPr>
        <w:spacing w:after="0" w:line="178" w:lineRule="exact"/>
        <w:rPr>
          <w:rFonts w:ascii="Arial" w:cs="Arial" w:eastAsia="Arial" w:hAnsi="Arial"/>
          <w:sz w:val="17"/>
          <w:szCs w:val="17"/>
          <w:color w:val="auto"/>
        </w:rPr>
      </w:pPr>
    </w:p>
    <w:p>
      <w:pPr>
        <w:ind w:left="720" w:right="339" w:hanging="325"/>
        <w:spacing w:after="0" w:line="311"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100 Inverness Lease Agreement</w:t>
      </w:r>
      <w:r>
        <w:rPr>
          <w:rFonts w:ascii="Arial" w:cs="Arial" w:eastAsia="Arial" w:hAnsi="Arial"/>
          <w:sz w:val="16"/>
          <w:szCs w:val="16"/>
          <w:color w:val="auto"/>
        </w:rPr>
        <w:t>. In connection with the completion of the Share Exchange, effective March 1,</w:t>
      </w:r>
      <w:r>
        <w:rPr>
          <w:rFonts w:ascii="Arial" w:cs="Arial" w:eastAsia="Arial" w:hAnsi="Arial"/>
          <w:sz w:val="16"/>
          <w:szCs w:val="16"/>
          <w:i w:val="1"/>
          <w:iCs w:val="1"/>
          <w:color w:val="auto"/>
        </w:rPr>
        <w:t xml:space="preserve"> </w:t>
      </w:r>
      <w:r>
        <w:rPr>
          <w:rFonts w:ascii="Arial" w:cs="Arial" w:eastAsia="Arial" w:hAnsi="Arial"/>
          <w:sz w:val="16"/>
          <w:szCs w:val="16"/>
          <w:color w:val="auto"/>
        </w:rPr>
        <w:t>2017, we lease certain space from EchoStar at 100 Inverness Terrace East, Englewood, Colorado for a period ending in December 2020. This agreement may be terminated by either party upon 180 days’ prior notice.</w:t>
      </w:r>
    </w:p>
    <w:p>
      <w:pPr>
        <w:spacing w:after="0" w:line="149" w:lineRule="exact"/>
        <w:rPr>
          <w:sz w:val="20"/>
          <w:szCs w:val="20"/>
          <w:color w:val="auto"/>
        </w:rPr>
      </w:pPr>
    </w:p>
    <w:p>
      <w:pPr>
        <w:ind w:left="40" w:right="199"/>
        <w:spacing w:after="0" w:line="272" w:lineRule="auto"/>
        <w:rPr>
          <w:sz w:val="20"/>
          <w:szCs w:val="20"/>
          <w:color w:val="auto"/>
        </w:rPr>
      </w:pPr>
      <w:r>
        <w:rPr>
          <w:rFonts w:ascii="Arial" w:cs="Arial" w:eastAsia="Arial" w:hAnsi="Arial"/>
          <w:sz w:val="17"/>
          <w:szCs w:val="17"/>
          <w:i w:val="1"/>
          <w:iCs w:val="1"/>
          <w:color w:val="auto"/>
        </w:rPr>
        <w:t>Professional Services Agreement</w:t>
      </w:r>
      <w:r>
        <w:rPr>
          <w:rFonts w:ascii="Arial" w:cs="Arial" w:eastAsia="Arial" w:hAnsi="Arial"/>
          <w:sz w:val="17"/>
          <w:szCs w:val="17"/>
          <w:color w:val="auto"/>
        </w:rPr>
        <w:t>. Prior to 2010, in connection with the Spin-off, DISH Network entered into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EchoStar including the Transition Services Agreement, Satellite Procurement Agreement and Services Agreement, which all expired on January 1, 2010 and were replaced by a Professional Services Agreement. During 2009, DISH Network and EchoStar agreed that EchoStar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99"/>
        <w:spacing w:after="0" w:line="285" w:lineRule="auto"/>
        <w:rPr>
          <w:sz w:val="20"/>
          <w:szCs w:val="20"/>
          <w:color w:val="auto"/>
        </w:rPr>
      </w:pPr>
      <w:r>
        <w:rPr>
          <w:rFonts w:ascii="Arial" w:cs="Arial" w:eastAsia="Arial" w:hAnsi="Arial"/>
          <w:sz w:val="16"/>
          <w:szCs w:val="16"/>
          <w:color w:val="auto"/>
        </w:rPr>
        <w:t>Additionally, DISH Network and EchoStar agreed that DISH Network shall continue to have the right, but not the obligation, to engage EchoStar to manage the process of procuring new satellite capacity for DISH Network (previously provided under the Satellite Procurement Agreement) and receive logistics, procurement and quality assurance services from EchoStar (previously provided under the Services Agreement) and other support services. The Professional Services Agreement renewed on January 1, 2020 for an additional one-year period until January 1, 2021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 In connection with the completion of the Share Exchange on February 28, 2017, DISH Network and EchoStar amended the Professional Services Agreement to, among other things, provide certain transition services to each other related to the Share Exchange Agreement. In addition, on May 19, 2019, DISH Network entered into the Master Transaction Agreement, pursuant to which, effective September 10, 2019, DISH Network and EchoStar amended the Professional Services Agreement to, among other things, provide certain transition services to each other related to the Master Transaction Agreement and to remove certain services no longer necessary as a result of the Master Transaction Agreement. Revenue for services provided by us to EchoStar under the Professional Services Agreement is recorded in “Equipment sales and other revenue” on our Condensed Consolidated Statements of Operations and Comprehensive Income (Loss).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225"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i w:val="1"/>
          <w:iCs w:val="1"/>
          <w:color w:val="auto"/>
        </w:rPr>
        <w:t xml:space="preserve">Tax Sharing Agreement. </w:t>
      </w:r>
      <w:r>
        <w:rPr>
          <w:rFonts w:ascii="Arial" w:cs="Arial" w:eastAsia="Arial" w:hAnsi="Arial"/>
          <w:sz w:val="17"/>
          <w:szCs w:val="17"/>
          <w:color w:val="auto"/>
        </w:rPr>
        <w:t>In connection with the Spin-off, DISH Network entered into a tax sharing agreement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Sharing Agreement”) with EchoStar which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 (iii) 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2"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i w:val="1"/>
          <w:iCs w:val="1"/>
          <w:color w:val="auto"/>
        </w:rPr>
        <w:t>Tax Matters Agreement</w:t>
      </w:r>
      <w:r>
        <w:rPr>
          <w:rFonts w:ascii="Arial" w:cs="Arial" w:eastAsia="Arial" w:hAnsi="Arial"/>
          <w:sz w:val="16"/>
          <w:szCs w:val="16"/>
          <w:color w:val="auto"/>
        </w:rPr>
        <w:t>. In connection with the completion of the Share Exchange, DISH Network and EchoStar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 Tax Matters Agreement, which governs certain rights, responsibilities and obligations with respect to taxes of the Transferred Businesses pursuant to the Share Exchange. Generally, EchoStar is responsible for all tax returns and tax liabilities for the Transferred Businesses for periods prior to the Share Exchange, and DISH Network are responsible for all tax returns and tax liabilities for the Transferred Businesses from and after the Share Exchange. Both DISH Network and EchoStar have made certain tax-related representations and are subject to various tax-related covenants after the consummation of the Share Exchange. Both DISH Network and EchoStar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EchoStar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described above, which continues in full force and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9"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i w:val="1"/>
          <w:iCs w:val="1"/>
          <w:color w:val="auto"/>
        </w:rPr>
        <w:t>Patent Cross-License Agreements</w:t>
      </w:r>
      <w:r>
        <w:rPr>
          <w:rFonts w:ascii="Arial" w:cs="Arial" w:eastAsia="Arial" w:hAnsi="Arial"/>
          <w:sz w:val="17"/>
          <w:szCs w:val="17"/>
          <w:color w:val="auto"/>
        </w:rPr>
        <w:t>. In December 2011, DISH Network and EchoStar entered into separate patent cross-license agreements with the same third party whereby: (i) EchoStar and such third-party licensed their respective patents to each other subject to certain conditions; and (ii) DISH Network and such third-party licensed their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 Each Cross License Agreement also contains an option to extend each Cross-License Agreement to include patents acquired by the respective party prior to January 1, 2022. In December 2016, DISH Network and EchoStar independently exercised their respective options to extend each Cross-License Agreement. The aggregate additional payments to such third-party was less than $3 million. Since the aggregate payments under both Cross-License Agreements were based on the combined annual revenues of DISH Network and EchoStar, DISH Network and EchoStar agreed to allocate their respective payments to such third party based on their respective percentage of combined total revenue.</w:t>
      </w:r>
    </w:p>
    <w:p>
      <w:pPr>
        <w:spacing w:after="0" w:line="109" w:lineRule="exact"/>
        <w:rPr>
          <w:sz w:val="20"/>
          <w:szCs w:val="20"/>
          <w:color w:val="auto"/>
        </w:rPr>
      </w:pPr>
    </w:p>
    <w:p>
      <w:pPr>
        <w:ind w:left="40" w:right="219"/>
        <w:spacing w:after="0" w:line="279" w:lineRule="auto"/>
        <w:rPr>
          <w:sz w:val="20"/>
          <w:szCs w:val="20"/>
          <w:color w:val="auto"/>
        </w:rPr>
      </w:pPr>
      <w:r>
        <w:rPr>
          <w:rFonts w:ascii="Arial" w:cs="Arial" w:eastAsia="Arial" w:hAnsi="Arial"/>
          <w:sz w:val="17"/>
          <w:szCs w:val="17"/>
          <w:i w:val="1"/>
          <w:iCs w:val="1"/>
          <w:color w:val="auto"/>
        </w:rPr>
        <w:t xml:space="preserve">Rovi License Agreement. </w:t>
      </w:r>
      <w:r>
        <w:rPr>
          <w:rFonts w:ascii="Arial" w:cs="Arial" w:eastAsia="Arial" w:hAnsi="Arial"/>
          <w:sz w:val="17"/>
          <w:szCs w:val="17"/>
          <w:color w:val="auto"/>
        </w:rPr>
        <w:t>On August 19, 2016, we entered into a ten-year patent license agreement (the “Rovi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Rovi Corporation (“Rovi”) and, for certain limited purposes, EchoStar. EchoStar is a party to the Rovi License Agreement solely with respect to certain provisions relating to the prior patent license agreement between EchoStar and Rovi. There are no payments between us and EchoStar under the Rovi License Agreement.</w:t>
      </w:r>
    </w:p>
    <w:p>
      <w:pPr>
        <w:spacing w:after="0" w:line="104" w:lineRule="exact"/>
        <w:rPr>
          <w:sz w:val="20"/>
          <w:szCs w:val="20"/>
          <w:color w:val="auto"/>
        </w:rPr>
      </w:pPr>
    </w:p>
    <w:p>
      <w:pPr>
        <w:ind w:left="40" w:right="119"/>
        <w:spacing w:after="0" w:line="286" w:lineRule="auto"/>
        <w:rPr>
          <w:sz w:val="20"/>
          <w:szCs w:val="20"/>
          <w:color w:val="auto"/>
        </w:rPr>
      </w:pPr>
      <w:r>
        <w:rPr>
          <w:rFonts w:ascii="Arial" w:cs="Arial" w:eastAsia="Arial" w:hAnsi="Arial"/>
          <w:sz w:val="16"/>
          <w:szCs w:val="16"/>
          <w:i w:val="1"/>
          <w:iCs w:val="1"/>
          <w:color w:val="auto"/>
        </w:rPr>
        <w:t xml:space="preserve">Hughes Broadband Master Services Agreement. </w:t>
      </w:r>
      <w:r>
        <w:rPr>
          <w:rFonts w:ascii="Arial" w:cs="Arial" w:eastAsia="Arial" w:hAnsi="Arial"/>
          <w:sz w:val="16"/>
          <w:szCs w:val="16"/>
          <w:color w:val="auto"/>
        </w:rPr>
        <w:t>In March 2017, DISH Network L.L.C. (“DNLLC”) and HNS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 master service agreement (the “MSA”) pursuant to which DNLLC, among other things: (i) has the right, but not the obligation, to market, promote and solicit orders for the Hughes broadband satellite service and related equipment; and (ii) installs Hughes service equipment with respect to activations generated by DNLLC. Under the MSA, HNS will make certain payments to DNLLC for each Hughes service activation generated, and installation performed, by DNLLC. Payments from HNS for services provided are recorded in “Subscriber-related revenue” on our Condensed Consolidated Statements of Operations and Comprehensive Income (Loss). For the three months ended March 31, 2020 and 2019, these payments were $4 million and $6 million, respectively. The MSA has an initial term of five years with automatic renewal for successive one year terms. After the first anniversary of the MSA,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For the three months ended March 31, 2020 and 2019, we purchased broadband equipment from HNS of $4 million and $5 million under the MSA, respectively.</w:t>
      </w:r>
    </w:p>
    <w:p>
      <w:pPr>
        <w:spacing w:after="0" w:line="174" w:lineRule="exact"/>
        <w:rPr>
          <w:sz w:val="20"/>
          <w:szCs w:val="20"/>
          <w:color w:val="auto"/>
        </w:rPr>
      </w:pPr>
    </w:p>
    <w:p>
      <w:pPr>
        <w:ind w:left="40" w:right="159"/>
        <w:spacing w:after="0" w:line="291" w:lineRule="auto"/>
        <w:rPr>
          <w:sz w:val="20"/>
          <w:szCs w:val="20"/>
          <w:color w:val="auto"/>
        </w:rPr>
      </w:pPr>
      <w:r>
        <w:rPr>
          <w:rFonts w:ascii="Arial" w:cs="Arial" w:eastAsia="Arial" w:hAnsi="Arial"/>
          <w:sz w:val="16"/>
          <w:szCs w:val="16"/>
          <w:i w:val="1"/>
          <w:iCs w:val="1"/>
          <w:color w:val="auto"/>
        </w:rPr>
        <w:t>Employee Matters Agreement – Share Exchange</w:t>
      </w:r>
      <w:r>
        <w:rPr>
          <w:rFonts w:ascii="Arial" w:cs="Arial" w:eastAsia="Arial" w:hAnsi="Arial"/>
          <w:sz w:val="16"/>
          <w:szCs w:val="16"/>
          <w:color w:val="auto"/>
        </w:rPr>
        <w:t>. In connection with the completion of the Share Exchange,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March 1, 2017, DISH Network and EchoStar entered into an Employee Matters Agreement that addresses the transfer of employees from EchoStar to DISH Network, including certain benefit and compensation matters and the allocation of responsibility for employee-related liabilities relating to current and past employees of the Transferred Businesses. DISH Network assumed employee-related liabilities relating to the Transferred Businesses as part of the Share Exchange, except that EchoStar will be responsible for certain existing employee-related litigation as well as certain pre-Share Exchange compensation and benefits for employees transferring to DISH Network in connection with the Share Exchange.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right="99"/>
        <w:spacing w:after="0" w:line="288" w:lineRule="auto"/>
        <w:rPr>
          <w:sz w:val="20"/>
          <w:szCs w:val="20"/>
          <w:color w:val="auto"/>
        </w:rPr>
      </w:pPr>
      <w:r>
        <w:rPr>
          <w:rFonts w:ascii="Arial" w:cs="Arial" w:eastAsia="Arial" w:hAnsi="Arial"/>
          <w:sz w:val="16"/>
          <w:szCs w:val="16"/>
          <w:i w:val="1"/>
          <w:iCs w:val="1"/>
          <w:color w:val="auto"/>
        </w:rPr>
        <w:t>Intellectual Property and Technology License Agreement</w:t>
      </w:r>
      <w:r>
        <w:rPr>
          <w:rFonts w:ascii="Arial" w:cs="Arial" w:eastAsia="Arial" w:hAnsi="Arial"/>
          <w:sz w:val="16"/>
          <w:szCs w:val="16"/>
          <w:color w:val="auto"/>
        </w:rPr>
        <w:t>. In connection with the completion of the Share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March 1, 2017, DISH Network and EchoStar entered into an Intellectual Property and Technology License Agreement (“IPTLA”), pursuant to which DISH Network and EchoStar license to each other certain intellectual property and technology. The IPTLA will continue in perpetuity, unless mutually terminated by the parties. Pursuant to the IPTLA, EchoStar granted to DISH Network a license to its intellectual property and technology for use by DISH Network, among other things, in connection with its continued operation of the Transferred Businesses acquired pursuant to the Share Exchange Agreement, including a limited license to use the “ECHOSTAR” trademark during a transition period. EchoStar retains full ownership of the “ECHOSTAR” trademark. In addition, DISH Network granted a license back to EchoStar, among other things, for the continued use of all intellectual property and technology transferred to DISH Network pursuant to the Share Exchange Agreement that is used in EchoStar’s retained businesses.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Related Party Transactions with NagraStar L.L.C.</w:t>
      </w:r>
    </w:p>
    <w:p>
      <w:pPr>
        <w:spacing w:after="0" w:line="225" w:lineRule="exact"/>
        <w:rPr>
          <w:sz w:val="20"/>
          <w:szCs w:val="20"/>
          <w:color w:val="auto"/>
        </w:rPr>
      </w:pPr>
    </w:p>
    <w:p>
      <w:pPr>
        <w:ind w:left="40" w:right="239"/>
        <w:spacing w:after="0" w:line="289" w:lineRule="auto"/>
        <w:rPr>
          <w:sz w:val="20"/>
          <w:szCs w:val="20"/>
          <w:color w:val="auto"/>
        </w:rPr>
      </w:pPr>
      <w:r>
        <w:rPr>
          <w:rFonts w:ascii="Arial" w:cs="Arial" w:eastAsia="Arial" w:hAnsi="Arial"/>
          <w:sz w:val="16"/>
          <w:szCs w:val="16"/>
          <w:color w:val="auto"/>
        </w:rPr>
        <w:t>As a result of the completion of the Share Exchange on February 28, 2017, we own a 50% interest in NagraStar, a joint venture that is our primary provider of encryption and related security systems intended to assure that only authorized customers have access to our programming. Certain payments related to NagraStar are recorded in “Subscriber-related expenses”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“Subscriber acquisition costs” or “Subscriber-related expenses” on our Condensed Consolidated Statements of Operations and Comprehensive Income (Loss) when the equipment is deployed. We record all payables in “Trade accounts payable” or “Other accrued expenses” on our Condensed Consolidated Balance Sheets. Our investment in NagraStar is accounted for using the equity method.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80" w:type="dxa"/>
            <w:vAlign w:val="bottom"/>
            <w:gridSpan w:val="6"/>
          </w:tcPr>
          <w:p>
            <w:pPr>
              <w:jc w:val="center"/>
              <w:ind w:right="86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40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3"/>
              </w:rPr>
              <w:t>March 31,</w:t>
            </w:r>
          </w:p>
        </w:tc>
        <w:tc>
          <w:tcPr>
            <w:tcW w:w="1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40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60" w:type="dxa"/>
            <w:vAlign w:val="bottom"/>
            <w:gridSpan w:val="3"/>
          </w:tcPr>
          <w:p>
            <w:pPr>
              <w:jc w:val="right"/>
              <w:ind w:right="90"/>
              <w:spacing w:after="0"/>
              <w:rPr>
                <w:sz w:val="20"/>
                <w:szCs w:val="20"/>
                <w:color w:val="auto"/>
              </w:rPr>
            </w:pPr>
            <w:r>
              <w:rPr>
                <w:rFonts w:ascii="Arial" w:cs="Arial" w:eastAsia="Arial" w:hAnsi="Arial"/>
                <w:sz w:val="18"/>
                <w:szCs w:val="18"/>
                <w:color w:val="auto"/>
              </w:rPr>
              <w:t>(In thousands)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Purchases (including fees):</w:t>
            </w: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Purchases from NagraStar</w:t>
            </w: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14,092</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As of</w:t>
            </w:r>
          </w:p>
        </w:tc>
        <w:tc>
          <w:tcPr>
            <w:tcW w:w="16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4060" w:type="dxa"/>
            <w:vAlign w:val="bottom"/>
          </w:tcPr>
          <w:p>
            <w:pPr>
              <w:spacing w:after="0"/>
              <w:rPr>
                <w:sz w:val="17"/>
                <w:szCs w:val="17"/>
                <w:color w:val="auto"/>
              </w:rPr>
            </w:pPr>
          </w:p>
        </w:tc>
        <w:tc>
          <w:tcPr>
            <w:tcW w:w="1560" w:type="dxa"/>
            <w:vAlign w:val="bottom"/>
          </w:tcPr>
          <w:p>
            <w:pPr>
              <w:jc w:val="right"/>
              <w:ind w:right="18"/>
              <w:spacing w:after="0" w:line="198" w:lineRule="exact"/>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w w:val="93"/>
              </w:rPr>
              <w:t>December 31,</w:t>
            </w:r>
          </w:p>
        </w:tc>
        <w:tc>
          <w:tcPr>
            <w:tcW w:w="360" w:type="dxa"/>
            <w:vAlign w:val="bottom"/>
          </w:tcPr>
          <w:p>
            <w:pPr>
              <w:spacing w:after="0"/>
              <w:rPr>
                <w:sz w:val="17"/>
                <w:szCs w:val="17"/>
                <w:color w:val="auto"/>
              </w:rPr>
            </w:pPr>
          </w:p>
        </w:tc>
      </w:tr>
      <w:tr>
        <w:trPr>
          <w:trHeight w:val="234"/>
        </w:trPr>
        <w:tc>
          <w:tcPr>
            <w:tcW w:w="4060" w:type="dxa"/>
            <w:vAlign w:val="bottom"/>
          </w:tcPr>
          <w:p>
            <w:pPr>
              <w:spacing w:after="0"/>
              <w:rPr>
                <w:sz w:val="20"/>
                <w:szCs w:val="20"/>
                <w:color w:val="auto"/>
              </w:rPr>
            </w:pPr>
          </w:p>
        </w:tc>
        <w:tc>
          <w:tcPr>
            <w:tcW w:w="156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r>
      <w:tr>
        <w:trPr>
          <w:trHeight w:val="210"/>
        </w:trPr>
        <w:tc>
          <w:tcPr>
            <w:tcW w:w="4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Payable and Commitments:</w:t>
            </w:r>
          </w:p>
        </w:tc>
        <w:tc>
          <w:tcPr>
            <w:tcW w:w="1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5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payable to NagraStar</w:t>
            </w:r>
          </w:p>
        </w:tc>
        <w:tc>
          <w:tcPr>
            <w:tcW w:w="1560" w:type="dxa"/>
            <w:vAlign w:val="bottom"/>
            <w:tcBorders>
              <w:bottom w:val="single" w:sz="8" w:color="auto"/>
            </w:tcBorders>
          </w:tcPr>
          <w:p>
            <w:pPr>
              <w:jc w:val="right"/>
              <w:ind w:right="139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360" w:type="dxa"/>
            <w:vAlign w:val="bottom"/>
            <w:tcBorders>
              <w:bottom w:val="single" w:sz="8" w:color="CCEEFF"/>
            </w:tcBorders>
          </w:tcPr>
          <w:p>
            <w:pPr>
              <w:spacing w:after="0"/>
              <w:rPr>
                <w:sz w:val="22"/>
                <w:szCs w:val="22"/>
                <w:color w:val="auto"/>
              </w:rPr>
            </w:pPr>
          </w:p>
        </w:tc>
      </w:tr>
      <w:tr>
        <w:trPr>
          <w:trHeight w:val="197"/>
        </w:trPr>
        <w:tc>
          <w:tcPr>
            <w:tcW w:w="4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Commitments to NagraStar</w:t>
            </w:r>
          </w:p>
        </w:tc>
        <w:tc>
          <w:tcPr>
            <w:tcW w:w="1560" w:type="dxa"/>
            <w:vAlign w:val="bottom"/>
            <w:tcBorders>
              <w:bottom w:val="single" w:sz="8" w:color="auto"/>
            </w:tcBorders>
            <w:shd w:val="clear" w:color="auto" w:fill="CCEEFF"/>
          </w:tcPr>
          <w:p>
            <w:pPr>
              <w:jc w:val="right"/>
              <w:ind w:right="139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2,731</w:t>
            </w: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4,893</w:t>
            </w:r>
          </w:p>
        </w:tc>
        <w:tc>
          <w:tcPr>
            <w:tcW w:w="360" w:type="dxa"/>
            <w:vAlign w:val="bottom"/>
            <w:tcBorders>
              <w:bottom w:val="single" w:sz="8" w:color="CCEEFF"/>
            </w:tcBorders>
            <w:shd w:val="clear" w:color="auto" w:fill="CCEEFF"/>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Related Party Transactions with Dish Mexico</w:t>
      </w:r>
    </w:p>
    <w:p>
      <w:pPr>
        <w:spacing w:after="0" w:line="171"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Dish Mexico, S. de R.L. de C.V. (“Dish Mexico”) is an entity that provides direct-to-home satellite services in Mexico, which is owned 49% by EchoStar. We provide certain broadcast services and certain satellite services to Dish Mexico, which are recorded in “Equipment sales and other revenue” on our Condensed Consolidated Statements of Operations and Comprehensive Income (Loss).</w:t>
      </w:r>
    </w:p>
    <w:p>
      <w:pPr>
        <w:sectPr>
          <w:pgSz w:w="11900" w:h="16838" w:orient="portrait"/>
          <w:cols w:equalWidth="0" w:num="1">
            <w:col w:w="9019"/>
          </w:cols>
          <w:pgMar w:left="1440" w:top="517" w:right="1440"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table below summarizes our transactions with Dish Mexico:</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2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96"/>
              </w:rPr>
              <w:t>March 31,</w:t>
            </w:r>
          </w:p>
        </w:tc>
        <w:tc>
          <w:tcPr>
            <w:tcW w:w="1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(In thousands)</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Uplink services</w:t>
            </w:r>
          </w:p>
        </w:tc>
        <w:tc>
          <w:tcPr>
            <w:tcW w:w="22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1,381</w:t>
            </w:r>
          </w:p>
        </w:tc>
        <w:tc>
          <w:tcPr>
            <w:tcW w:w="880" w:type="dxa"/>
            <w:vAlign w:val="bottom"/>
            <w:gridSpan w:val="2"/>
          </w:tcPr>
          <w:p>
            <w:pPr>
              <w:jc w:val="center"/>
              <w:ind w:right="3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8"/>
                <w:szCs w:val="18"/>
                <w:color w:val="auto"/>
              </w:rPr>
            </w:pPr>
          </w:p>
        </w:tc>
      </w:tr>
      <w:tr>
        <w:trPr>
          <w:trHeight w:val="209"/>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ind w:right="5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50"/>
              <w:spacing w:after="0"/>
              <w:rPr>
                <w:sz w:val="20"/>
                <w:szCs w:val="20"/>
                <w:color w:val="auto"/>
              </w:rPr>
            </w:pPr>
            <w:r>
              <w:rPr>
                <w:rFonts w:ascii="Arial" w:cs="Arial" w:eastAsia="Arial" w:hAnsi="Arial"/>
                <w:sz w:val="18"/>
                <w:szCs w:val="18"/>
                <w:b w:val="1"/>
                <w:bCs w:val="1"/>
                <w:color w:val="auto"/>
                <w:w w:val="88"/>
              </w:rPr>
              <w:t>As of</w:t>
            </w: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3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jc w:val="center"/>
              <w:ind w:left="410"/>
              <w:spacing w:after="0" w:line="198" w:lineRule="exact"/>
              <w:rPr>
                <w:sz w:val="20"/>
                <w:szCs w:val="20"/>
                <w:color w:val="auto"/>
              </w:rPr>
            </w:pPr>
            <w:r>
              <w:rPr>
                <w:rFonts w:ascii="Arial" w:cs="Arial" w:eastAsia="Arial" w:hAnsi="Arial"/>
                <w:sz w:val="18"/>
                <w:szCs w:val="18"/>
                <w:b w:val="1"/>
                <w:bCs w:val="1"/>
                <w:color w:val="auto"/>
                <w:w w:val="93"/>
              </w:rPr>
              <w:t>March 31,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left="39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00" w:type="dxa"/>
            <w:vAlign w:val="bottom"/>
          </w:tcPr>
          <w:p>
            <w:pPr>
              <w:spacing w:after="0"/>
              <w:rPr>
                <w:sz w:val="20"/>
                <w:szCs w:val="20"/>
                <w:color w:val="auto"/>
              </w:rPr>
            </w:pPr>
          </w:p>
        </w:tc>
        <w:tc>
          <w:tcPr>
            <w:tcW w:w="23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7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3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3"/>
          </w:tcPr>
          <w:p>
            <w:pPr>
              <w:jc w:val="center"/>
              <w:ind w:right="750"/>
              <w:spacing w:after="0"/>
              <w:rPr>
                <w:sz w:val="20"/>
                <w:szCs w:val="20"/>
                <w:color w:val="auto"/>
              </w:rPr>
            </w:pPr>
            <w:r>
              <w:rPr>
                <w:rFonts w:ascii="Arial" w:cs="Arial" w:eastAsia="Arial" w:hAnsi="Arial"/>
                <w:sz w:val="18"/>
                <w:szCs w:val="18"/>
                <w:color w:val="auto"/>
                <w:w w:val="90"/>
              </w:rPr>
              <w:t>(In thousands)</w:t>
            </w: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Receivable:</w:t>
            </w:r>
          </w:p>
        </w:tc>
        <w:tc>
          <w:tcPr>
            <w:tcW w:w="9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Amounts receivable from Dish Mexico</w:t>
            </w:r>
          </w:p>
        </w:tc>
        <w:tc>
          <w:tcPr>
            <w:tcW w:w="230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1,904</w:t>
            </w:r>
          </w:p>
        </w:tc>
        <w:tc>
          <w:tcPr>
            <w:tcW w:w="1780" w:type="dxa"/>
            <w:vAlign w:val="bottom"/>
            <w:gridSpan w:val="2"/>
          </w:tcPr>
          <w:p>
            <w:pPr>
              <w:jc w:val="center"/>
              <w:ind w:right="12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1,191</w:t>
            </w:r>
          </w:p>
        </w:tc>
        <w:tc>
          <w:tcPr>
            <w:tcW w:w="6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229"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i w:val="1"/>
          <w:iCs w:val="1"/>
          <w:color w:val="auto"/>
        </w:rPr>
        <w:t>You should read the following narrative analysis of our financial condition and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2019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Our business strategy is to be the best provider of video services in the United States by providing products with the best technology, outstanding customer service, and great value. We promote our Pay-TV services as providing our subscribers with a better “price-to-value” relationship than those available from other subscription television service providers. In connection with the growth in OTT industry, we promote our Sling TV services primarily to consumers who do not subscribe to traditional satellite and cable pay-TV services.</w:t>
      </w:r>
    </w:p>
    <w:p>
      <w:pPr>
        <w:spacing w:after="0" w:line="188"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As the pay-TV industry is mature, our DISH TV strategy has included an emphasis on acquiring and retaining higher quality subscribers, including subscribers in markets underserved by pay-TV services, even if it means that we will acquire and retain fewer overall subscribers. We evaluate the quality of subscribers based upon a number of factors, including, among others, profitability. Our DISH TV subscriber base has been declining due to, among other things, this strategy. There can be no assurance that our DISH TV subscriber base will not continue to decline and that the pace of such decline will not accelerate.</w:t>
      </w:r>
    </w:p>
    <w:p>
      <w:pPr>
        <w:spacing w:after="0" w:line="192" w:lineRule="exact"/>
        <w:rPr>
          <w:sz w:val="20"/>
          <w:szCs w:val="20"/>
          <w:color w:val="auto"/>
        </w:rPr>
      </w:pPr>
    </w:p>
    <w:p>
      <w:pPr>
        <w:ind w:left="40" w:right="179"/>
        <w:spacing w:after="0" w:line="293" w:lineRule="auto"/>
        <w:rPr>
          <w:sz w:val="20"/>
          <w:szCs w:val="20"/>
          <w:color w:val="auto"/>
        </w:rPr>
      </w:pPr>
      <w:r>
        <w:rPr>
          <w:rFonts w:ascii="Arial" w:cs="Arial" w:eastAsia="Arial" w:hAnsi="Arial"/>
          <w:sz w:val="16"/>
          <w:szCs w:val="16"/>
          <w:color w:val="auto"/>
        </w:rPr>
        <w:t>Our revenue and profit is primarily derived from Pay-TV programming services that we provide to our subscribers. We also generate revenue from equipment rental fees and other hardware related fees, including DVRs and fees from subscribers with multiple receivers; advertising services; fees earned from our Smart Home service operations; warranty services; and sales of digital receivers and related equipment to third-party pay-TV providers. Our subscriber-related revenue has been declining due to, among other things, the continuing decline in our DISH TV subscriber base. Our most significant expenses are subscriber-related expenses, which are primarily related to programming.</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2020 First Quarter Consolidated Results of Operations and Key Operating Metrics</w:t>
      </w:r>
    </w:p>
    <w:p>
      <w:pPr>
        <w:spacing w:after="0" w:line="225" w:lineRule="exact"/>
        <w:rPr>
          <w:sz w:val="20"/>
          <w:szCs w:val="20"/>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of $3.168 billion</w:t>
      </w:r>
    </w:p>
    <w:p>
      <w:pPr>
        <w:spacing w:after="0" w:line="23"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attributable to DISH DBS of $244 million</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approximately 413,000 net Pay-TV subscribers</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approximately 132,000 net DISH TV subscribers</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approximately 281,000 net Sling TV subscribers</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Pay-TV ARPU of $88.76</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new DISH TV subscriber activations of approximately 299,000</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DISH TV churn rate of 1.54%</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DISH TV SAC of $861</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Financial Condition as of March 31, 2020</w:t>
      </w:r>
    </w:p>
    <w:p>
      <w:pPr>
        <w:spacing w:after="0" w:line="225" w:lineRule="exact"/>
        <w:rPr>
          <w:sz w:val="20"/>
          <w:szCs w:val="20"/>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$384 million</w:t>
      </w:r>
    </w:p>
    <w:p>
      <w:pPr>
        <w:spacing w:after="0" w:line="23" w:lineRule="exact"/>
        <w:rPr>
          <w:rFonts w:ascii="Arial" w:cs="Arial" w:eastAsia="Arial" w:hAnsi="Arial"/>
          <w:sz w:val="18"/>
          <w:szCs w:val="18"/>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assets of $4.634 billion</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long-term debt and finance lease obligations of $10.812 billion</w:t>
      </w:r>
    </w:p>
    <w:p>
      <w:pPr>
        <w:sectPr>
          <w:pgSz w:w="11900" w:h="16838" w:orient="portrait"/>
          <w:cols w:equalWidth="0" w:num="1">
            <w:col w:w="9019"/>
          </w:cols>
          <w:pgMar w:left="1440" w:top="517"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currently operate one business segment.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Update</w:t>
      </w:r>
    </w:p>
    <w:p>
      <w:pPr>
        <w:spacing w:after="0" w:line="225" w:lineRule="exact"/>
        <w:rPr>
          <w:sz w:val="20"/>
          <w:szCs w:val="20"/>
          <w:color w:val="auto"/>
        </w:rPr>
      </w:pPr>
    </w:p>
    <w:p>
      <w:pPr>
        <w:ind w:left="40" w:right="159"/>
        <w:spacing w:after="0" w:line="269" w:lineRule="auto"/>
        <w:rPr>
          <w:sz w:val="20"/>
          <w:szCs w:val="20"/>
          <w:color w:val="auto"/>
        </w:rPr>
      </w:pPr>
      <w:r>
        <w:rPr>
          <w:rFonts w:ascii="Arial" w:cs="Arial" w:eastAsia="Arial" w:hAnsi="Arial"/>
          <w:sz w:val="17"/>
          <w:szCs w:val="17"/>
          <w:color w:val="auto"/>
        </w:rPr>
        <w:t>A novel strain of coronavirus which causes the disease COVID-19 has resulted in a worldwide health pandemic. To date, COVID-19 has surfaced in nearly all regions around the world and resulted in global travel restrictions and business slowdowns or shutdowns. The COVID-19 pandemic has also created unanticipated circumstances and uncertainty, disruption, and significant volatility in the economic environment generally, which have and may continue to adversely affect our business operations and may materially and adversely affect our business, financial condition and results of operations. As the COVID-19 pandemic continues, many of our customers are impacted by recommendations and/or mandates from federal, state, and local authorities to practice social distancing, to refrain from gathering in groups and, in some areas, to refrain from non-essential movements outside of their homes. Governmental authorities in affected regions are taking increasingly dramatic action in an effort to slow the spread of COVID-19. COVID-19 has impacted our business, in particular the following areas:</w:t>
      </w:r>
    </w:p>
    <w:p>
      <w:pPr>
        <w:spacing w:after="0" w:line="118" w:lineRule="exact"/>
        <w:rPr>
          <w:sz w:val="20"/>
          <w:szCs w:val="20"/>
          <w:color w:val="auto"/>
        </w:rPr>
      </w:pPr>
    </w:p>
    <w:p>
      <w:pPr>
        <w:ind w:left="1040" w:right="159" w:hanging="321"/>
        <w:spacing w:after="0" w:line="275"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response to the outbreak and business disruption, first and foremost, we have prioritized the health and safety of our employees. Those employees who are able to work from home are doing so. For employees who are unable to work from home, such as our in-home services and remanufacturing personnel, we have implemented increased health and safety practices including, increased use of personal protective equipment for those employees to protect them and our subscribers.</w:t>
      </w:r>
    </w:p>
    <w:p>
      <w:pPr>
        <w:spacing w:after="0" w:line="108" w:lineRule="exact"/>
        <w:rPr>
          <w:rFonts w:ascii="Arial" w:cs="Arial" w:eastAsia="Arial" w:hAnsi="Arial"/>
          <w:sz w:val="17"/>
          <w:szCs w:val="17"/>
          <w:color w:val="auto"/>
        </w:rPr>
      </w:pPr>
    </w:p>
    <w:p>
      <w:pPr>
        <w:ind w:left="1040" w:right="59" w:hanging="321"/>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commercial services were impacted as many bars, restaurants, and other commercial establishments were recommended and/or mandated to suspend all non-essential “in-person” business operations. In addition, airlines and hotels significantly reduced operations as a result of government actions and/or related lower consumer demand.</w:t>
      </w:r>
    </w:p>
    <w:p>
      <w:pPr>
        <w:spacing w:after="0" w:line="119" w:lineRule="exact"/>
        <w:rPr>
          <w:rFonts w:ascii="Arial" w:cs="Arial" w:eastAsia="Arial" w:hAnsi="Arial"/>
          <w:sz w:val="18"/>
          <w:szCs w:val="18"/>
          <w:color w:val="auto"/>
        </w:rPr>
      </w:pPr>
    </w:p>
    <w:p>
      <w:pPr>
        <w:ind w:left="1040" w:right="79" w:hanging="321"/>
        <w:spacing w:after="0" w:line="27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second half of March 2020, COVID-19 and the related governmental recommendations and/or mandates created reduced in person selling opportunities, and a reduction in customers’ willingness to open direct mail marketing and allow in-home technicians into their homes. As a result, we reduced our marketing expenditures and our gross new DISH TV subscribers began to decrease.</w:t>
      </w:r>
    </w:p>
    <w:p>
      <w:pPr>
        <w:spacing w:after="0" w:line="103" w:lineRule="exact"/>
        <w:rPr>
          <w:rFonts w:ascii="Arial" w:cs="Arial" w:eastAsia="Arial" w:hAnsi="Arial"/>
          <w:sz w:val="17"/>
          <w:szCs w:val="17"/>
          <w:color w:val="auto"/>
        </w:rPr>
      </w:pPr>
    </w:p>
    <w:p>
      <w:pPr>
        <w:ind w:left="1040" w:right="179" w:hanging="321"/>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DISH Smart Home Services brand was impacted as in-home installation and support has been impacted by government actions and/or related lower consumer demand for these services.</w:t>
      </w:r>
    </w:p>
    <w:p>
      <w:pPr>
        <w:spacing w:after="0" w:line="170" w:lineRule="exact"/>
        <w:rPr>
          <w:rFonts w:ascii="Arial" w:cs="Arial" w:eastAsia="Arial" w:hAnsi="Arial"/>
          <w:sz w:val="18"/>
          <w:szCs w:val="18"/>
          <w:color w:val="auto"/>
        </w:rPr>
      </w:pPr>
    </w:p>
    <w:p>
      <w:pPr>
        <w:ind w:left="1040" w:right="219" w:hanging="321"/>
        <w:spacing w:after="0" w:line="287"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Widespread unemployment may impact both our commercial and residential subscribers’ ability to pay for the services they receive and as a result, we have increased our allowances for credit losses, as a component of “Trade accounts receivable, net” as of March 31, 2020 on our Condensed Consolidated Balance Sheets.</w:t>
      </w:r>
    </w:p>
    <w:p>
      <w:pPr>
        <w:spacing w:after="0" w:line="2" w:lineRule="exact"/>
        <w:rPr>
          <w:rFonts w:ascii="Arial" w:cs="Arial" w:eastAsia="Arial" w:hAnsi="Arial"/>
          <w:sz w:val="16"/>
          <w:szCs w:val="16"/>
          <w:color w:val="auto"/>
        </w:rPr>
      </w:pPr>
    </w:p>
    <w:p>
      <w:pPr>
        <w:ind w:left="1040" w:right="1099"/>
        <w:spacing w:after="0" w:line="290" w:lineRule="auto"/>
        <w:rPr>
          <w:rFonts w:ascii="Arial" w:cs="Arial" w:eastAsia="Arial" w:hAnsi="Arial"/>
          <w:sz w:val="16"/>
          <w:szCs w:val="16"/>
          <w:color w:val="auto"/>
        </w:rPr>
      </w:pPr>
      <w:r>
        <w:rPr>
          <w:rFonts w:ascii="Arial" w:cs="Arial" w:eastAsia="Arial" w:hAnsi="Arial"/>
          <w:sz w:val="17"/>
          <w:szCs w:val="17"/>
          <w:color w:val="auto"/>
        </w:rPr>
        <w:t>We continue to monitor the health of our business, including the potential impact of widespread unemployment on our subscribers’ ability to pay for the services they receive.</w:t>
      </w:r>
    </w:p>
    <w:p>
      <w:pPr>
        <w:spacing w:after="0" w:line="93" w:lineRule="exact"/>
        <w:rPr>
          <w:rFonts w:ascii="Arial" w:cs="Arial" w:eastAsia="Arial" w:hAnsi="Arial"/>
          <w:sz w:val="16"/>
          <w:szCs w:val="16"/>
          <w:color w:val="auto"/>
        </w:rPr>
      </w:pPr>
    </w:p>
    <w:p>
      <w:pPr>
        <w:ind w:left="1040" w:right="159" w:hanging="321"/>
        <w:spacing w:after="0" w:line="27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supply chain has been impacted by COVID-19, and there could be significant and unanticipated interruptions and/or delays in our supply chain. Furthermore, we may not be able to diversify sources of supply in a timely manner to mitigate these interruptions and/or delays. These interruptions and/or delays in our supply chain could have a material adverse effect on our business.</w:t>
      </w:r>
    </w:p>
    <w:p>
      <w:pPr>
        <w:spacing w:after="0" w:line="103" w:lineRule="exact"/>
        <w:rPr>
          <w:rFonts w:ascii="Arial" w:cs="Arial" w:eastAsia="Arial" w:hAnsi="Arial"/>
          <w:sz w:val="17"/>
          <w:szCs w:val="17"/>
          <w:color w:val="auto"/>
        </w:rPr>
      </w:pPr>
    </w:p>
    <w:p>
      <w:pPr>
        <w:ind w:left="1040" w:right="119" w:hanging="321"/>
        <w:spacing w:after="0" w:line="286"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Due to the current economic climate, combined with changing needs of our customers and how we can best serve them, during April 2020, we made the decision to reevaluate our organization. This included a focused set of staffing reductions to align our workforce to best serve our Pay-TV customers.</w:t>
      </w:r>
    </w:p>
    <w:p>
      <w:pPr>
        <w:spacing w:after="0" w:line="98"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agencies and may take additional actions based on their recommendations. In these circumstances, there may be developments beyond our control requiring us to adjust our operating plan. As such, given the dynamic nature of this situation, we cannot reasonably estimate the impacts of COVID-19 on our financial condition, results of operations or cash flows in the future.</w:t>
      </w:r>
    </w:p>
    <w:p>
      <w:pPr>
        <w:sectPr>
          <w:pgSz w:w="11900" w:h="16838" w:orient="portrait"/>
          <w:cols w:equalWidth="0" w:num="1">
            <w:col w:w="9019"/>
          </w:cols>
          <w:pgMar w:left="1440" w:top="517"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Pay-TV</w:t>
      </w:r>
    </w:p>
    <w:p>
      <w:pPr>
        <w:spacing w:after="0" w:line="213" w:lineRule="exact"/>
        <w:rPr>
          <w:sz w:val="20"/>
          <w:szCs w:val="20"/>
          <w:color w:val="auto"/>
        </w:rPr>
      </w:pPr>
    </w:p>
    <w:p>
      <w:pPr>
        <w:ind w:left="40" w:right="79"/>
        <w:spacing w:after="0" w:line="258" w:lineRule="auto"/>
        <w:rPr>
          <w:sz w:val="20"/>
          <w:szCs w:val="20"/>
          <w:color w:val="auto"/>
        </w:rPr>
      </w:pPr>
      <w:r>
        <w:rPr>
          <w:rFonts w:ascii="Arial" w:cs="Arial" w:eastAsia="Arial" w:hAnsi="Arial"/>
          <w:sz w:val="17"/>
          <w:szCs w:val="17"/>
          <w:color w:val="auto"/>
        </w:rPr>
        <w:t>We are the nation’s fourth largest pay-TV provider and offer pay-TV services under the DISH</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brand and the Sling</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customer service facilities,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streaming over-the-top (“OTT”), Internet-based domestic, international and Latino video programming services (“Sling TV”). As of March 31, 2020, we had 11.323 million Pay-TV subscribers in the United States, including 9.012 million DISH TV subscribers and 2.311 million Sling TV subscribers.</w:t>
      </w:r>
    </w:p>
    <w:p>
      <w:pPr>
        <w:spacing w:after="0" w:line="194"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Competition has intensified in recent years as the pay-TV industry has matured. To differentiate our DISH TV services from our competitors, we offer the Hopper whole-home DVR and have continued to add functionality and simplicity for a</w:t>
      </w:r>
    </w:p>
    <w:p>
      <w:pPr>
        <w:ind w:left="40" w:right="79"/>
        <w:spacing w:after="0" w:line="257" w:lineRule="auto"/>
        <w:rPr>
          <w:sz w:val="20"/>
          <w:szCs w:val="20"/>
          <w:color w:val="auto"/>
        </w:rPr>
      </w:pPr>
      <w:r>
        <w:rPr>
          <w:rFonts w:ascii="Arial" w:cs="Arial" w:eastAsia="Arial" w:hAnsi="Arial"/>
          <w:sz w:val="16"/>
          <w:szCs w:val="16"/>
          <w:color w:val="auto"/>
        </w:rPr>
        <w:t>more intuitive user experience. Our Hopper and Joey</w:t>
      </w:r>
      <w:r>
        <w:rPr>
          <w:rFonts w:ascii="Arial" w:cs="Arial" w:eastAsia="Arial" w:hAnsi="Arial"/>
          <w:sz w:val="30"/>
          <w:szCs w:val="30"/>
          <w:color w:val="auto"/>
          <w:vertAlign w:val="superscript"/>
        </w:rPr>
        <w:t>®</w:t>
      </w:r>
      <w:r>
        <w:rPr>
          <w:rFonts w:ascii="Arial" w:cs="Arial" w:eastAsia="Arial" w:hAnsi="Arial"/>
          <w:sz w:val="16"/>
          <w:szCs w:val="16"/>
          <w:color w:val="auto"/>
        </w:rPr>
        <w:t xml:space="preserve"> whole-home DVR promotes a suite of integrated features and functionality designed to maximize the convenience and ease of watching TV anytime and anywhere. It also has several innovative features that a consumer can use, at his or her option, to watch and record television programming, through their televisions, streaming media devices, tablets, phones and computers. The Hopper 3, among other things, features 16 tuners, delivers an enhanced 4K Ultra HD experience, and supports up to seven TVs simultaneously.</w:t>
      </w:r>
    </w:p>
    <w:p>
      <w:pPr>
        <w:spacing w:after="0" w:line="192" w:lineRule="exact"/>
        <w:rPr>
          <w:sz w:val="20"/>
          <w:szCs w:val="20"/>
          <w:color w:val="auto"/>
        </w:rPr>
      </w:pPr>
    </w:p>
    <w:p>
      <w:pPr>
        <w:ind w:left="40" w:right="359"/>
        <w:spacing w:after="0" w:line="273" w:lineRule="auto"/>
        <w:rPr>
          <w:sz w:val="20"/>
          <w:szCs w:val="20"/>
          <w:color w:val="auto"/>
        </w:rPr>
      </w:pPr>
      <w:r>
        <w:rPr>
          <w:rFonts w:ascii="Arial" w:cs="Arial" w:eastAsia="Arial" w:hAnsi="Arial"/>
          <w:sz w:val="17"/>
          <w:szCs w:val="17"/>
          <w:color w:val="auto"/>
        </w:rPr>
        <w:t>We market our Sling TV services primarily to consumers who do not subscribe to traditional satellite and cable pay-TV services. Our Sling TV services require an Internet connection and are available on multiple streaming-capable devices including streaming media devices, TVs, tablets, computers, game consoles and phones. We offer Sling International, Sling Latino and Sling domestic video programming services. Our domestic Sling TV services have a single-stream service branded Sling Orange and a multi-stream service branded Sling Blue, which includes, among other things, the ability to stream on up to three devices simultaneously.</w:t>
      </w:r>
    </w:p>
    <w:p>
      <w:pPr>
        <w:spacing w:after="0" w:line="178" w:lineRule="exact"/>
        <w:rPr>
          <w:sz w:val="20"/>
          <w:szCs w:val="20"/>
          <w:color w:val="auto"/>
        </w:rPr>
      </w:pPr>
    </w:p>
    <w:p>
      <w:pPr>
        <w:ind w:left="40" w:right="99"/>
        <w:spacing w:after="0" w:line="268" w:lineRule="auto"/>
        <w:rPr>
          <w:sz w:val="20"/>
          <w:szCs w:val="20"/>
          <w:color w:val="auto"/>
        </w:rPr>
      </w:pPr>
      <w:r>
        <w:rPr>
          <w:rFonts w:ascii="Arial" w:cs="Arial" w:eastAsia="Arial" w:hAnsi="Arial"/>
          <w:sz w:val="17"/>
          <w:szCs w:val="17"/>
          <w:color w:val="auto"/>
        </w:rPr>
        <w:t>We face competition from providers of video content distributed over the Internet including services with live-linear television programming, as well as single programmer offerings and offerings of large libraries of on-demand content, including in certain cases original content. These providers include, among others, Netflix, Hulu, Apple, Amazon, Alphabet, Disney, Verizon, AT&amp;T, ViacomCBS, STARZ, Fubo and Philo. Many of these companies have larger customer bases, stronger brand recognition and greater financial, marketing and other resources than we do. In addition, traditional providers of video entertainment, including broadcasters, cable channels and MVPDs, are increasing their Internet-based video offerings. Some of these services charge nominal or no fees for access to their content, which could adversely affect demand for our Pay-TV services. Moreover, new technologies have been, and will likely continue to be, developed that further increase the number of competitors we face with respect to video services, including competition from piracy-based video offerings. This competition, among other things, has caused the rate of growth in subscribers to our Sling TV services to decrease. In June 2018, we launched additional Sling TV services which include offering consumers a la carte channel subscriptions, access to pay-per-view events and movies, and access to free content. There can be no assurance that these additional services and other offers will positively affect our results of operations or our net Sling TV subscribers.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 Developments</w:t>
      </w:r>
    </w:p>
    <w:p>
      <w:pPr>
        <w:spacing w:after="0" w:line="225" w:lineRule="exact"/>
        <w:rPr>
          <w:sz w:val="20"/>
          <w:szCs w:val="20"/>
          <w:color w:val="auto"/>
        </w:rPr>
      </w:pPr>
    </w:p>
    <w:p>
      <w:pPr>
        <w:ind w:left="40" w:right="139"/>
        <w:spacing w:after="0" w:line="268" w:lineRule="auto"/>
        <w:rPr>
          <w:sz w:val="20"/>
          <w:szCs w:val="20"/>
          <w:color w:val="auto"/>
        </w:rPr>
      </w:pPr>
      <w:r>
        <w:rPr>
          <w:rFonts w:ascii="Arial" w:cs="Arial" w:eastAsia="Arial" w:hAnsi="Arial"/>
          <w:sz w:val="17"/>
          <w:szCs w:val="17"/>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in our public filings. In October 2016, AT&amp;T announced its acquisition of Time Warner, which was completed in June 2018. In December 2017, Walt Disney Company announced its acquisition of certain assets of Twenty-First Century Fox, Inc., which was completed in March 2019. These transactions may affect us adversely by, among other things, making it more difficult for us to obtain access to certain programming networks on nondiscriminatory and fair terms, or at all. For example, in connection with AT&amp;T’s acquisition of Time Warner, Turner sent all of its distributors written, irrevocable offers to submit disputes over the price and other terms of Turner programming to binding arbitration and to guarantee continued access to that programming while any arbitration is pending. However, in October 2018, AT&amp;T removed its HBO and Cinemax channels, which are not part of Turner, from our DISH TV and Sling TV programming lineup, as we and AT&amp;T have been unable to negotiate the terms and conditions of a new programming carriage contract.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Competition has intensified in recent years as the pay-TV industry has matured. With respect to our DISH TV services, we and our competitors increasingly must seek to attract a greater proportion of new subscribers from each other’s existing subscriber bases rather than from first-time purchasers of pay-TV services. We incur significant costs to retain our existing DISH TV subscribers, mostly as a result of upgrading their equipment to next generation receivers, primarily including our Hopper receivers, and by providing retention credits. Our DISH TV subscriber retention costs may vary significantly from period to period.</w:t>
      </w:r>
    </w:p>
    <w:p>
      <w:pPr>
        <w:spacing w:after="0" w:line="192"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bundled offers combining broadband, video and/or wireless services and other promotional offers. Certain competitors have been able to subsidize the price of video services with the price of broadband and/or wireless services.</w:t>
      </w:r>
    </w:p>
    <w:p>
      <w:pPr>
        <w:spacing w:after="0" w:line="187" w:lineRule="exact"/>
        <w:rPr>
          <w:sz w:val="20"/>
          <w:szCs w:val="20"/>
          <w:color w:val="auto"/>
        </w:rPr>
      </w:pPr>
    </w:p>
    <w:p>
      <w:pPr>
        <w:ind w:left="40" w:right="79"/>
        <w:spacing w:after="0" w:line="267"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Our Sling TV services face increased competition from content providers and other companies, as well as traditional satellite television providers, cable companies and large telecommunications companies, that are increasing their Internet-based video offerings. We also face competition from providers of video content distributed over the Internet including services with live-linear television programming, as well as single programmer offerings and offerings of large libraries of on-demand content, including in certain cases original content. These providers include, among others, Netflix, Hulu, Apple, Amazon, Alphabet, Disney, Verizon, AT&amp;T, ViacomCBS, STARZ, Fubo and Philo. Furthermore, our DISH TV services face increased competition as programming offered over the Internet has become more prevalent and consumers are spending an increasing amount of time accessing video content via the Internet on their mobile devices. Significant changes in consumer behavior with regard to the means by which consumers obtain video entertainment and information in response to digital media competition could have a material adverse effect on our business, results of operations and financial condition or otherwise disrupt our business. In particular, consumers have shown increased interest in viewing certain video programming in any place, at any time and/or on any broadband-connected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 such as pay per view movies, resulting in less revenue to us.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color w:val="auto"/>
        </w:rPr>
        <w:t>We implement new marketing promotions from time to time that are intended to increase our Pay-TV subscriber activations. For our DISH TV services, we have launched various marketing promotions offering certain DISH TV programming packages without a price increase for a commitment period. We also launched our Flex Pack skinny bundle with a core package of programming consisting of more than 50 channels and the choice of one of ten themed add-on channel packs, which include, among others, local broadcast networks and kids and general entertainment programming. Subscribers can also add or remove additional channel packs to best suit their entertainment needs. In addition, certain streaming apps, including, among others, Netflix, Amazon Prime Video and YouTube, have been integrated into select Hopper receiver systems. During 2017, we launched “Tuned In To You” and during 2019 we launched the “Tuned In To You 2.0” campaign, which further amplifies our commitment to customer satisfaction. While we plan to implement these and other new marketing efforts for our DISH TV services, there can be no assurance that we will ultimately be successful in increasing our gross new DISH TV subscriber activations. Additionally, in response to our efforts, we may face increased competitive pressures, including aggressive marketing and retention efforts, bundled discount offers combining broadband, video and/or wireless services and other discounted promotional offers. For our Sling TV services, we offer a personalized TV experience with a customized channel line-up and two of the lowest priced multichannel live-linear online streaming services in the industry, our Sling Orange service and our Sling Blue service. During 2018, we launched our “We are Slingers” campaign and during 2019, we launched our “Sling In” campaign. While we plan to implement this and other new marketing efforts for our Sling TV services, there can be no assurance that we will ultimately be successful in increasing our net Sling TV subscriber activations.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Our DISH TV subscriber base has been declining due to, among other things, the factors described above. There can be no assurance that our DISH TV subscriber base will not continue to decline and that the pace of such decline will not accelerate. As our DISH TV subscriber base continues to decline, it could have a material adverse long-term effect on our business, results of operations, financial condition and cash flow.</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Programming</w:t>
      </w:r>
    </w:p>
    <w:p>
      <w:pPr>
        <w:spacing w:after="0" w:line="225"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Our ability to compete successfully will depend, among other things, on our ability to continue to obtain desirable programming and deliver it to our subscribers at competitive prices. Programming costs represent a large percentage of our “Subscriber-related expenses”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customers. Going forward, our margins may face pressure if we are unable to renew our long-term programming contracts on acceptable pricing and other economic terms or if we are unable to pass these increased programming costs on to our customers.</w:t>
      </w:r>
    </w:p>
    <w:p>
      <w:pPr>
        <w:spacing w:after="0" w:line="181"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Increases in programming costs have caused us to increase the rates that we charge to our subscribers, which could in turn cause our existing Pay-TV subscribers to disconnect our service or cause potential new Pay-TV subscribers to choose not to subscribe to our service. Additionally, even if our subscribers do not disconnect our services, they may purchase through new and existing online content providers a certain portion of the services that they would have historically purchased from us, such as pay-per-view movies, resulting in less revenue to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Furthermore, our net Pay-TV subscriber additions, gross new DISH TV subscriber activations, and DISH TV churn rate may be negatively impacted if we are unable to renew our long-term programming carriage contracts before they expire.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For example, in June 2018 and November 2018, Univision Communications Inc. (“Univision”) removed certain of its channels from our DISH TV and Sling TV programming lineup. On March 26, 2019, we and Univision signed a new programming carriage contract which restored certain of these Univision channels to our DISH TV programming lineup. In October 2018, AT&amp;T removed its HBO and Cinemax channels from our DISH TV and Sling TV programming lineup, as we and AT&amp;T have been unable to negotiate the terms and conditions of a new programming carriage contract. AT&amp;T offers its programming, including its HBO and Cinemax channels, directly to consumers over the Internet and provides HBO for free to its subscribers under certain offers. In July 2019, Fox Regional Sports Networks (“RSNs”) also removed certain of its channels from our DISH TV and Sling TV programming lineup. In August 2019, Sinclair Broadcast Group acquired the Fox RSNs. We experienced a higher DISH TV churn rate, higher net Pay-TV subscriber losses and lower gross new DISH TV subscriber activations during 2018 and 2019, when Univision, AT&amp;T and Fox RSNs removed certain of their channels from our DISH TV and Sling TV programming lineup. There can be no assurance that channel removals, such as the removal of the channels discussed above or others, will not have a material adverse effect on our business, results of operations and financial condition or otherwise disrupt our business.</w:t>
      </w:r>
    </w:p>
    <w:p>
      <w:pPr>
        <w:spacing w:after="0" w:line="185"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churn rate resulting from additional programming interruptions or threatened programming interruptions that may occur in the future. As a result, we may at times suffer from periods of lower net Pay-TV subscriber additions or higher net Pay-TV subscriber losses.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Operations and Customer Service</w:t>
      </w:r>
    </w:p>
    <w:p>
      <w:pPr>
        <w:spacing w:after="0" w:line="225"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While competitive factors have impacted the entire pay-TV industry, our relative performance has also been driven by issues specific to us. In the past, our subscriber growth has been adversely affected by signal theft and other forms of fraud and by our operational inefficiencies. For our DISH TV services, in order to combat signal theft and improve the security of our broadcast system, we use microchips embedded in credit card sized access cards, called “smart cards,” or security chips in our DBS receiver systems to control access to authorized programming content (“Security Access Devices”). We expect that future replacements of these devices may be necessary to keep our system secure. To combat other forms of fraud, among other things, we monitor our independent third-party distributors’ and independent third-party retailers’ adherence to our business rules. Furthermore, for our Sling TV services, we encrypt programming content and use digital rights management software to, among other things, prevent unauthorized access to our programming content.</w:t>
      </w:r>
    </w:p>
    <w:p>
      <w:pPr>
        <w:spacing w:after="0" w:line="166"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While we have made improvements in responding to and dealing with customer service issues, we continue to focus on the prevention of these issues, which is critical to our business, financial condition and results of operations. To improve our operational performance, we continue to make investments in staffing, training, information systems, and other initiatives, primarily in our call center and in-home service operations. These investments are intended to help combat inefficiencies introduced by the increasing complexity of our business, improve customer satisfaction, reduce churn, increase productivity, and allow us to scale better over the long run. We cannot be certain, however, that our spending will ultimately be successful in improving our operational performance.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Technology</w:t>
      </w:r>
    </w:p>
    <w:p>
      <w:pPr>
        <w:spacing w:after="0" w:line="225"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We have been deploying DBS receivers for our DISH TV services that utilize 8PSK modulation technology with MPEG-4 compression technology for several years. These technologies, when fully deployed, will allow improved broadcast efficiency, and therefore allow increased programming capacity. Many of our customers today, however, do not have DBS receivers that use MPEG-4 compression technology. In addition, given that all of our HD content is broadcast in MPEG-4, any growth in HD penetration will naturally accelerate our transition to these newer technologies and may increase our retention costs. All new DBS receivers have MPEG-4 compression with 8PSK modulation technology.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479"/>
        <w:spacing w:after="0" w:line="263" w:lineRule="auto"/>
        <w:rPr>
          <w:sz w:val="20"/>
          <w:szCs w:val="20"/>
          <w:color w:val="auto"/>
        </w:rPr>
      </w:pPr>
      <w:r>
        <w:rPr>
          <w:rFonts w:ascii="Arial" w:cs="Arial" w:eastAsia="Arial" w:hAnsi="Arial"/>
          <w:sz w:val="18"/>
          <w:szCs w:val="18"/>
          <w:color w:val="auto"/>
        </w:rPr>
        <w:t>In addition, from time to time, we change equipment for certain subscribers to make more efficient use of transponder capacity in support of HD and other initiatives. We believe that the benefit from the increase in available transponder capacity outweighs the short-term cost of these equipment changes.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Operational Liquidity</w:t>
      </w:r>
    </w:p>
    <w:p>
      <w:pPr>
        <w:spacing w:after="0" w:line="225" w:lineRule="exact"/>
        <w:rPr>
          <w:sz w:val="20"/>
          <w:szCs w:val="20"/>
          <w:color w:val="auto"/>
        </w:rPr>
      </w:pPr>
    </w:p>
    <w:p>
      <w:pPr>
        <w:ind w:left="40" w:right="59"/>
        <w:spacing w:after="0" w:line="291" w:lineRule="auto"/>
        <w:rPr>
          <w:sz w:val="20"/>
          <w:szCs w:val="20"/>
          <w:color w:val="auto"/>
        </w:rPr>
      </w:pPr>
      <w:r>
        <w:rPr>
          <w:rFonts w:ascii="Arial" w:cs="Arial" w:eastAsia="Arial" w:hAnsi="Arial"/>
          <w:sz w:val="16"/>
          <w:szCs w:val="16"/>
          <w:color w:val="auto"/>
        </w:rPr>
        <w:t>We make general investments in property such as satellites, set-top boxes, information technology and facilities that support our overall Pay-TV business. Moreover, since we are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assurances that over time we will recoup or earn a return on the upfront investment.</w:t>
      </w:r>
    </w:p>
    <w:p>
      <w:pPr>
        <w:spacing w:after="0" w:line="166" w:lineRule="exact"/>
        <w:rPr>
          <w:sz w:val="20"/>
          <w:szCs w:val="20"/>
          <w:color w:val="auto"/>
        </w:rPr>
      </w:pPr>
    </w:p>
    <w:p>
      <w:pPr>
        <w:ind w:left="40" w:right="119"/>
        <w:spacing w:after="0" w:line="286" w:lineRule="auto"/>
        <w:rPr>
          <w:sz w:val="20"/>
          <w:szCs w:val="20"/>
          <w:color w:val="auto"/>
        </w:rPr>
      </w:pPr>
      <w:r>
        <w:rPr>
          <w:rFonts w:ascii="Arial" w:cs="Arial" w:eastAsia="Arial" w:hAnsi="Arial"/>
          <w:sz w:val="16"/>
          <w:szCs w:val="16"/>
          <w:color w:val="auto"/>
        </w:rPr>
        <w:t>There are a number of factors that impact our future cash flow compared to the cash flow we generate at a given point in time. The first factor is our DISH TV churn rate and how successful we are at retaining our current Pay-TV subscribers. To the extent we lose Pay-TV subscribers from our existing base, the positive cash flow from that base is correspondingly reduced. The second factor is how successful we are at maintaining our subscriber-related margins. To the extent our “Subscriber-related expenses” grow faster than our “Subscriber-related revenue,” the amount of cash flow that is generated per existing subscriber is reduced. Our subscriber-related margins have been reduced by, among other things, a shift to lower priced Pay-TV programming packages and higher programming costs.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 Finally, our future cash flow is impacted by the rate at which we make general investments, incur litigation expense, and any cash flow from financing activities. Declines in our Pay-TV subscriber base and subscriber-related margins continue to negatively impact our cash flow, and there can be no assurances that these declines will not continue.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225" w:lineRule="exact"/>
        <w:rPr>
          <w:sz w:val="20"/>
          <w:szCs w:val="20"/>
          <w:color w:val="auto"/>
        </w:rPr>
      </w:pPr>
    </w:p>
    <w:p>
      <w:pPr>
        <w:ind w:left="40" w:right="219"/>
        <w:spacing w:after="0" w:line="286" w:lineRule="auto"/>
        <w:rPr>
          <w:sz w:val="20"/>
          <w:szCs w:val="20"/>
          <w:color w:val="auto"/>
        </w:rPr>
      </w:pPr>
      <w:r>
        <w:rPr>
          <w:rFonts w:ascii="Arial" w:cs="Arial" w:eastAsia="Arial" w:hAnsi="Arial"/>
          <w:sz w:val="17"/>
          <w:szCs w:val="17"/>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Future Liquidity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Debt Maturity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5 1/8% Senior Notes with an aggregate principal balance of $1.1 billion were redeemed on May 1,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DISH Network Spectrum</w:t>
      </w:r>
    </w:p>
    <w:p>
      <w:pPr>
        <w:spacing w:after="0" w:line="225"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Since 2008, DISH Network has directly invested over $11 billion to acquire certain wireless spectrum licenses and related assets and made over $10 billion in non-controlling investments in certain entities, for a total of over $21 billion, as described further below.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DISH Network has directly invested over $11 billion to acquire certain wireless spectrum licenses and related assets. These wireless spectrum licenses are subject to certain interim and final build-out requirements, as well as certain renewal requirements. In March 2017, DISH Network notified the FCC that it planned to deploy a narrowband Internet of Things (“IoT”) network on certain of these wireless licenses, which was to be the first phase of its network deployment (“First Phase”). DISH Network expected to complete the First Phase by March 2020, with subsequent phases to be completed thereafter. DISH Network has entered into vendor contracts with multiple parties for, among other things, base stations, chipsets, modules, tower leases, the core network, radio frequency (“RF”) design, and deployment services for the First Phase. Among other things, initial RF design in connection with the First Phase was complete, DISH Network had secured certain tower sites, and was in the process of identifying and securing additional tower sites. The core network had been installed and commissioned. DISH Network installed the first base stations on sites in 2018 and was in the process of deploying the remaining base stations. During October 2019, DISH Network paused work on its narrowband IoT deployment due to its March 2020 build-out deadlines being tolled. In light of, among other things, certain developments related to the Sprint-TMUS merger, during the first quarter 2020, DISH Network determined that the revision of certain of its buildout deadlines was probable and, therefore, DISH Network no longer intends to complete its narrowband IoT deployment. DISH Network has issued requests for information and proposals (“RFI/Ps”) to various vendors in the wireless industry as it moves forward with its 5G broadband network deployment (“5G Network Deployment”). DISH Network currently expects expenditures for its wireless projects to be between $250 million and $500 million during 2020, excluding capitalized interest. DISH Network currently expects expenditures for its 5G Network Deployment to be approximately $10 billion, excluding capitalized interest. DISH Network will need to make significant additional investments or partner with others to, among other things, commercialize, build-out, and integrate these licenses and related assets, and any additional acquired licenses and related assets; and comply with regulations applicable to such licenses. Depending on the nature and scope of such commercialization, build-out, integration efforts, and regulatory compliance, any such investments or partnerships could vary significantly.</w:t>
      </w:r>
    </w:p>
    <w:p>
      <w:pPr>
        <w:spacing w:after="0" w:line="377" w:lineRule="exact"/>
        <w:rPr>
          <w:sz w:val="20"/>
          <w:szCs w:val="20"/>
          <w:color w:val="auto"/>
        </w:rPr>
      </w:pPr>
    </w:p>
    <w:p>
      <w:pPr>
        <w:ind w:left="40" w:right="219"/>
        <w:spacing w:after="0" w:line="257" w:lineRule="auto"/>
        <w:rPr>
          <w:sz w:val="20"/>
          <w:szCs w:val="20"/>
          <w:color w:val="auto"/>
        </w:rPr>
      </w:pPr>
      <w:r>
        <w:rPr>
          <w:rFonts w:ascii="Arial" w:cs="Arial" w:eastAsia="Arial" w:hAnsi="Arial"/>
          <w:sz w:val="18"/>
          <w:szCs w:val="18"/>
          <w:color w:val="auto"/>
        </w:rPr>
        <w:t>In addition, as DISH Network considers its options for the commercialization of its wireless spectrum, it will incur significant additional expenses and will have to make significant investments related to, among other things, research and development, wireless testing and wireless network infrastructure. DISH Network may also determine that additional wireless spectrum licenses may be required to commercialize its wireless business and to compete with other wireless service providers.</w:t>
      </w:r>
    </w:p>
    <w:p>
      <w:pPr>
        <w:spacing w:after="0" w:line="188"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i w:val="1"/>
          <w:iCs w:val="1"/>
          <w:color w:val="auto"/>
        </w:rPr>
        <w:t xml:space="preserve">Asset Purchase Agreement. </w:t>
      </w:r>
      <w:r>
        <w:rPr>
          <w:rFonts w:ascii="Arial" w:cs="Arial" w:eastAsia="Arial" w:hAnsi="Arial"/>
          <w:sz w:val="18"/>
          <w:szCs w:val="18"/>
          <w:color w:val="auto"/>
        </w:rPr>
        <w:t>On July 26, 2019, DISH Network entered into an Asset Purchase Agreement (the “APA”) with</w:t>
      </w:r>
      <w:r>
        <w:rPr>
          <w:rFonts w:ascii="Arial" w:cs="Arial" w:eastAsia="Arial" w:hAnsi="Arial"/>
          <w:sz w:val="18"/>
          <w:szCs w:val="18"/>
          <w:i w:val="1"/>
          <w:iCs w:val="1"/>
          <w:color w:val="auto"/>
        </w:rPr>
        <w:t xml:space="preserve"> </w:t>
      </w:r>
      <w:r>
        <w:rPr>
          <w:rFonts w:ascii="Arial" w:cs="Arial" w:eastAsia="Arial" w:hAnsi="Arial"/>
          <w:sz w:val="18"/>
          <w:szCs w:val="18"/>
          <w:color w:val="auto"/>
        </w:rPr>
        <w:t>T-Mobile US, Inc. (“TMUS”) and Sprint Corporation (“Sprint” and together with TMUS, the “Sellers” and given the consummation of the Sprint-TMUS merger, sometimes referred to as “NTM”).</w:t>
      </w:r>
    </w:p>
    <w:p>
      <w:pPr>
        <w:spacing w:after="0" w:line="184" w:lineRule="exact"/>
        <w:rPr>
          <w:sz w:val="20"/>
          <w:szCs w:val="20"/>
          <w:color w:val="auto"/>
        </w:rPr>
      </w:pPr>
    </w:p>
    <w:p>
      <w:pPr>
        <w:ind w:left="40" w:right="159"/>
        <w:spacing w:after="0" w:line="279" w:lineRule="auto"/>
        <w:rPr>
          <w:sz w:val="20"/>
          <w:szCs w:val="20"/>
          <w:color w:val="auto"/>
        </w:rPr>
      </w:pPr>
      <w:r>
        <w:rPr>
          <w:rFonts w:ascii="Arial" w:cs="Arial" w:eastAsia="Arial" w:hAnsi="Arial"/>
          <w:sz w:val="17"/>
          <w:szCs w:val="17"/>
          <w:color w:val="auto"/>
        </w:rPr>
        <w:t>Pursuant to the APA, at the closing of the transaction, NTM will sell to DISH Network and DISH Network will acquire from NTM certain assets and liabilities associated with Sprint’s Boost Mobile, Virgin Mobile and Sprint-branded prepaid mobile services businesses (the “Prepaid Business”) for an aggregate purchase price of $1.4 billion as adjusted for specific categories of net working capital on the Closing Date (the “Prepaid Business Sale”).</w:t>
      </w:r>
    </w:p>
    <w:p>
      <w:pPr>
        <w:spacing w:after="0" w:line="171" w:lineRule="exact"/>
        <w:rPr>
          <w:sz w:val="20"/>
          <w:szCs w:val="20"/>
          <w:color w:val="auto"/>
        </w:rPr>
      </w:pPr>
    </w:p>
    <w:p>
      <w:pPr>
        <w:ind w:left="40" w:right="159"/>
        <w:spacing w:after="0" w:line="284" w:lineRule="auto"/>
        <w:rPr>
          <w:sz w:val="20"/>
          <w:szCs w:val="20"/>
          <w:color w:val="auto"/>
        </w:rPr>
      </w:pPr>
      <w:r>
        <w:rPr>
          <w:rFonts w:ascii="Arial" w:cs="Arial" w:eastAsia="Arial" w:hAnsi="Arial"/>
          <w:sz w:val="16"/>
          <w:szCs w:val="16"/>
          <w:color w:val="auto"/>
        </w:rPr>
        <w:t>At the closing of the Prepaid Business Sale, DISH Network and NTM will enter into a transition services agreement under which DISH Network will receive certain transitional services (the “TSA”), a master network services agreement for the provision of network services by NTM to DISH Network (the “MNSA”), an option agreement entitling DISH Network to acquire certain decommissioned cell sites and retail stores of NTM (the “Option Agreement”) and an agreement under which DISH Network would purchase all of Sprint’s 800 MHz spectrum licenses, totaling approximately 13.5 MHz of nationwide wireless spectrum for an additional approximately $3.59 billion (the “Spectrum Purchase Agreement” and together with the APA, the TSA, the MNSA and the Option Agreement, the “Transaction Agreements”). See Note 10</w:t>
      </w:r>
    </w:p>
    <w:p>
      <w:pPr>
        <w:spacing w:after="0" w:line="2" w:lineRule="exact"/>
        <w:rPr>
          <w:sz w:val="20"/>
          <w:szCs w:val="20"/>
          <w:color w:val="auto"/>
        </w:rPr>
      </w:pPr>
    </w:p>
    <w:p>
      <w:pPr>
        <w:ind w:left="40" w:right="419"/>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Commitments and Contingencies – Commitments – Sprint Asset Acquisition</w:t>
      </w:r>
      <w:r>
        <w:rPr>
          <w:rFonts w:ascii="Arial" w:cs="Arial" w:eastAsia="Arial" w:hAnsi="Arial"/>
          <w:sz w:val="16"/>
          <w:szCs w:val="16"/>
          <w:color w:val="auto"/>
        </w:rPr>
        <w:t>” of DISH Network’s Quarterly Report on Form 10-Q for the three months ended March 31, 2020 for further information on the Transaction Agreements.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Beginning on November 5, 2019, the March 7, 2020 build-out deadline for both the AWS-4 and Lower 700 MHz E Block spectrum bands is tolled; however, if the Prepaid Business Sale is not consummated, the original deadlines would be reinstated with extensions equal to the length of time the deadline was tolled. During October 2019, DISH Network paused work on its narrowband IoT deployment due to its March 2020 build-out deadlines being tolled. In light of, among other things, certain developments related to the Sprint-TMUS merger, during the first quarter 2020, DISH Network determined that the revision of certain of its buildout deadlines was probable and, therefore, DISH Network no longer intends to complete its narrowband IoT deployment. DISH Network has issued RFI/Ps to various vendors in the wireless industry as it moves forward with its 5G Network Deployment.</w:t>
      </w:r>
    </w:p>
    <w:p>
      <w:pPr>
        <w:spacing w:after="0" w:line="178"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color w:val="auto"/>
        </w:rPr>
        <w:t>In connection with the development of DISH Network’s wireless business, including, without limitation, the efforts described above, we have made cash distributions to partially finance these efforts to date and may make additional cash distributions to finance, in whole or in part, DISH Network’s future efforts. There can be no assurance that DISH Network will be able to develop and implement a business model that will realize a return on these wireless spectrum licenses or that DISH Network will be able to profitably deploy the assets represented by these wireless spectrum licenses.</w:t>
      </w:r>
    </w:p>
    <w:p>
      <w:pPr>
        <w:spacing w:after="0" w:line="161"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i w:val="1"/>
          <w:iCs w:val="1"/>
          <w:color w:val="auto"/>
        </w:rPr>
        <w:t>DISH Network Non-Controlling Investments in the Northstar Entities and the SNR Entities Related to AWS-3 Wireless Spectrum Licenses</w:t>
      </w:r>
    </w:p>
    <w:p>
      <w:pPr>
        <w:spacing w:after="0" w:line="170" w:lineRule="exact"/>
        <w:rPr>
          <w:sz w:val="20"/>
          <w:szCs w:val="20"/>
          <w:color w:val="auto"/>
        </w:rPr>
      </w:pPr>
    </w:p>
    <w:p>
      <w:pPr>
        <w:ind w:left="40" w:right="59"/>
        <w:spacing w:after="0" w:line="267" w:lineRule="auto"/>
        <w:rPr>
          <w:sz w:val="20"/>
          <w:szCs w:val="20"/>
          <w:color w:val="auto"/>
        </w:rPr>
      </w:pPr>
      <w:r>
        <w:rPr>
          <w:rFonts w:ascii="Arial" w:cs="Arial" w:eastAsia="Arial" w:hAnsi="Arial"/>
          <w:sz w:val="17"/>
          <w:szCs w:val="17"/>
          <w:color w:val="auto"/>
        </w:rPr>
        <w:t>During 2015, through its wholly-owned subsidiaries American AWS-3 Wireless II L.L.C. (“American II”) and American AWS-3 Wireless III L.L.C. (“American III”), DISH Network initially made over $10 billion in certain non-controlling investments 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(the “Northstar Licenses”) and to SNR Wireless (the “SNR Licenses”), respectively. The Northstar Entities and/or the SNR Entities may need to raise significant additional capital in the future, which may be obtained from third party sources or from DISH Network, so that the Northstar Entities and the SNR Entities may commercialize, build-out and integrate these AWS-3 Licenses, comply with regulations applicable to such AWS-3 Licenses, and make any potential payments related to the re-auction of AWS-3 licenses retained by the FCC. Depending upon the nature and scope of such commercialization, build-out, integration efforts, regulatory compliance, and potential re-auction payments, any such loans, equity contributions or partnerships could vary significantly. For further information regarding the potential re-auction of AWS-3 licenses retained by the FCC, see Note 10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 Commitments – DISH Network Non-Controlling Investments in the Northstar Entities and the SNR Entities Related to AWS-3 Wireless Spectrum Licenses” </w:t>
      </w:r>
      <w:r>
        <w:rPr>
          <w:rFonts w:ascii="Arial" w:cs="Arial" w:eastAsia="Arial" w:hAnsi="Arial"/>
          <w:sz w:val="17"/>
          <w:szCs w:val="17"/>
          <w:color w:val="auto"/>
        </w:rPr>
        <w:t>in the Notes to DISH Network’s Quarterly Report on Form 10-Q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ended March 31, 2020.</w:t>
      </w:r>
    </w:p>
    <w:p>
      <w:pPr>
        <w:spacing w:after="0" w:line="191"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We have made and may make cash distributions to finance, in whole or in part, loans that DISH Network has made or may make in the future to the Northstar Entities and the SNR Entities related to DISH Network’s non-controlling investments in these entities. There can be no assurance that DISH Network will be able to obtain a profitable return on its non-controlling investments in the Northstar Entities and the SNR Entities.</w:t>
      </w:r>
    </w:p>
    <w:p>
      <w:pPr>
        <w:spacing w:after="0" w:line="187"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color w:val="auto"/>
        </w:rPr>
        <w:t>We may need to raise significant additional capital in the future, which may not be available on acceptable terms or at all, to among other things, make additional cash distributions to DISH Network, continue investing in our business and to pursue acquisitions and other strategic transactions.</w:t>
      </w:r>
    </w:p>
    <w:p>
      <w:pPr>
        <w:spacing w:after="0" w:line="184"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 – Commitments”</w:t>
      </w:r>
      <w:r>
        <w:rPr>
          <w:rFonts w:ascii="Arial" w:cs="Arial" w:eastAsia="Arial" w:hAnsi="Arial"/>
          <w:sz w:val="18"/>
          <w:szCs w:val="18"/>
          <w:color w:val="auto"/>
        </w:rPr>
        <w:t xml:space="preserve"> in the Notes to DISH Network’s Quarterly Report on Form 10-Q for the quarter ended March 31, 2020 for further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Master Transaction Agreement</w:t>
      </w:r>
    </w:p>
    <w:p>
      <w:pPr>
        <w:spacing w:after="0" w:line="225" w:lineRule="exact"/>
        <w:rPr>
          <w:sz w:val="20"/>
          <w:szCs w:val="20"/>
          <w:color w:val="auto"/>
        </w:rPr>
      </w:pPr>
    </w:p>
    <w:p>
      <w:pPr>
        <w:ind w:left="40" w:right="79"/>
        <w:spacing w:after="0" w:line="262" w:lineRule="auto"/>
        <w:rPr>
          <w:sz w:val="20"/>
          <w:szCs w:val="20"/>
          <w:color w:val="auto"/>
        </w:rPr>
      </w:pPr>
      <w:r>
        <w:rPr>
          <w:rFonts w:ascii="Arial" w:cs="Arial" w:eastAsia="Arial" w:hAnsi="Arial"/>
          <w:sz w:val="18"/>
          <w:szCs w:val="18"/>
          <w:color w:val="auto"/>
        </w:rPr>
        <w:t>On May 19, 2019, DISH Network entered into a Master Transaction Agreement with EchoStar (the “Master Transaction Agreement”) and effective September 10, 2019, certain satellites and real estate assets leased from EchoStar were transferred to DISH Network. As a result of the Master Transaction Agreement, DISH Network is now a supplier of the vast majority of our transponder capacity. See Note 13 “</w:t>
      </w:r>
      <w:r>
        <w:rPr>
          <w:rFonts w:ascii="Arial" w:cs="Arial" w:eastAsia="Arial" w:hAnsi="Arial"/>
          <w:sz w:val="18"/>
          <w:szCs w:val="18"/>
          <w:i w:val="1"/>
          <w:iCs w:val="1"/>
          <w:color w:val="auto"/>
        </w:rPr>
        <w:t>Related Party Transactions – Master Transaction Agreement”</w:t>
      </w:r>
      <w:r>
        <w:rPr>
          <w:rFonts w:ascii="Arial" w:cs="Arial" w:eastAsia="Arial" w:hAnsi="Arial"/>
          <w:sz w:val="18"/>
          <w:szCs w:val="18"/>
          <w:color w:val="auto"/>
        </w:rPr>
        <w:t xml:space="preserve"> in the Notes to DISH Network’s Quarterly Report on Form 10-Q for the quarter ended March 31, 2020 for further information on the Master Transaction Agreement.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Covenants and Restrictions Related to our Senior Notes</w:t>
      </w:r>
    </w:p>
    <w:p>
      <w:pPr>
        <w:spacing w:after="0" w:line="158" w:lineRule="exact"/>
        <w:rPr>
          <w:sz w:val="20"/>
          <w:szCs w:val="20"/>
          <w:color w:val="auto"/>
        </w:rPr>
      </w:pPr>
    </w:p>
    <w:p>
      <w:pPr>
        <w:jc w:val="both"/>
        <w:ind w:left="40" w:right="559"/>
        <w:spacing w:after="0" w:line="287" w:lineRule="auto"/>
        <w:rPr>
          <w:sz w:val="20"/>
          <w:szCs w:val="20"/>
          <w:color w:val="auto"/>
        </w:rPr>
      </w:pPr>
      <w:r>
        <w:rPr>
          <w:rFonts w:ascii="Arial" w:cs="Arial" w:eastAsia="Arial" w:hAnsi="Arial"/>
          <w:sz w:val="16"/>
          <w:szCs w:val="16"/>
          <w:color w:val="auto"/>
        </w:rPr>
        <w:t>The indentures related to our outstanding senior notes contain restrictive covenants that, among other things, impose limitations on our ability to: (i) incur additional indebtedness; (ii) enter into sale and leaseback transactions; (iii) pay dividends or make distributions on our capital stock or repurchase our capital stock; (iv) make certain investments;</w:t>
      </w:r>
    </w:p>
    <w:p>
      <w:pPr>
        <w:spacing w:after="0" w:line="2" w:lineRule="exact"/>
        <w:rPr>
          <w:sz w:val="20"/>
          <w:szCs w:val="20"/>
          <w:color w:val="auto"/>
        </w:rPr>
      </w:pPr>
    </w:p>
    <w:p>
      <w:pPr>
        <w:ind w:left="300" w:hanging="256"/>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create liens; (vi) enter into certain transactions with affiliates; (vii) merge or consolidate with another company; and</w:t>
      </w:r>
    </w:p>
    <w:p>
      <w:pPr>
        <w:spacing w:after="0" w:line="20" w:lineRule="exact"/>
        <w:rPr>
          <w:rFonts w:ascii="Arial" w:cs="Arial" w:eastAsia="Arial" w:hAnsi="Arial"/>
          <w:sz w:val="17"/>
          <w:szCs w:val="17"/>
          <w:color w:val="auto"/>
        </w:rPr>
      </w:pPr>
    </w:p>
    <w:p>
      <w:pPr>
        <w:jc w:val="both"/>
        <w:ind w:left="40" w:right="399" w:firstLine="4"/>
        <w:spacing w:after="0" w:line="273" w:lineRule="auto"/>
        <w:tabs>
          <w:tab w:leader="none" w:pos="4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transfer or sell assets. Should we fail to comply with these covenants, all or a portion of the debt under the senior notes could become immediately payable. The senior notes also provide that the debt may be required to be prepaid if certain change-in-control events occur. As of the date of filing of this Quarterly Report on Form 10-Q, we were in compliance with the covenants and restrictions related to our senior notes.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58" w:lineRule="exact"/>
        <w:rPr>
          <w:sz w:val="20"/>
          <w:szCs w:val="20"/>
          <w:color w:val="auto"/>
        </w:rPr>
      </w:pPr>
    </w:p>
    <w:p>
      <w:pPr>
        <w:ind w:left="40" w:right="79"/>
        <w:spacing w:after="0" w:line="258" w:lineRule="auto"/>
        <w:rPr>
          <w:sz w:val="20"/>
          <w:szCs w:val="20"/>
          <w:color w:val="auto"/>
        </w:rPr>
      </w:pPr>
      <w:r>
        <w:rPr>
          <w:rFonts w:ascii="Arial" w:cs="Arial" w:eastAsia="Arial" w:hAnsi="Arial"/>
          <w:sz w:val="18"/>
          <w:szCs w:val="18"/>
          <w:b w:val="1"/>
          <w:bCs w:val="1"/>
          <w:i w:val="1"/>
          <w:iCs w:val="1"/>
          <w:color w:val="auto"/>
        </w:rPr>
        <w:t>Subscriber-related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“Subscriber-related revenue” consists principally of revenue from basic, local,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movie, pay-per-view, Latino and international subscriptions; equipment rental fees and other hardware related fees, including DVRs and fees from subscribers with multiple receivers; advertising services; fees earned from our in-home service operations; warranty services; and other subscriber revenue. Certain of the amounts included in “Subscriber-related revenue” are not recurring on a monthly basis.</w:t>
      </w:r>
    </w:p>
    <w:p>
      <w:pPr>
        <w:spacing w:after="0" w:line="116" w:lineRule="exact"/>
        <w:rPr>
          <w:sz w:val="20"/>
          <w:szCs w:val="20"/>
          <w:color w:val="auto"/>
        </w:rPr>
      </w:pPr>
    </w:p>
    <w:p>
      <w:pPr>
        <w:ind w:left="40" w:right="79"/>
        <w:spacing w:after="0" w:line="261"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sales and other revenue” principally includes the non-subsidized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 accessories to independent third-party retailers and other independent third-party distributors of our equipment, sales of digital receivers and related components to third-party pay-TV providers, revenue from Smart-Home Services and revenue from services and other agreements with EchoStar.</w:t>
      </w:r>
    </w:p>
    <w:p>
      <w:pPr>
        <w:spacing w:after="0" w:line="180" w:lineRule="exact"/>
        <w:rPr>
          <w:sz w:val="20"/>
          <w:szCs w:val="20"/>
          <w:color w:val="auto"/>
        </w:rPr>
      </w:pPr>
    </w:p>
    <w:p>
      <w:pPr>
        <w:ind w:left="40" w:right="99"/>
        <w:spacing w:after="0" w:line="281" w:lineRule="auto"/>
        <w:rPr>
          <w:sz w:val="20"/>
          <w:szCs w:val="20"/>
          <w:color w:val="auto"/>
        </w:rPr>
      </w:pPr>
      <w:r>
        <w:rPr>
          <w:rFonts w:ascii="Arial" w:cs="Arial" w:eastAsia="Arial" w:hAnsi="Arial"/>
          <w:sz w:val="17"/>
          <w:szCs w:val="17"/>
          <w:b w:val="1"/>
          <w:bCs w:val="1"/>
          <w:i w:val="1"/>
          <w:iCs w:val="1"/>
          <w:color w:val="auto"/>
        </w:rPr>
        <w:t>Subscriber-related expenses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“Subscriber-related expenses” principally include programming expenses, which represent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majority of these expenses. “Subscriber-related expenses” also include costs for Pay-TV services incurred in connection with our subscriber retention, in-home service and call center operations, billing costs, refurbishment and repair costs related to DBS receiver systems and other variable subscriber expenses.</w:t>
      </w:r>
    </w:p>
    <w:p>
      <w:pPr>
        <w:spacing w:after="0" w:line="165" w:lineRule="exact"/>
        <w:rPr>
          <w:sz w:val="20"/>
          <w:szCs w:val="20"/>
          <w:color w:val="auto"/>
        </w:rPr>
      </w:pPr>
    </w:p>
    <w:p>
      <w:pPr>
        <w:ind w:left="40" w:right="59"/>
        <w:spacing w:after="0" w:line="281" w:lineRule="auto"/>
        <w:rPr>
          <w:sz w:val="20"/>
          <w:szCs w:val="20"/>
          <w:color w:val="auto"/>
        </w:rPr>
      </w:pPr>
      <w:r>
        <w:rPr>
          <w:rFonts w:ascii="Arial" w:cs="Arial" w:eastAsia="Arial" w:hAnsi="Arial"/>
          <w:sz w:val="17"/>
          <w:szCs w:val="17"/>
          <w:b w:val="1"/>
          <w:bCs w:val="1"/>
          <w:i w:val="1"/>
          <w:iCs w:val="1"/>
          <w:color w:val="auto"/>
        </w:rPr>
        <w:t>Satellite and transmission expenses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“Satellite and transmission expenses” includes the cost of digital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the cost of leasing satellite capacity, executory costs associated with finance leases, the cost of telemetry, tracking and control, and other related services. In addition, “Satellite and transmission expenses” includes costs associated with our Sling TV services including, among other things, streaming delivery technology and infrastructure.</w:t>
      </w:r>
    </w:p>
    <w:p>
      <w:pPr>
        <w:spacing w:after="0" w:line="169" w:lineRule="exact"/>
        <w:rPr>
          <w:sz w:val="20"/>
          <w:szCs w:val="20"/>
          <w:color w:val="auto"/>
        </w:rPr>
      </w:pPr>
    </w:p>
    <w:p>
      <w:pPr>
        <w:ind w:left="40" w:right="239"/>
        <w:spacing w:after="0" w:line="301" w:lineRule="auto"/>
        <w:rPr>
          <w:sz w:val="20"/>
          <w:szCs w:val="20"/>
          <w:color w:val="auto"/>
        </w:rPr>
      </w:pPr>
      <w:r>
        <w:rPr>
          <w:rFonts w:ascii="Arial" w:cs="Arial" w:eastAsia="Arial" w:hAnsi="Arial"/>
          <w:sz w:val="16"/>
          <w:szCs w:val="16"/>
          <w:b w:val="1"/>
          <w:bCs w:val="1"/>
          <w:i w:val="1"/>
          <w:iCs w:val="1"/>
          <w:color w:val="auto"/>
        </w:rPr>
        <w:t xml:space="preserve">Cost of sales - equipment and other. </w:t>
      </w:r>
      <w:r>
        <w:rPr>
          <w:rFonts w:ascii="Arial" w:cs="Arial" w:eastAsia="Arial" w:hAnsi="Arial"/>
          <w:sz w:val="16"/>
          <w:szCs w:val="16"/>
          <w:color w:val="auto"/>
        </w:rPr>
        <w:t>“Cost of sales - equipment and other” primarily includes the cost of non-subsidized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of DBS accessories to independent third-party retailers and other independent third-party distributors of our equipment, costs associated with sales of digital receivers and related components to third-party pay-TV providers, costs associated with Smart-Home Services and costs related to services and other agreements with EchoStar.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b w:val="1"/>
          <w:bCs w:val="1"/>
          <w:i w:val="1"/>
          <w:iCs w:val="1"/>
          <w:color w:val="auto"/>
        </w:rPr>
        <w:t>Subscriber acquisition costs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we primarily lease DBS receiver systems, we also subsidize certain costs to attract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subscribers. Our “Subscriber acquisition costs” include the cost of subsidized sales of DBS receiver systems to independent third-party retailers and other independent third-party distributors of our equipment, the cost of subsidized sales of DBS receiver systems directly by us to subscribers, including net costs related to our promotional incentives, costs related to our direct sales efforts and costs related to installation and acquisition advertising. Our “Subscriber acquisition costs” also includes costs associated with acquiring Sling TV subscribers including, among other things, costs related to acquisition advertising and our direct sales efforts and commissions. Subsequent to the adoption of ASU 2014-09 on January 1, 2018, we capitalize payments made under certain sales incentive programs, including those with our independent third-party retailers and other independent third-party distributors, which were previously expensed as “Subscriber acquisition costs.” These amounts are now initially capitalized in “Other current assets” and “Other noncurrent assets, net” on our Condensed Consolidated Balance Sheets, and then amortized in “Other subscriber acquisition costs” on our Condensed Consolidated Statements of Operations and Comprehensive Income (Loss). See Note 2 in the Notes to our Condensed Consolidated Financial Statements for further information.</w:t>
      </w:r>
    </w:p>
    <w:p>
      <w:pPr>
        <w:spacing w:after="0" w:line="180"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b w:val="1"/>
          <w:bCs w:val="1"/>
          <w:i w:val="1"/>
          <w:iCs w:val="1"/>
          <w:color w:val="auto"/>
        </w:rPr>
        <w:t xml:space="preserve">DISH TV SAC. </w:t>
      </w:r>
      <w:r>
        <w:rPr>
          <w:rFonts w:ascii="Arial" w:cs="Arial" w:eastAsia="Arial" w:hAnsi="Arial"/>
          <w:sz w:val="17"/>
          <w:szCs w:val="17"/>
          <w:color w:val="auto"/>
        </w:rPr>
        <w:t>Subscriber acquisition cost measures are commonly used by those evaluating traditional companies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as “Subscriber acquisition costs,” excluding “Subscriber acquisition costs” associated with our Sling TV services, plus capitalized payments made under certain sales incentive programs, excluding amortization related to these payments, plus the value of equipment capitalized under our lease program for new DISH TV subscribers, divided by gross new DISH TV subscriber activations. We include all the costs of acquiring DISH TV subscribers (e.g., subsidized and capitalized equipment) as we believe it is a more comprehensive measure of how much we are spending to acquire subscribers. We also include all new DISH TV subscribers in our calculation, including DISH TV subscribers added with little or no subscriber acquisition costs.</w:t>
      </w:r>
    </w:p>
    <w:p>
      <w:pPr>
        <w:spacing w:after="0" w:line="178" w:lineRule="exact"/>
        <w:rPr>
          <w:sz w:val="20"/>
          <w:szCs w:val="20"/>
          <w:color w:val="auto"/>
        </w:rPr>
      </w:pPr>
    </w:p>
    <w:p>
      <w:pPr>
        <w:ind w:left="40" w:right="79"/>
        <w:spacing w:after="0" w:line="261"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consists primarily of employee-related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administrative services such as legal, information systems, and accounting and finance. It also includes outside professional fees (e.g., legal, information systems and accounting services) and other items associated with facilities and administration.</w:t>
      </w:r>
    </w:p>
    <w:p>
      <w:pPr>
        <w:spacing w:after="0" w:line="116" w:lineRule="exact"/>
        <w:rPr>
          <w:sz w:val="20"/>
          <w:szCs w:val="20"/>
          <w:color w:val="auto"/>
        </w:rPr>
      </w:pPr>
    </w:p>
    <w:p>
      <w:pPr>
        <w:jc w:val="both"/>
        <w:ind w:left="40" w:right="359"/>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net of amounts capitalized. </w:t>
      </w:r>
      <w:r>
        <w:rPr>
          <w:rFonts w:ascii="Arial" w:cs="Arial" w:eastAsia="Arial" w:hAnsi="Arial"/>
          <w:sz w:val="17"/>
          <w:szCs w:val="17"/>
          <w:color w:val="auto"/>
        </w:rPr>
        <w:t>“Interest expense, net of amounts capitalized” primarily includes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(net of capitalized interest), prepayment premiums and amortization of debt issuance costs associated with our senior debt, and interest expense associated with our finance lease obligations.</w:t>
      </w:r>
    </w:p>
    <w:p>
      <w:pPr>
        <w:spacing w:after="0" w:line="165" w:lineRule="exact"/>
        <w:rPr>
          <w:sz w:val="20"/>
          <w:szCs w:val="20"/>
          <w:color w:val="auto"/>
        </w:rPr>
      </w:pPr>
    </w:p>
    <w:p>
      <w:pPr>
        <w:ind w:left="40" w:right="279"/>
        <w:spacing w:after="0" w:line="286"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The main components of “Other, net” are gains and losses realized on the sale of investments, impairment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marketable and non-marketable investment securities, unrealized gains and losses from changes in fair value of certain marketable investment securities and equity in earnings and losses of our affiliates.</w:t>
      </w:r>
    </w:p>
    <w:p>
      <w:pPr>
        <w:spacing w:after="0" w:line="165" w:lineRule="exact"/>
        <w:rPr>
          <w:sz w:val="20"/>
          <w:szCs w:val="20"/>
          <w:color w:val="auto"/>
        </w:rPr>
      </w:pPr>
    </w:p>
    <w:p>
      <w:pPr>
        <w:ind w:left="40" w:right="239"/>
        <w:spacing w:after="0" w:line="279" w:lineRule="auto"/>
        <w:rPr>
          <w:sz w:val="20"/>
          <w:szCs w:val="20"/>
          <w:color w:val="auto"/>
        </w:rPr>
      </w:pPr>
      <w:r>
        <w:rPr>
          <w:rFonts w:ascii="Arial" w:cs="Arial" w:eastAsia="Arial" w:hAnsi="Arial"/>
          <w:sz w:val="17"/>
          <w:szCs w:val="17"/>
          <w:b w:val="1"/>
          <w:bCs w:val="1"/>
          <w:i w:val="1"/>
          <w:iCs w:val="1"/>
          <w:color w:val="auto"/>
        </w:rPr>
        <w:t xml:space="preserve">Earnings before interest, taxes, depreciation and amortization (“EBITDA”). </w:t>
      </w:r>
      <w:r>
        <w:rPr>
          <w:rFonts w:ascii="Arial" w:cs="Arial" w:eastAsia="Arial" w:hAnsi="Arial"/>
          <w:sz w:val="17"/>
          <w:szCs w:val="17"/>
          <w:color w:val="auto"/>
        </w:rPr>
        <w:t>EBITDA is defined as “Net income (loss)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attributable to DISH DBS” plus “Interest expense, net of amounts capitalized” net of “Interest income,” “Income tax (provision) benefit, net” and “Depreciation and amortization.” This “non-GAAP measure” is reconciled to “Net income (loss) attributable to DISH DBS” in our discussion of “Results of Operations” below.</w:t>
      </w:r>
    </w:p>
    <w:p>
      <w:pPr>
        <w:spacing w:after="0" w:line="171" w:lineRule="exact"/>
        <w:rPr>
          <w:sz w:val="20"/>
          <w:szCs w:val="20"/>
          <w:color w:val="auto"/>
        </w:rPr>
      </w:pPr>
    </w:p>
    <w:p>
      <w:pPr>
        <w:ind w:left="40" w:right="139"/>
        <w:spacing w:after="0" w:line="257"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88"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b w:val="1"/>
          <w:bCs w:val="1"/>
          <w:i w:val="1"/>
          <w:iCs w:val="1"/>
          <w:color w:val="auto"/>
        </w:rPr>
        <w:t xml:space="preserve">Sling TV subscribers. </w:t>
      </w:r>
      <w:r>
        <w:rPr>
          <w:rFonts w:ascii="Arial" w:cs="Arial" w:eastAsia="Arial" w:hAnsi="Arial"/>
          <w:sz w:val="17"/>
          <w:szCs w:val="17"/>
          <w:color w:val="auto"/>
        </w:rPr>
        <w:t>We include customers obtained through direct sales and third-party marketing agreements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Sling TV subscriber count. Sling TV subscribers are recorded net of disconnects. Sling TV customers receiving service for no charge, under certain new subscriber promotions, are excluded from our Sling TV subscriber count. For customers who subscribe to multiple Sling TV packages, including, among others, Sling TV Blue, Sling TV Orange, Sling Latino and Sling International, each customer is only counted as one Sling TV subscriber.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 above.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who subscribe to both our DISH TV services and our Sling TV services, each subscription is counted as a separate Pay-TV subscriber.</w:t>
      </w:r>
    </w:p>
    <w:p>
      <w:pPr>
        <w:spacing w:after="0" w:line="184"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b w:val="1"/>
          <w:bCs w:val="1"/>
          <w:i w:val="1"/>
          <w:iCs w:val="1"/>
          <w:color w:val="auto"/>
        </w:rPr>
        <w:t xml:space="preserve">Pay-TV average monthly revenue per subscriber (“Pay-TV ARPU”). </w:t>
      </w:r>
      <w:r>
        <w:rPr>
          <w:rFonts w:ascii="Arial" w:cs="Arial" w:eastAsia="Arial" w:hAnsi="Arial"/>
          <w:sz w:val="17"/>
          <w:szCs w:val="17"/>
          <w:color w:val="auto"/>
        </w:rPr>
        <w:t>We are not aware of any uniform standards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calculating ARPU and believe presentations of ARPU may not be calculated consistently by other companies in the same or similar businesses. We calculate Pay-TV average monthly revenue per Pay-TV subscriber, or Pay-TV ARPU, by dividing average monthly “Subscriber-related revenue”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it has had a negative impact on Pay-TV ARPU.</w:t>
      </w:r>
    </w:p>
    <w:p>
      <w:pPr>
        <w:spacing w:after="0" w:line="181" w:lineRule="exact"/>
        <w:rPr>
          <w:sz w:val="20"/>
          <w:szCs w:val="20"/>
          <w:color w:val="auto"/>
        </w:rPr>
      </w:pPr>
    </w:p>
    <w:p>
      <w:pPr>
        <w:ind w:left="40" w:right="99"/>
        <w:spacing w:after="0" w:line="290" w:lineRule="auto"/>
        <w:rPr>
          <w:sz w:val="20"/>
          <w:szCs w:val="20"/>
          <w:color w:val="auto"/>
        </w:rPr>
      </w:pPr>
      <w:r>
        <w:rPr>
          <w:rFonts w:ascii="Arial" w:cs="Arial" w:eastAsia="Arial" w:hAnsi="Arial"/>
          <w:sz w:val="16"/>
          <w:szCs w:val="16"/>
          <w:b w:val="1"/>
          <w:bCs w:val="1"/>
          <w:i w:val="1"/>
          <w:iCs w:val="1"/>
          <w:color w:val="auto"/>
        </w:rPr>
        <w:t xml:space="preserve">DISH TV average monthly subscriber churn rate (“DISH TV churn rate”). </w:t>
      </w:r>
      <w:r>
        <w:rPr>
          <w:rFonts w:ascii="Arial" w:cs="Arial" w:eastAsia="Arial" w:hAnsi="Arial"/>
          <w:sz w:val="16"/>
          <w:szCs w:val="16"/>
          <w:color w:val="auto"/>
        </w:rPr>
        <w:t>We are not aware of any uniform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calculating subscriber churn rate and believe presentations of subscriber churn rates may not be calculated consistently by different companies in the same or similar businesses. We calculate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Three Months Ended March 31, 2020 Compared to the Three Months Ended March 31, 2019.</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9"/>
              </w:rPr>
              <w:t>For the 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Variance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Operations Data</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color w:val="auto"/>
                <w:w w:val="96"/>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Subscriber-related revenue</w:t>
            </w:r>
          </w:p>
        </w:tc>
        <w:tc>
          <w:tcPr>
            <w:tcW w:w="5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3,130,900</w:t>
            </w:r>
          </w:p>
        </w:tc>
        <w:tc>
          <w:tcPr>
            <w:tcW w:w="52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3,097,936</w:t>
            </w:r>
          </w:p>
        </w:tc>
        <w:tc>
          <w:tcPr>
            <w:tcW w:w="3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32,964</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 sales and other revenue</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36,882</w:t>
            </w:r>
          </w:p>
        </w:tc>
        <w:tc>
          <w:tcPr>
            <w:tcW w:w="2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40,064</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(3,182)</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revenue</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3,167,782</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3,138,000</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29,782</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0.9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Costs and Expenses: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Subscriber-related expenses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1,933,823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1,976,436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(42,613)</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 of Subscriber-related revenue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61.8</w:t>
            </w:r>
          </w:p>
        </w:tc>
        <w:tc>
          <w:tcPr>
            <w:tcW w:w="22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63.8</w:t>
            </w:r>
          </w:p>
        </w:tc>
        <w:tc>
          <w:tcPr>
            <w:tcW w:w="24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Satellite and transmission expenses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122,061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154,897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 of Subscriber-related revenue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22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24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 - equipment and other</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30,814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40,341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(9,527)</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Subscriber acquisition costs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253,873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193,899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59,974</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184,924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186,577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 of Total revenue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rPr>
              <w:t>5.8 %</w:t>
            </w:r>
          </w:p>
        </w:tc>
        <w:tc>
          <w:tcPr>
            <w:tcW w:w="30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5.9 %</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135,085</w:t>
            </w:r>
          </w:p>
        </w:tc>
        <w:tc>
          <w:tcPr>
            <w:tcW w:w="2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155,115</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(20,030)</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costs and expenses</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2,660,580</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2,707,265</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(46,685)</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Operating income (loss)</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507,202</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430,735</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76,467</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17.8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Interest expense, net of amounts capitalized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(182,340)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(195,645)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13,305</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other income (expense)</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(180,545)</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(191,277)</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10,732</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5.6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326,657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239,458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87,199</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 net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(61,822)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(20,682)</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b w:val="1"/>
                <w:bCs w:val="1"/>
                <w:color w:val="auto"/>
              </w:rPr>
              <w:t>Effective tax rate</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2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25.8</w:t>
            </w:r>
          </w:p>
        </w:tc>
        <w:tc>
          <w:tcPr>
            <w:tcW w:w="2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244,153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177,636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66,517</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w w:val="94"/>
              </w:rPr>
              <w:t>Less: Net income (loss) attributable to noncontrolling interests, net of tax</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 attributable to DISH DBS</w:t>
            </w:r>
          </w:p>
        </w:tc>
        <w:tc>
          <w:tcPr>
            <w:tcW w:w="3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244,153</w:t>
            </w: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177,760</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66,393</w:t>
            </w:r>
          </w:p>
        </w:tc>
        <w:tc>
          <w:tcPr>
            <w:tcW w:w="2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37.3</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Pay-TV subscribers, as of period end (in millions) **</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11.323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12.063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(0.740)</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DISH TV subscribers, as of period end (in millions) **</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(0.627)</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Arial" w:cs="Arial" w:eastAsia="Arial" w:hAnsi="Arial"/>
                <w:sz w:val="14"/>
                <w:szCs w:val="14"/>
                <w:color w:val="auto"/>
              </w:rPr>
              <w:t>Sling TV subscribers, as of period end (in millions)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2.311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(0.113)</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Pay-TV subscriber additions (losses), net (in millions) **</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(0.154)</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ind w:left="100"/>
              <w:spacing w:after="0" w:line="149" w:lineRule="exact"/>
              <w:rPr>
                <w:sz w:val="20"/>
                <w:szCs w:val="20"/>
                <w:color w:val="auto"/>
              </w:rPr>
            </w:pPr>
            <w:r>
              <w:rPr>
                <w:rFonts w:ascii="Arial" w:cs="Arial" w:eastAsia="Arial" w:hAnsi="Arial"/>
                <w:sz w:val="14"/>
                <w:szCs w:val="14"/>
                <w:color w:val="auto"/>
              </w:rPr>
              <w:t>DISH TV subscriber additions (losses), net (in millions) **</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(0.132)</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(0.266)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0.134</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Sling TV subscriber additions (losses), net (in millions)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(0.281)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(0.288)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Pay-TV ARPU</w:t>
            </w:r>
          </w:p>
        </w:tc>
        <w:tc>
          <w:tcPr>
            <w:tcW w:w="5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88.76</w:t>
            </w:r>
          </w:p>
        </w:tc>
        <w:tc>
          <w:tcPr>
            <w:tcW w:w="52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85.03</w:t>
            </w:r>
          </w:p>
        </w:tc>
        <w:tc>
          <w:tcPr>
            <w:tcW w:w="3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DISH TV subscriber additions, gross (in millions)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0.299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DISH TV churn rate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DISH TV SAC</w:t>
            </w:r>
          </w:p>
        </w:tc>
        <w:tc>
          <w:tcPr>
            <w:tcW w:w="50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w:t>
            </w:r>
          </w:p>
        </w:tc>
        <w:tc>
          <w:tcPr>
            <w:tcW w:w="52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w:t>
            </w:r>
          </w:p>
        </w:tc>
        <w:tc>
          <w:tcPr>
            <w:tcW w:w="3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EBITDA</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643,232</w:t>
            </w:r>
          </w:p>
        </w:tc>
        <w:tc>
          <w:tcPr>
            <w:tcW w:w="520" w:type="dxa"/>
            <w:vAlign w:val="bottom"/>
            <w:gridSpan w:val="2"/>
          </w:tcPr>
          <w:p>
            <w:pPr>
              <w:jc w:val="right"/>
              <w:ind w:right="17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587,407</w:t>
            </w:r>
          </w:p>
        </w:tc>
        <w:tc>
          <w:tcPr>
            <w:tcW w:w="3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55,825</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Percentage is not meaningful.</w:t>
      </w:r>
    </w:p>
    <w:p>
      <w:pPr>
        <w:spacing w:after="0" w:line="23" w:lineRule="exact"/>
        <w:rPr>
          <w:sz w:val="20"/>
          <w:szCs w:val="20"/>
          <w:color w:val="auto"/>
        </w:rPr>
      </w:pPr>
    </w:p>
    <w:p>
      <w:pPr>
        <w:ind w:left="40" w:right="59"/>
        <w:spacing w:after="0" w:line="253" w:lineRule="auto"/>
        <w:rPr>
          <w:sz w:val="20"/>
          <w:szCs w:val="20"/>
          <w:color w:val="auto"/>
        </w:rPr>
      </w:pPr>
      <w:r>
        <w:rPr>
          <w:rFonts w:ascii="Arial" w:cs="Arial" w:eastAsia="Arial" w:hAnsi="Arial"/>
          <w:sz w:val="18"/>
          <w:szCs w:val="18"/>
          <w:color w:val="auto"/>
        </w:rPr>
        <w:t>**During the three months ended March 31, 2020, we removed approximately 250,000 subscribers representing commercial accounts impacted by COVID-19 from our ending Pay-TV subscriber count. The effect of the removal of these 250,000 subscribers as of March 31, 2020 was excluded from the calculation of our gross new Pay-TV subscriber activations, net Pay-TV subscriber additions/losses and Pay-TV churn rate for the three months ended March 31, 2020. See “Results of Operations – Pay-TV subscribers” for further information.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Pay-TV subscribers</w:t>
      </w:r>
    </w:p>
    <w:p>
      <w:pPr>
        <w:spacing w:after="0" w:line="225"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i w:val="1"/>
          <w:iCs w:val="1"/>
          <w:color w:val="auto"/>
        </w:rPr>
        <w:t xml:space="preserve">DISH TV subscribers. </w:t>
      </w:r>
      <w:r>
        <w:rPr>
          <w:rFonts w:ascii="Arial" w:cs="Arial" w:eastAsia="Arial" w:hAnsi="Arial"/>
          <w:sz w:val="18"/>
          <w:szCs w:val="18"/>
          <w:color w:val="auto"/>
        </w:rPr>
        <w:t>We lost approximately 132,000 net DISH TV subscribers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the loss of approximately 266,000 net DISH TV subscribers during the same period in 2019. This decrease in net DISH TV subscriber losses primarily resulted from a lower DISH TV churn rate and higher gross new DISH TV subscriber activations.</w:t>
      </w:r>
    </w:p>
    <w:p>
      <w:pPr>
        <w:spacing w:after="0" w:line="187"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i w:val="1"/>
          <w:iCs w:val="1"/>
          <w:color w:val="auto"/>
        </w:rPr>
        <w:t xml:space="preserve">Sling TV subscribers. </w:t>
      </w:r>
      <w:r>
        <w:rPr>
          <w:rFonts w:ascii="Arial" w:cs="Arial" w:eastAsia="Arial" w:hAnsi="Arial"/>
          <w:sz w:val="17"/>
          <w:szCs w:val="17"/>
          <w:color w:val="auto"/>
        </w:rPr>
        <w:t>We lost approximately 281,000 net Sling TV subscribers during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compared to the addition of approximately 7,000 net Sling TV subscribers during the same period in 2019. This decrease in net Sling TV subscriber additions was primarily related to lower Sling TV subscriber activations, increased competition, including competition from other subscription video on-demand and live-linear OTT service providers, and delays and cancellations of sporting events as a result of COVID-19.</w:t>
      </w:r>
    </w:p>
    <w:p>
      <w:pPr>
        <w:spacing w:after="0" w:line="176"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i w:val="1"/>
          <w:iCs w:val="1"/>
          <w:color w:val="auto"/>
        </w:rPr>
        <w:t xml:space="preserve">DISH TV subscribers, gross. </w:t>
      </w:r>
      <w:r>
        <w:rPr>
          <w:rFonts w:ascii="Arial" w:cs="Arial" w:eastAsia="Arial" w:hAnsi="Arial"/>
          <w:sz w:val="17"/>
          <w:szCs w:val="17"/>
          <w:color w:val="auto"/>
        </w:rPr>
        <w:t>During the three months ended March 31, 2020, we activated approximately 299,000 gross</w:t>
      </w:r>
      <w:r>
        <w:rPr>
          <w:rFonts w:ascii="Arial" w:cs="Arial" w:eastAsia="Arial" w:hAnsi="Arial"/>
          <w:sz w:val="17"/>
          <w:szCs w:val="17"/>
          <w:i w:val="1"/>
          <w:iCs w:val="1"/>
          <w:color w:val="auto"/>
        </w:rPr>
        <w:t xml:space="preserve"> </w:t>
      </w:r>
      <w:r>
        <w:rPr>
          <w:rFonts w:ascii="Arial" w:cs="Arial" w:eastAsia="Arial" w:hAnsi="Arial"/>
          <w:sz w:val="17"/>
          <w:szCs w:val="17"/>
          <w:color w:val="auto"/>
        </w:rPr>
        <w:t>new DISH TV subscribers compared to approximately 243,000 gross new DISH TV subscribers during the same period in 2019, an increase of 23.0%. The increase in gross new DISH TV subscribers resulted from the effectiveness of our promotions and product offers. Although our gross new DISH TV subscriber activations increased, our gross new DISH TV subscriber activations continue to be negatively impacted by stricter customer acquisition policies for our DISH TV subscribers, including an emphasis on acquiring higher quality subscribers, and by increased competitive pressures, including aggressive short term introductory pricing and bundled offers combining broadband, video and/or wireless services and other discounted promotional offers; and channel removals. In the second half of March 2020, COVID-19 and the related governmental recommendations and/or mandates created reduced in person selling opportunities, and a reduction in customers’ willingness to open direct mail marketing and allow in-home technicians into their homes. As a result, we reduced our marketing expenditures and our gross new DISH TV subscribers began to decrease. We continue to assess the impact of COVID-19 and cannot predict with certainty the impact to our gross new DISH TV subscribers as a result of, among other things, higher unemployment and lower discretionary spending and reduced ability to perform our in-home service operations due to the impact of social distancing.</w:t>
      </w:r>
    </w:p>
    <w:p>
      <w:pPr>
        <w:spacing w:after="0" w:line="184" w:lineRule="exact"/>
        <w:rPr>
          <w:sz w:val="20"/>
          <w:szCs w:val="20"/>
          <w:color w:val="auto"/>
        </w:rPr>
      </w:pPr>
    </w:p>
    <w:p>
      <w:pPr>
        <w:ind w:left="40" w:right="79"/>
        <w:spacing w:after="0" w:line="285" w:lineRule="auto"/>
        <w:rPr>
          <w:sz w:val="20"/>
          <w:szCs w:val="20"/>
          <w:color w:val="auto"/>
        </w:rPr>
      </w:pPr>
      <w:r>
        <w:rPr>
          <w:rFonts w:ascii="Arial" w:cs="Arial" w:eastAsia="Arial" w:hAnsi="Arial"/>
          <w:sz w:val="16"/>
          <w:szCs w:val="16"/>
          <w:i w:val="1"/>
          <w:iCs w:val="1"/>
          <w:color w:val="auto"/>
        </w:rPr>
        <w:t xml:space="preserve">DISH TV churn rate. </w:t>
      </w:r>
      <w:r>
        <w:rPr>
          <w:rFonts w:ascii="Arial" w:cs="Arial" w:eastAsia="Arial" w:hAnsi="Arial"/>
          <w:sz w:val="16"/>
          <w:szCs w:val="16"/>
          <w:color w:val="auto"/>
        </w:rPr>
        <w:t>Our DISH TV churn rate for the three months ended March 31, 2020 was 1.54% compared to 1.74%</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2019. This decrease primarily resulted from our emphasis on acquiring and retaining higher quality subscribers. Our DISH TV churn rate for the three months ended March 31, 2020 was negatively impacted by various channel removals, including Fox RSN’s removal of certain of its channels from our programming lineup. Our DISH TV churn rate for the three months ended March 31, 2019 was negatively impacted by Univision’s removal of certain of its channels from our programming lineup. Our DISH TV churn rate continues to be adversely impacted by external factors, such as, among other things, increased competitive pressures, including aggressive marketing, bundled discount offers combining broadband, video and/or wireless services and other discounted promotional offers, as well as cord cutting. Our DISH TV churn rate is also impacted by internal factors, such as, among other things, our ability to consistently provide outstanding customer service, price increases, programming interruptions in connection with the scheduled expiration of certain programming carriage contracts, our ability to control piracy and other forms of fraud and the level of our retention efforts. In the second half of March 2020, our DISH TV churn rate was positively impacted by COVID-19, including, among other things, the recommendations and/or mandates from federal, state, and local authorities that customers refrain from non-essential movements outside of their homes and the resulting increased consumption of our Pay-TV services. We continue to assess the impact of COVID-19 and cannot predict with certainty the impact to our DISH TV churn rate as a result of, among other things, higher unemployment and lower discretionary spending and reduced ability to perform our in-home service operations due to the impact of social distancing.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Beginning in March 2020, several federal, state, and local government agencies implemented recommendations, guidelines, and orders regarding “social distancing” in an attempt to slow or stop the spread of COVID-19. As a result of these actions, many bars, restaurants, and other commercial establishments were recommended and/or ordered to suspend all non-essential “in-person” business operations. In addition, airlines and hotels significantly reduced operations as a result of government actions and/or related lower consumer demand. In an effort to avoid charging commercial customers for services in their establishments which are no longer open to the public, we have paused service or provided temporary rate relief for certain of those commercial accounts. For certain commercial accounts, each subscription is counted as one Pay-TV subscriber. For other commercial accounts, as discussed above, we divide our total revenue for these commercial accounts by $34.99, and include the resulting number, which is substantially smaller than the actual number of commercial units served, in our Pay-TV subscriber count. As of March 31, 2020, we removed 250,000 subscribers from our ending Pay-TV subscriber count for commercial accounts we placed on pause, or received reduced revenue, or we anticipate the account to disconnect due to COVID-19.</w:t>
      </w:r>
    </w:p>
    <w:p>
      <w:pPr>
        <w:spacing w:after="0" w:line="179"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While our ending Pay-TV subscriber count as of March 31, 2020 was adjusted for the one-time removal of 250,000 commercial subscribers, discussed above, gross new Pay-TV subscriber activations, net Pay-TV subscriber additions/losses and Pay-TV churn rate for the period ended March 31, 2020 were not adjusted for the impact of COVID-19. We cannot predict when these commercial accounts will be able to fully reopen, how many will return or when they may return to active subscriber status, and there can be no assurance that they will return. We currently do not expect to incur any significant expenses in connection with the re-activation of returning commercial accounts. Accordingly, the reactivation of these commercial accounts will adjust our ending subscriber count in future periods and will not be recorded as gross new Pay-TV subscriber activations for the period in which they return. We continue to assess the impact of COVID-19 and cannot predict with certainty the impact to our subscriber base, gross new DISH TV subscribers and our DISH TV churn rate as a result of, among other things, higher unemployment and lower discretionary spending and our reduced ability to perform our in-home service operations due to the impact of social distancing. As such, given the dynamic nature of this situation, we cannot reasonably estimate the impacts of COVID-19 on our financial condition and results of operations.</w:t>
      </w:r>
    </w:p>
    <w:p>
      <w:pPr>
        <w:spacing w:after="0" w:line="168"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87"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77" w:lineRule="exact"/>
        <w:rPr>
          <w:sz w:val="20"/>
          <w:szCs w:val="20"/>
          <w:color w:val="auto"/>
        </w:rPr>
      </w:pPr>
    </w:p>
    <w:p>
      <w:pPr>
        <w:ind w:left="40" w:right="399"/>
        <w:spacing w:after="0" w:line="259" w:lineRule="auto"/>
        <w:rPr>
          <w:sz w:val="20"/>
          <w:szCs w:val="20"/>
          <w:color w:val="auto"/>
        </w:rPr>
      </w:pPr>
      <w:r>
        <w:rPr>
          <w:rFonts w:ascii="Arial" w:cs="Arial" w:eastAsia="Arial" w:hAnsi="Arial"/>
          <w:sz w:val="18"/>
          <w:szCs w:val="18"/>
          <w:b w:val="1"/>
          <w:bCs w:val="1"/>
          <w:i w:val="1"/>
          <w:iCs w:val="1"/>
          <w:color w:val="auto"/>
        </w:rPr>
        <w:t xml:space="preserve">Subscriber-related revenue. </w:t>
      </w:r>
      <w:r>
        <w:rPr>
          <w:rFonts w:ascii="Arial" w:cs="Arial" w:eastAsia="Arial" w:hAnsi="Arial"/>
          <w:sz w:val="18"/>
          <w:szCs w:val="18"/>
          <w:color w:val="auto"/>
        </w:rPr>
        <w:t>“Subscriber-related revenue” totaled $3.131 billion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$33 million or 1.1% compared to the same period in 2019. The increase in “Subscriber-related revenue” compared to the same period in 2019 was primarily related to an increase in Pay-TV ARPU discussed below, partially offset by a lower average Pay-TV subscriber base.</w:t>
      </w:r>
    </w:p>
    <w:p>
      <w:pPr>
        <w:spacing w:after="0" w:line="187"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$88.76 during the three months ended March 31, 2020 versus $85.03 during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2019. The $3.73 or 4.4% increase in Pay-TV ARPU was primarily attributable to the DISH TV programming package price increases in the first quarter 2020 and 2019 and Sling TV programming package price increases in the first quarter 2020 and fourth quarter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69" w:lineRule="auto"/>
        <w:rPr>
          <w:sz w:val="20"/>
          <w:szCs w:val="20"/>
          <w:color w:val="auto"/>
        </w:rPr>
      </w:pPr>
      <w:r>
        <w:rPr>
          <w:rFonts w:ascii="Arial" w:cs="Arial" w:eastAsia="Arial" w:hAnsi="Arial"/>
          <w:sz w:val="17"/>
          <w:szCs w:val="17"/>
          <w:b w:val="1"/>
          <w:bCs w:val="1"/>
          <w:i w:val="1"/>
          <w:iCs w:val="1"/>
          <w:color w:val="auto"/>
        </w:rPr>
        <w:t xml:space="preserve">Subscriber-related expenses. </w:t>
      </w:r>
      <w:r>
        <w:rPr>
          <w:rFonts w:ascii="Arial" w:cs="Arial" w:eastAsia="Arial" w:hAnsi="Arial"/>
          <w:sz w:val="17"/>
          <w:szCs w:val="17"/>
          <w:color w:val="auto"/>
        </w:rPr>
        <w:t>“Subscriber-related expenses” totaled $1.934 billion during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2020, a decrease of $43 million or 2.2% compared to the same period in 2019. The decrease in “Subscriber-related expenses” was primarily attributable to a lower average Pay-TV subscriber base and lower programming costs per subscriber. Programming costs per subscriber decreased during the three months ended March 31, 2020 due to Fox RSN’s removal of certain of their channels from our programming lineup. This decrease was partially offset by increases in programming costs per subscriber related to rate increases in certain of our programming contracts, including the renewal of certain contracts at higher rates, particularly for local broadcast channels. In addition, the three month ended March 31, 2020 was negatively impacted by the $20 million increase in allowance for credit losses as a result of COVID-19. “Subscriber-related expenses” represented 61.8% and 63.8% of “Subscriber-related revenue” during the three months ended March 31, 2020 and 2019, respectively.</w:t>
      </w:r>
    </w:p>
    <w:p>
      <w:pPr>
        <w:spacing w:after="0" w:line="185" w:lineRule="exact"/>
        <w:rPr>
          <w:sz w:val="20"/>
          <w:szCs w:val="20"/>
          <w:color w:val="auto"/>
        </w:rPr>
      </w:pPr>
    </w:p>
    <w:p>
      <w:pPr>
        <w:ind w:left="40" w:right="79"/>
        <w:spacing w:after="0" w:line="275" w:lineRule="auto"/>
        <w:rPr>
          <w:sz w:val="20"/>
          <w:szCs w:val="20"/>
          <w:color w:val="auto"/>
        </w:rPr>
      </w:pPr>
      <w:r>
        <w:rPr>
          <w:rFonts w:ascii="Arial" w:cs="Arial" w:eastAsia="Arial" w:hAnsi="Arial"/>
          <w:sz w:val="17"/>
          <w:szCs w:val="17"/>
          <w:color w:val="auto"/>
        </w:rPr>
        <w:t>In the normal course of business, we enter into contracts to purchase programming content in which our payment obligations are generally contingent on the number of Pay-TV subscribers to whom we provide the respective content. Our “Subscriber-related expenses”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76" w:lineRule="exact"/>
        <w:rPr>
          <w:sz w:val="20"/>
          <w:szCs w:val="20"/>
          <w:color w:val="auto"/>
        </w:rPr>
      </w:pPr>
    </w:p>
    <w:p>
      <w:pPr>
        <w:ind w:left="40" w:right="139"/>
        <w:spacing w:after="0" w:line="290" w:lineRule="auto"/>
        <w:rPr>
          <w:sz w:val="20"/>
          <w:szCs w:val="20"/>
          <w:color w:val="auto"/>
        </w:rPr>
      </w:pPr>
      <w:r>
        <w:rPr>
          <w:rFonts w:ascii="Arial" w:cs="Arial" w:eastAsia="Arial" w:hAnsi="Arial"/>
          <w:sz w:val="16"/>
          <w:szCs w:val="16"/>
          <w:b w:val="1"/>
          <w:bCs w:val="1"/>
          <w:i w:val="1"/>
          <w:iCs w:val="1"/>
          <w:color w:val="auto"/>
        </w:rPr>
        <w:t xml:space="preserve">Satellite and transmission expenses. </w:t>
      </w:r>
      <w:r>
        <w:rPr>
          <w:rFonts w:ascii="Arial" w:cs="Arial" w:eastAsia="Arial" w:hAnsi="Arial"/>
          <w:sz w:val="16"/>
          <w:szCs w:val="16"/>
          <w:color w:val="auto"/>
        </w:rPr>
        <w:t>“Satellite and transmission expenses” totaled $122 million during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2020, a decrease of $33 million or 21.2% compared to the same period in 2019. This decrease resulted from the reduction of expense associated with the satellite leases for EchoStar XVIII and Nimiq 5. In May 2019, our lease of EchoStar XVIII ended as a result of an agreement to sell our interests in the LMDS and MVDDS licenses in exchange for the EchoStar XVIII satellite. During September 2019 pursuant to the Master Transaction Agreement, we began accounting for our Nimiq 5 satellite lease as a finance lease. Accordingly, expenses related to this lease are no longer recorded in “Satellite and transmission expenses,” but rather in “Depreciation and amortization” and “Interest expense, net of amounts capitalized” on our Condensed Consolidated Statements of Operations and Comprehensive Income (Loss).</w:t>
      </w:r>
    </w:p>
    <w:p>
      <w:pPr>
        <w:spacing w:after="0" w:line="165" w:lineRule="exact"/>
        <w:rPr>
          <w:sz w:val="20"/>
          <w:szCs w:val="20"/>
          <w:color w:val="auto"/>
        </w:rPr>
      </w:pPr>
    </w:p>
    <w:p>
      <w:pPr>
        <w:jc w:val="both"/>
        <w:ind w:left="40" w:right="79"/>
        <w:spacing w:after="0" w:line="286" w:lineRule="auto"/>
        <w:rPr>
          <w:sz w:val="20"/>
          <w:szCs w:val="20"/>
          <w:color w:val="auto"/>
        </w:rPr>
      </w:pPr>
      <w:r>
        <w:rPr>
          <w:rFonts w:ascii="Arial" w:cs="Arial" w:eastAsia="Arial" w:hAnsi="Arial"/>
          <w:sz w:val="17"/>
          <w:szCs w:val="17"/>
          <w:b w:val="1"/>
          <w:bCs w:val="1"/>
          <w:i w:val="1"/>
          <w:iCs w:val="1"/>
          <w:color w:val="auto"/>
        </w:rPr>
        <w:t xml:space="preserve">Subscriber acquisition costs. </w:t>
      </w:r>
      <w:r>
        <w:rPr>
          <w:rFonts w:ascii="Arial" w:cs="Arial" w:eastAsia="Arial" w:hAnsi="Arial"/>
          <w:sz w:val="17"/>
          <w:szCs w:val="17"/>
          <w:color w:val="auto"/>
        </w:rPr>
        <w:t>“Subscriber acquisition costs” totaled $254 million during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 increase of $60 million or 30.9% compared to the same period in 2019. This change was primarily attributable to higher gross new DISH TV subscriber activations and the increase in DISH TV SAC, discussed below.</w:t>
      </w:r>
    </w:p>
    <w:p>
      <w:pPr>
        <w:spacing w:after="0" w:line="165"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b w:val="1"/>
          <w:bCs w:val="1"/>
          <w:i w:val="1"/>
          <w:iCs w:val="1"/>
          <w:color w:val="auto"/>
        </w:rPr>
        <w:t xml:space="preserve">DISH TV SAC. </w:t>
      </w:r>
      <w:r>
        <w:rPr>
          <w:rFonts w:ascii="Arial" w:cs="Arial" w:eastAsia="Arial" w:hAnsi="Arial"/>
          <w:sz w:val="17"/>
          <w:szCs w:val="17"/>
          <w:color w:val="auto"/>
        </w:rPr>
        <w:t>DISH TV SAC was $861 during the three months ended March 31, 2020 compared to $828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2019, an increase of $33 or 4.0%. This change was primarily attributable to an increase in advertising costs, partially offset by a decrease in hardware costs per activation. The decrease in hardware costs per activation resulted from a higher percentage of remanufactured receivers being activated on new subscriber accounts. In addition, the three months ended March 31, 2020 was negatively impacted by fewer commercial additions compared to the same period in 2019, which historically have lower DISH TV SAC than residential activations.</w:t>
      </w:r>
    </w:p>
    <w:p>
      <w:pPr>
        <w:spacing w:after="0" w:line="178"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During the three months ended March 31, 2020 and 2019, the amount of equipment capitalized under our lease program for new DISH TV subscribers totaled $35 million and $34 million, respectively.</w:t>
      </w:r>
    </w:p>
    <w:p>
      <w:pPr>
        <w:spacing w:after="0" w:line="170" w:lineRule="exact"/>
        <w:rPr>
          <w:sz w:val="20"/>
          <w:szCs w:val="20"/>
          <w:color w:val="auto"/>
        </w:rPr>
      </w:pPr>
    </w:p>
    <w:p>
      <w:pPr>
        <w:ind w:left="40" w:right="319"/>
        <w:spacing w:after="0" w:line="301" w:lineRule="auto"/>
        <w:rPr>
          <w:sz w:val="20"/>
          <w:szCs w:val="20"/>
          <w:color w:val="auto"/>
        </w:rPr>
      </w:pPr>
      <w:r>
        <w:rPr>
          <w:rFonts w:ascii="Arial" w:cs="Arial" w:eastAsia="Arial" w:hAnsi="Arial"/>
          <w:sz w:val="16"/>
          <w:szCs w:val="16"/>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57"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Our “Subscriber acquisition costs” and “DISH TV SAC” may materially increase in the future to the extent that we, among other things, transition to newer technologies, introduce more aggressive promotions, or provide greater equipment subsidies.</w:t>
      </w:r>
    </w:p>
    <w:p>
      <w:pPr>
        <w:spacing w:after="0" w:line="184"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$135 million during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2020, a $20 million or 12.9% decrease compared to the same period in 2019. This change was primarily driven by a decrease in depreciation expense from equipment leased to new and existing DISH TV subscribers, partially offset by an increase in depreciation expense as a result of our Nimiq 5 satellite lease being accounted for as a finance lease beginning in September 2019 and depreciation associated with EchoStar XVIII, discussed above.</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59"/>
        <w:spacing w:after="0" w:line="292"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EBITDA was $643 million during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2020, an increase of $56 million or 9.5% compared to the same period in 2019. The increase in EBITDA was primarily attributable to the changes in operating income discussed above, excluding the change in “Depreciation and amortization.” The following table reconciles EBITDA to the accompanying financial statements.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6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1"/>
              </w:rPr>
              <w:t>For the Three Months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right="407"/>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gridSpan w:val="3"/>
          </w:tcPr>
          <w:p>
            <w:pPr>
              <w:jc w:val="center"/>
              <w:ind w:right="387"/>
              <w:spacing w:after="0"/>
              <w:rPr>
                <w:sz w:val="20"/>
                <w:szCs w:val="20"/>
                <w:color w:val="auto"/>
              </w:rPr>
            </w:pPr>
            <w:r>
              <w:rPr>
                <w:rFonts w:ascii="Arial" w:cs="Arial" w:eastAsia="Arial" w:hAnsi="Arial"/>
                <w:sz w:val="18"/>
                <w:szCs w:val="18"/>
                <w:color w:val="auto"/>
                <w:w w:val="90"/>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94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643,232</w:t>
            </w:r>
          </w:p>
        </w:tc>
        <w:tc>
          <w:tcPr>
            <w:tcW w:w="1300" w:type="dxa"/>
            <w:vAlign w:val="bottom"/>
            <w:gridSpan w:val="2"/>
            <w:shd w:val="clear" w:color="auto" w:fill="CCEEFF"/>
          </w:tcPr>
          <w:p>
            <w:pPr>
              <w:jc w:val="right"/>
              <w:ind w:right="9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587,407</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net</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(181,490)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(192,710)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net</w:t>
            </w: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(61,822)</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(135,085)</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(155,115)</w:t>
            </w:r>
          </w:p>
        </w:tc>
        <w:tc>
          <w:tcPr>
            <w:tcW w:w="100" w:type="dxa"/>
            <w:vAlign w:val="bottom"/>
            <w:tcBorders>
              <w:bottom w:val="single" w:sz="8" w:color="CCEEFF"/>
            </w:tcBorders>
          </w:tcPr>
          <w:p>
            <w:pPr>
              <w:spacing w:after="0"/>
              <w:rPr>
                <w:sz w:val="18"/>
                <w:szCs w:val="18"/>
                <w:color w:val="auto"/>
              </w:rPr>
            </w:pPr>
          </w:p>
        </w:tc>
      </w:tr>
      <w:tr>
        <w:trPr>
          <w:trHeight w:val="209"/>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DISH DBS</w:t>
            </w:r>
          </w:p>
        </w:tc>
        <w:tc>
          <w:tcPr>
            <w:tcW w:w="7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EBITDA is not a measure determined in accordance with accounting principles generally accepted in the United States (“GAAP”) and should not be considered a substitute for operating income, net income or any other measure determined in accordance with GAAP. EBITDA is used as a measurement of operating efficiency and overall financial performance and we believe it to be a helpful measure for those evaluating companies in the pay-TV industry.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195" w:lineRule="exact"/>
        <w:rPr>
          <w:sz w:val="20"/>
          <w:szCs w:val="20"/>
          <w:color w:val="auto"/>
        </w:rPr>
      </w:pPr>
    </w:p>
    <w:p>
      <w:pPr>
        <w:jc w:val="both"/>
        <w:ind w:left="40" w:right="139"/>
        <w:spacing w:after="0" w:line="263"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provision was $83 million during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$21 million compared to the same period in 2019. The increase in the provision was primarily related to an increase in “Income (loss) before income taxes.”</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216"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 However, we are continually monitoring the COVID-19 pandemic and any potential impact to our internal controls.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color w:val="auto"/>
        </w:rPr>
        <w:t>See Note 9 “</w:t>
      </w:r>
      <w:r>
        <w:rPr>
          <w:rFonts w:ascii="Arial" w:cs="Arial" w:eastAsia="Arial" w:hAnsi="Arial"/>
          <w:sz w:val="17"/>
          <w:szCs w:val="17"/>
          <w:i w:val="1"/>
          <w:iCs w:val="1"/>
          <w:color w:val="auto"/>
        </w:rPr>
        <w:t>Commitments and Contingencies - Litigation</w:t>
      </w:r>
      <w:r>
        <w:rPr>
          <w:rFonts w:ascii="Arial" w:cs="Arial" w:eastAsia="Arial" w:hAnsi="Arial"/>
          <w:sz w:val="17"/>
          <w:szCs w:val="17"/>
          <w:color w:val="auto"/>
        </w:rPr>
        <w:t>” in the Notes to our Condensed Consolidated Financial Statements for information regarding certain legal proceedings in which we are involved.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left="40" w:right="259"/>
        <w:spacing w:after="0" w:line="311" w:lineRule="auto"/>
        <w:rPr>
          <w:sz w:val="20"/>
          <w:szCs w:val="20"/>
          <w:color w:val="auto"/>
        </w:rPr>
      </w:pPr>
      <w:r>
        <w:rPr>
          <w:rFonts w:ascii="Arial" w:cs="Arial" w:eastAsia="Arial" w:hAnsi="Arial"/>
          <w:sz w:val="16"/>
          <w:szCs w:val="16"/>
          <w:color w:val="auto"/>
        </w:rPr>
        <w:t>Item 1A, “Risk Factors,” of our Annual Report on Form 10-K for the year ended December 31, 2019 include a detailed discussion of our risk factors. The information presented below updates, and should be read in conjunction with, the risk factors and information disclosed in our Annual Report on Form 10-K for the year ended December 31, 2019.</w:t>
      </w:r>
    </w:p>
    <w:p>
      <w:pPr>
        <w:spacing w:after="0" w:line="149" w:lineRule="exact"/>
        <w:rPr>
          <w:sz w:val="20"/>
          <w:szCs w:val="20"/>
          <w:color w:val="auto"/>
        </w:rPr>
      </w:pPr>
    </w:p>
    <w:p>
      <w:pPr>
        <w:jc w:val="both"/>
        <w:ind w:left="40" w:right="99"/>
        <w:spacing w:after="0" w:line="311" w:lineRule="auto"/>
        <w:rPr>
          <w:sz w:val="20"/>
          <w:szCs w:val="20"/>
          <w:color w:val="auto"/>
        </w:rPr>
      </w:pPr>
      <w:r>
        <w:rPr>
          <w:rFonts w:ascii="Arial" w:cs="Arial" w:eastAsia="Arial" w:hAnsi="Arial"/>
          <w:sz w:val="16"/>
          <w:szCs w:val="16"/>
          <w:b w:val="1"/>
          <w:bCs w:val="1"/>
          <w:i w:val="1"/>
          <w:iCs w:val="1"/>
          <w:color w:val="auto"/>
        </w:rPr>
        <w:t>The COVID-19 pandemic and its impact on the economic environment generally, and on us specifically, have adversely impacted our business. Furthermore, any continuation or worsening of the pandemic and economic environment could have a material adverse effect on our business, financial condition and results of operations.</w:t>
      </w:r>
    </w:p>
    <w:p>
      <w:pPr>
        <w:spacing w:after="0" w:line="149" w:lineRule="exact"/>
        <w:rPr>
          <w:sz w:val="20"/>
          <w:szCs w:val="20"/>
          <w:color w:val="auto"/>
        </w:rPr>
      </w:pPr>
    </w:p>
    <w:p>
      <w:pPr>
        <w:ind w:left="40" w:right="219"/>
        <w:spacing w:after="0" w:line="255" w:lineRule="auto"/>
        <w:rPr>
          <w:sz w:val="20"/>
          <w:szCs w:val="20"/>
          <w:color w:val="auto"/>
        </w:rPr>
      </w:pPr>
      <w:r>
        <w:rPr>
          <w:rFonts w:ascii="Arial" w:cs="Arial" w:eastAsia="Arial" w:hAnsi="Arial"/>
          <w:sz w:val="18"/>
          <w:szCs w:val="18"/>
          <w:color w:val="auto"/>
        </w:rPr>
        <w:t>A novel strain of coronavirus which causes the disease COVID-19 has resulted in a worldwide health pandemic. To date, COVID-19 has surfaced in nearly all regions around the world and resulted in global travel restrictions and business slowdowns or shutdowns. The COVID-19 pandemic has also created unanticipated circumstances and uncertainty, disruption, and significant volatility in the economic environment generally, which have and may continue to adversely affect our business operations and may materially and adversely affect our business, financial condition and results of operations.</w:t>
      </w:r>
    </w:p>
    <w:p>
      <w:pPr>
        <w:spacing w:after="0" w:line="192"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As the COVID-19 pandemic continues, many of our customers are impacted by recommendations and/or mandates from federal, state, and local authorities to practice social distancing, to refrain from gathering in groups and, in some areas, to refrain from non-essential movements outside of their homes. Governmental authorities in affected regions are taking increasingly dramatic action in an effort to slow the spread of COVID-19. These recommendations and/or mandates have created reduced in person selling opportunities and a reduction in customers’ willingness to open direct mail marketing and allow our in-home technicians into their homes, which has had, and will continue to have, a negative impact on our gross subscriber activations. The removal of such recommendations and/or mandates may not change customers’ unwillingness to allow our in-home technicians into their homes. The impact from the COVID-19 pandemic on our business, financial condition and results of operations is currently uncertain and not predictable and will depend largely on future developments, including the duration and spread of the pandemic within the United States, the response by all levels of government in their efforts to contain the pandemic and to mitigate the economic disruptions, and the related impact on consumer confidence and spending, all of which are highly uncertain and cannot be predicted. We cannot predict with certainty how long the COVID-19 pandemic will last or what other government responses may occur.</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risks and uncertainties related to our business, among others, could be impacted and/or exacerbated by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COVID-19 pandemic and any resulting worsening of the economic environment:</w:t>
      </w:r>
    </w:p>
    <w:p>
      <w:pPr>
        <w:spacing w:after="0" w:line="211" w:lineRule="exact"/>
        <w:rPr>
          <w:sz w:val="20"/>
          <w:szCs w:val="20"/>
          <w:color w:val="auto"/>
        </w:rPr>
      </w:pPr>
    </w:p>
    <w:p>
      <w:pPr>
        <w:ind w:left="1040" w:right="79" w:hanging="321"/>
        <w:spacing w:after="0" w:line="269"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have faced, and could continue to face, fewer subscriber activations and increased subscriber churn rate as a result of the COVID-19 pandemic and the worsening of the global business and economic environment due to, among other things, the reduced ability to perform our in-home service operations due to the impact of social distancing, changes to interest rates, downturns in the housing market in the United States (including a decline in housing starts), higher unemployment, which could lead to a lack of consumer confidence and lower discretionary spending, and reduced on-premises operations of our commercial customers. For example, our commercial services have been impacted as many bars, restaurants, and other commercial establishments were recommended and/or mandated to suspend all non-essential “in-person” business operations. In addition, airlines and hotels significantly reduced operations as a result of government actions and/or lower consumer demand.</w:t>
      </w:r>
    </w:p>
    <w:p>
      <w:pPr>
        <w:spacing w:after="0" w:line="36" w:lineRule="exact"/>
        <w:rPr>
          <w:rFonts w:ascii="Arial" w:cs="Arial" w:eastAsia="Arial" w:hAnsi="Arial"/>
          <w:sz w:val="17"/>
          <w:szCs w:val="17"/>
          <w:color w:val="auto"/>
        </w:rPr>
      </w:pPr>
    </w:p>
    <w:p>
      <w:pPr>
        <w:ind w:left="1040" w:right="399" w:hanging="321"/>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revenue comes from customers whose spending patterns may be affected by economic weakness and uncertainty, including any economic weakness and/or uncertainty related to the COVID-19 pandemic.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21"/>
        <w:spacing w:after="0" w:line="311"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Weakness in the capital markets related to the COVID-19 pandemic could make it more difficult for us to satisfy our substantial long-term payment obligations, including, without limitation, repayment and/or refinancing of existing indebtedness, payments related to certain litigation and other contractual obligations.</w:t>
      </w:r>
    </w:p>
    <w:p>
      <w:pPr>
        <w:ind w:left="1040" w:right="199" w:hanging="321"/>
        <w:spacing w:after="0" w:line="275"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a result of the COVID-19 pandemic and any resulting worsening of the global business and economic environment, we may not be able to make sufficient investments in staffing, training, information systems, and other initiatives, including in our call center and in-home service operations. For example, the COVID-19 pandemic forced us to reevaluate aspects of our business, particularly within In-Home Services, and caused us to reduce the size of our workforce.</w:t>
      </w:r>
    </w:p>
    <w:p>
      <w:pPr>
        <w:spacing w:after="0" w:line="41" w:lineRule="exact"/>
        <w:rPr>
          <w:rFonts w:ascii="Arial" w:cs="Arial" w:eastAsia="Arial" w:hAnsi="Arial"/>
          <w:sz w:val="17"/>
          <w:szCs w:val="17"/>
          <w:color w:val="auto"/>
        </w:rPr>
      </w:pPr>
    </w:p>
    <w:p>
      <w:pPr>
        <w:ind w:left="1040" w:right="59" w:hanging="321"/>
        <w:spacing w:after="0" w:line="293"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a result of the COVID-19 pandemic, a large portion of our employees are working remotely, which could have a material adverse effect on our information technology infrastructure and communications systems, and our ability to monitor, prevent and respond to system failures and/or cyber-attacks. The capacity, reliability and security of our information technology infrastructure (including our billing systems) and communications systems, or those of third parties that we use in our operations, are important to the operation of our current business, which would be significantly disrupted in the event of a system failure or cyber-attack.</w:t>
      </w:r>
    </w:p>
    <w:p>
      <w:pPr>
        <w:spacing w:after="0" w:line="15" w:lineRule="exact"/>
        <w:rPr>
          <w:rFonts w:ascii="Arial" w:cs="Arial" w:eastAsia="Arial" w:hAnsi="Arial"/>
          <w:sz w:val="16"/>
          <w:szCs w:val="16"/>
          <w:color w:val="auto"/>
        </w:rPr>
      </w:pPr>
    </w:p>
    <w:p>
      <w:pPr>
        <w:ind w:left="1040" w:right="159" w:hanging="321"/>
        <w:spacing w:after="0" w:line="279"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supply chain has been impacted by COVID-19, and there could be significant and unanticipated interruptions and/or delays in our supply chain. Furthermore, we may not be able to diversify sources of supply in a timely manner to mitigate these interruptions and/or delays. These interruptions and/or delays in our supply chain could have a material adverse effect on our business.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  Exhibits.</w:t>
      </w:r>
    </w:p>
    <w:p>
      <w:pPr>
        <w:spacing w:after="0" w:line="252"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7">
        <w:r>
          <w:rPr>
            <w:rFonts w:ascii="Arial" w:cs="Arial" w:eastAsia="Arial" w:hAnsi="Arial"/>
            <w:sz w:val="16"/>
            <w:szCs w:val="16"/>
            <w:u w:val="single" w:color="auto"/>
            <w:color w:val="0000EE"/>
          </w:rPr>
          <w:t>Section 302 Certification of Chief Executive Officer.</w:t>
        </w:r>
      </w:hyperlink>
    </w:p>
    <w:p>
      <w:pPr>
        <w:spacing w:after="0" w:line="279"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8">
        <w:r>
          <w:rPr>
            <w:rFonts w:ascii="Arial" w:cs="Arial" w:eastAsia="Arial" w:hAnsi="Arial"/>
            <w:sz w:val="16"/>
            <w:szCs w:val="16"/>
            <w:u w:val="single" w:color="auto"/>
            <w:color w:val="0000EE"/>
          </w:rPr>
          <w:t>Section 302 Certification of Chief Financial Officer</w:t>
        </w:r>
        <w:r>
          <w:rPr>
            <w:rFonts w:ascii="Arial" w:cs="Arial" w:eastAsia="Arial" w:hAnsi="Arial"/>
            <w:sz w:val="16"/>
            <w:szCs w:val="16"/>
            <w:color w:val="0000EE"/>
          </w:rPr>
          <w:t>.</w:t>
        </w:r>
      </w:hyperlink>
    </w:p>
    <w:p>
      <w:pPr>
        <w:spacing w:after="0" w:line="279"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79">
        <w:r>
          <w:rPr>
            <w:rFonts w:ascii="Arial" w:cs="Arial" w:eastAsia="Arial" w:hAnsi="Arial"/>
            <w:sz w:val="16"/>
            <w:szCs w:val="16"/>
            <w:u w:val="single" w:color="auto"/>
            <w:color w:val="0000EE"/>
          </w:rPr>
          <w:t>Section 906 Certification of Chief Executive Officer.</w:t>
        </w:r>
      </w:hyperlink>
    </w:p>
    <w:p>
      <w:pPr>
        <w:spacing w:after="0" w:line="279"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80">
        <w:r>
          <w:rPr>
            <w:rFonts w:ascii="Arial" w:cs="Arial" w:eastAsia="Arial" w:hAnsi="Arial"/>
            <w:sz w:val="16"/>
            <w:szCs w:val="16"/>
            <w:u w:val="single" w:color="auto"/>
            <w:color w:val="0000EE"/>
          </w:rPr>
          <w:t>Section 906 Certification of Chief Financial Officer</w:t>
        </w:r>
        <w:r>
          <w:rPr>
            <w:rFonts w:ascii="Arial" w:cs="Arial" w:eastAsia="Arial" w:hAnsi="Arial"/>
            <w:sz w:val="16"/>
            <w:szCs w:val="16"/>
            <w:color w:val="0000EE"/>
          </w:rPr>
          <w:t>.</w:t>
        </w:r>
      </w:hyperlink>
    </w:p>
    <w:p>
      <w:pPr>
        <w:spacing w:after="0" w:line="279" w:lineRule="exact"/>
        <w:rPr>
          <w:sz w:val="20"/>
          <w:szCs w:val="20"/>
          <w:color w:val="auto"/>
        </w:rPr>
      </w:pPr>
    </w:p>
    <w:p>
      <w:pPr>
        <w:ind w:left="1300" w:right="1379" w:hanging="739"/>
        <w:spacing w:after="0" w:line="316" w:lineRule="auto"/>
        <w:tabs>
          <w:tab w:leader="none" w:pos="12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Quarterly Report on Form 10-Q of DISH DBS for the quarter ended March 31, 2020, filed on May 12, 2020, formatted in Inline eXtensible Business Reporting Language (“iXBRL”): (i) Condensed Consolidated Balance Sheets,</w:t>
      </w:r>
    </w:p>
    <w:p>
      <w:pPr>
        <w:spacing w:after="0" w:line="2" w:lineRule="exact"/>
        <w:rPr>
          <w:sz w:val="20"/>
          <w:szCs w:val="20"/>
          <w:color w:val="auto"/>
        </w:rPr>
      </w:pPr>
    </w:p>
    <w:p>
      <w:pPr>
        <w:ind w:left="1560" w:hanging="269"/>
        <w:spacing w:after="0"/>
        <w:tabs>
          <w:tab w:leader="none" w:pos="1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Condensed Consolidated Statements of Operations and Comprehensive Income (Loss),</w:t>
      </w:r>
    </w:p>
    <w:p>
      <w:pPr>
        <w:spacing w:after="0" w:line="59" w:lineRule="exact"/>
        <w:rPr>
          <w:rFonts w:ascii="Arial" w:cs="Arial" w:eastAsia="Arial" w:hAnsi="Arial"/>
          <w:sz w:val="16"/>
          <w:szCs w:val="16"/>
          <w:color w:val="auto"/>
        </w:rPr>
      </w:pPr>
    </w:p>
    <w:p>
      <w:pPr>
        <w:jc w:val="both"/>
        <w:ind w:left="1300" w:right="1159" w:hanging="9"/>
        <w:spacing w:after="0" w:line="316" w:lineRule="auto"/>
        <w:tabs>
          <w:tab w:leader="none" w:pos="16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Condensed Consolidated Statements of Changes in Stockholder’s Equity (Deficit), (iv) Condensed Consolidated Statements of Cash Flows and (v) related notes to these financial</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statements.</w:t>
      </w:r>
    </w:p>
    <w:p>
      <w:pPr>
        <w:spacing w:after="0" w:line="36" w:lineRule="exact"/>
        <w:rPr>
          <w:sz w:val="20"/>
          <w:szCs w:val="20"/>
          <w:color w:val="auto"/>
        </w:rPr>
      </w:pPr>
    </w:p>
    <w:p>
      <w:pPr>
        <w:ind w:left="1300" w:right="1399" w:hanging="739"/>
        <w:spacing w:after="0" w:line="308"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14141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7" w:lineRule="exact"/>
        <w:rPr>
          <w:sz w:val="20"/>
          <w:szCs w:val="20"/>
          <w:color w:val="auto"/>
        </w:rPr>
      </w:pPr>
    </w:p>
    <w:p>
      <w:pPr>
        <w:ind w:left="700" w:hanging="6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DISH DBS CORPORATION</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W. Erik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23495</wp:posOffset>
            </wp:positionV>
            <wp:extent cx="26149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 Erik Carlson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(Duly Authorized Officer)</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23495</wp:posOffset>
            </wp:positionV>
            <wp:extent cx="26149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Paul W. Orban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Executive Vice President and Chief Financial Officer</w:t>
      </w:r>
    </w:p>
    <w:p>
      <w:pPr>
        <w:spacing w:after="0" w:line="48"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12,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 Erik Carlson, certify that:</w:t>
      </w:r>
    </w:p>
    <w:p>
      <w:pPr>
        <w:spacing w:after="0" w:line="104" w:lineRule="exact"/>
        <w:rPr>
          <w:sz w:val="20"/>
          <w:szCs w:val="20"/>
          <w:color w:val="auto"/>
        </w:rPr>
      </w:pPr>
    </w:p>
    <w:p>
      <w:pPr>
        <w:ind w:left="400" w:hanging="356"/>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DBS Corporation;</w:t>
      </w:r>
    </w:p>
    <w:p>
      <w:pPr>
        <w:spacing w:after="0" w:line="103" w:lineRule="exact"/>
        <w:rPr>
          <w:rFonts w:ascii="Arial" w:cs="Arial" w:eastAsia="Arial" w:hAnsi="Arial"/>
          <w:sz w:val="18"/>
          <w:szCs w:val="18"/>
          <w:color w:val="auto"/>
        </w:rPr>
      </w:pPr>
    </w:p>
    <w:p>
      <w:pPr>
        <w:jc w:val="both"/>
        <w:ind w:left="360" w:right="99" w:hanging="316"/>
        <w:spacing w:after="0" w:line="224" w:lineRule="auto"/>
        <w:tabs>
          <w:tab w:leader="none" w:pos="3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360" w:right="219" w:hanging="316"/>
        <w:spacing w:after="0" w:line="224" w:lineRule="auto"/>
        <w:tabs>
          <w:tab w:leader="none" w:pos="3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8"/>
          <w:szCs w:val="18"/>
          <w:color w:val="auto"/>
        </w:rPr>
      </w:pPr>
    </w:p>
    <w:p>
      <w:pPr>
        <w:ind w:left="360" w:right="319" w:hanging="316"/>
        <w:spacing w:after="0" w:line="237" w:lineRule="auto"/>
        <w:tabs>
          <w:tab w:leader="none" w:pos="38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7"/>
          <w:szCs w:val="17"/>
          <w:color w:val="auto"/>
        </w:rPr>
      </w:pPr>
    </w:p>
    <w:p>
      <w:pPr>
        <w:ind w:left="700" w:right="359" w:hanging="332"/>
        <w:spacing w:after="0" w:line="219" w:lineRule="auto"/>
        <w:tabs>
          <w:tab w:leader="none" w:pos="7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700" w:right="79" w:hanging="332"/>
        <w:spacing w:after="0" w:line="219" w:lineRule="auto"/>
        <w:tabs>
          <w:tab w:leader="none" w:pos="7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700" w:right="199" w:hanging="332"/>
        <w:spacing w:after="0" w:line="224" w:lineRule="auto"/>
        <w:tabs>
          <w:tab w:leader="none" w:pos="7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8"/>
          <w:szCs w:val="18"/>
          <w:color w:val="auto"/>
        </w:rPr>
      </w:pPr>
    </w:p>
    <w:p>
      <w:pPr>
        <w:ind w:left="700" w:right="59" w:hanging="332"/>
        <w:spacing w:after="0" w:line="219" w:lineRule="auto"/>
        <w:tabs>
          <w:tab w:leader="none" w:pos="7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360" w:right="99" w:hanging="316"/>
        <w:spacing w:after="0" w:line="224" w:lineRule="auto"/>
        <w:tabs>
          <w:tab w:leader="none" w:pos="3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8"/>
          <w:szCs w:val="18"/>
          <w:color w:val="auto"/>
        </w:rPr>
      </w:pPr>
    </w:p>
    <w:p>
      <w:pPr>
        <w:ind w:left="700" w:right="159" w:hanging="332"/>
        <w:spacing w:after="0" w:line="224" w:lineRule="auto"/>
        <w:tabs>
          <w:tab w:leader="none" w:pos="7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8"/>
          <w:szCs w:val="18"/>
          <w:color w:val="auto"/>
        </w:rPr>
      </w:pPr>
    </w:p>
    <w:p>
      <w:pPr>
        <w:ind w:left="700" w:right="199" w:hanging="332"/>
        <w:spacing w:after="0" w:line="235" w:lineRule="auto"/>
        <w:tabs>
          <w:tab w:leader="none" w:pos="7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12, 2020</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W. Erik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W. Orban, certify that:</w:t>
      </w:r>
    </w:p>
    <w:p>
      <w:pPr>
        <w:spacing w:after="0" w:line="144" w:lineRule="exact"/>
        <w:rPr>
          <w:sz w:val="20"/>
          <w:szCs w:val="20"/>
          <w:color w:val="auto"/>
        </w:rPr>
      </w:pPr>
    </w:p>
    <w:p>
      <w:pPr>
        <w:ind w:left="400" w:hanging="356"/>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DBS Corporation;</w:t>
      </w:r>
    </w:p>
    <w:p>
      <w:pPr>
        <w:spacing w:after="0" w:line="144" w:lineRule="exact"/>
        <w:rPr>
          <w:rFonts w:ascii="Arial" w:cs="Arial" w:eastAsia="Arial" w:hAnsi="Arial"/>
          <w:sz w:val="18"/>
          <w:szCs w:val="18"/>
          <w:color w:val="auto"/>
        </w:rPr>
      </w:pPr>
    </w:p>
    <w:p>
      <w:pPr>
        <w:jc w:val="both"/>
        <w:ind w:left="360" w:right="99" w:hanging="316"/>
        <w:spacing w:after="0" w:line="224" w:lineRule="auto"/>
        <w:tabs>
          <w:tab w:leader="none" w:pos="3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60" w:right="219" w:hanging="316"/>
        <w:spacing w:after="0" w:line="224" w:lineRule="auto"/>
        <w:tabs>
          <w:tab w:leader="none" w:pos="3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60" w:right="319" w:hanging="316"/>
        <w:spacing w:after="0" w:line="237" w:lineRule="auto"/>
        <w:tabs>
          <w:tab w:leader="none" w:pos="38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700" w:right="359" w:hanging="332"/>
        <w:spacing w:after="0" w:line="219" w:lineRule="auto"/>
        <w:tabs>
          <w:tab w:leader="none" w:pos="7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00" w:right="79" w:hanging="332"/>
        <w:spacing w:after="0" w:line="219" w:lineRule="auto"/>
        <w:tabs>
          <w:tab w:leader="none" w:pos="7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00" w:right="199" w:hanging="332"/>
        <w:spacing w:after="0" w:line="224" w:lineRule="auto"/>
        <w:tabs>
          <w:tab w:leader="none" w:pos="7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00" w:right="59" w:hanging="332"/>
        <w:spacing w:after="0" w:line="219" w:lineRule="auto"/>
        <w:tabs>
          <w:tab w:leader="none" w:pos="7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60" w:right="99" w:hanging="316"/>
        <w:spacing w:after="0" w:line="224" w:lineRule="auto"/>
        <w:tabs>
          <w:tab w:leader="none" w:pos="3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00" w:right="159" w:hanging="332"/>
        <w:spacing w:after="0" w:line="224" w:lineRule="auto"/>
        <w:tabs>
          <w:tab w:leader="none" w:pos="7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00" w:right="199" w:hanging="332"/>
        <w:spacing w:after="0" w:line="235" w:lineRule="auto"/>
        <w:tabs>
          <w:tab w:leader="none" w:pos="7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12,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8" w:name="page79"/>
    <w:bookmarkEnd w:id="7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28" w:lineRule="exact"/>
        <w:rPr>
          <w:sz w:val="20"/>
          <w:szCs w:val="20"/>
          <w:color w:val="auto"/>
        </w:rPr>
      </w:pPr>
    </w:p>
    <w:p>
      <w:pPr>
        <w:ind w:left="40" w:right="179"/>
        <w:spacing w:after="0" w:line="216" w:lineRule="auto"/>
        <w:rPr>
          <w:sz w:val="20"/>
          <w:szCs w:val="20"/>
          <w:color w:val="auto"/>
        </w:rPr>
      </w:pPr>
      <w:r>
        <w:rPr>
          <w:rFonts w:ascii="Arial" w:cs="Arial" w:eastAsia="Arial" w:hAnsi="Arial"/>
          <w:sz w:val="18"/>
          <w:szCs w:val="18"/>
          <w:color w:val="auto"/>
        </w:rPr>
        <w:t>Pursuant to 18 U.S.C. § 1350, the undersigned officer of DISH DBS Corporation (the “Company”) hereby certifies that to the best of his knowledge the Company’s Quarterly Report on Form 10-Q for the three months ended March 31, 2020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-1905</wp:posOffset>
            </wp:positionV>
            <wp:extent cx="24771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i w:val="1"/>
          <w:iCs w:val="1"/>
          <w:color w:val="auto"/>
        </w:rPr>
        <w:t>/s/ W. Erik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-1905</wp:posOffset>
            </wp:positionV>
            <wp:extent cx="24771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8"/>
          <w:szCs w:val="18"/>
          <w:color w:val="auto"/>
        </w:rPr>
        <w:t>Title:</w:t>
        <w:tab/>
        <w:t>President and Chief Executive Officer</w:t>
      </w:r>
    </w:p>
    <w:p>
      <w:pPr>
        <w:spacing w:after="0" w:line="185" w:lineRule="exact"/>
        <w:rPr>
          <w:sz w:val="20"/>
          <w:szCs w:val="20"/>
          <w:color w:val="auto"/>
        </w:rPr>
      </w:pPr>
    </w:p>
    <w:p>
      <w:pPr>
        <w:ind w:left="40" w:right="539"/>
        <w:spacing w:after="0" w:line="235"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21" w:lineRule="exact"/>
        <w:rPr>
          <w:sz w:val="20"/>
          <w:szCs w:val="20"/>
          <w:color w:val="auto"/>
        </w:rPr>
      </w:pPr>
    </w:p>
    <w:p>
      <w:pPr>
        <w:ind w:left="40" w:right="59"/>
        <w:spacing w:after="0" w:line="21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463550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9" w:name="page80"/>
    <w:bookmarkEnd w:id="7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28" w:lineRule="exact"/>
        <w:rPr>
          <w:sz w:val="20"/>
          <w:szCs w:val="20"/>
          <w:color w:val="auto"/>
        </w:rPr>
      </w:pPr>
    </w:p>
    <w:p>
      <w:pPr>
        <w:ind w:left="40" w:right="179"/>
        <w:spacing w:after="0" w:line="216" w:lineRule="auto"/>
        <w:rPr>
          <w:sz w:val="20"/>
          <w:szCs w:val="20"/>
          <w:color w:val="auto"/>
        </w:rPr>
      </w:pPr>
      <w:r>
        <w:rPr>
          <w:rFonts w:ascii="Arial" w:cs="Arial" w:eastAsia="Arial" w:hAnsi="Arial"/>
          <w:sz w:val="18"/>
          <w:szCs w:val="18"/>
          <w:color w:val="auto"/>
        </w:rPr>
        <w:t>Pursuant to 18 U.S.C. § 1350, the undersigned officer of DISH DBS Corporation (the “Company”) hereby certifies that to the best of his knowledge the Company’s Quarterly Report on Form 10-Q for the three months ended March 31, 2020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Dated:  May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-1905</wp:posOffset>
            </wp:positionV>
            <wp:extent cx="25546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3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-1905</wp:posOffset>
            </wp:positionV>
            <wp:extent cx="2554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38"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17"/>
          <w:szCs w:val="17"/>
          <w:color w:val="auto"/>
        </w:rPr>
        <w:t>Title:</w:t>
        <w:tab/>
        <w:t>Executive Vice President and Chief Financial Officer</w:t>
      </w:r>
    </w:p>
    <w:p>
      <w:pPr>
        <w:spacing w:after="0" w:line="196" w:lineRule="exact"/>
        <w:rPr>
          <w:sz w:val="20"/>
          <w:szCs w:val="20"/>
          <w:color w:val="auto"/>
        </w:rPr>
      </w:pPr>
    </w:p>
    <w:p>
      <w:pPr>
        <w:ind w:left="40" w:right="539"/>
        <w:spacing w:after="0" w:line="235"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21" w:lineRule="exact"/>
        <w:rPr>
          <w:sz w:val="20"/>
          <w:szCs w:val="20"/>
          <w:color w:val="auto"/>
        </w:rPr>
      </w:pPr>
    </w:p>
    <w:p>
      <w:pPr>
        <w:ind w:left="40" w:right="59"/>
        <w:spacing w:after="0" w:line="21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438150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2"/>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7"/>
    </w:lvl>
  </w:abstractNum>
  <w:abstractNum w:abstractNumId="17">
    <w:nsid w:val="71F32454"/>
    <w:multiLevelType w:val="hybridMultilevel"/>
    <w:lvl w:ilvl="0">
      <w:lvlJc w:val="left"/>
      <w:lvlText w:val="%1."/>
      <w:numFmt w:val="decimal"/>
      <w:start w:val="8"/>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9"/>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Roman"/>
      <w:start w:val="5"/>
    </w:lvl>
  </w:abstractNum>
  <w:abstractNum w:abstractNumId="30">
    <w:nsid w:val="614FD4A1"/>
    <w:multiLevelType w:val="hybridMultilevel"/>
    <w:lvl w:ilvl="0">
      <w:lvlJc w:val="left"/>
      <w:lvlText w:val="(%1)"/>
      <w:numFmt w:val="lowerRoman"/>
      <w:start w:val="8"/>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lowerRoman"/>
      <w:start w:val="2"/>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2020-05-12T10:04:22Z</dcterms:created>
  <dcterms:modified xsi:type="dcterms:W3CDTF">2020-05-12T10:04:22Z</dcterms:modified>
</cp:coreProperties>
</file>